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Cowie v. Draper, [2010] B.C.J. No. 910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S075493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910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504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1226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Juliet Cowie, Plaintiff, and Dr. Paul Draper, Dr. Jenet Hui Fen Sun, The Richmond Hospital, Vancouver Coastal Health Authority, Richmond Health Services, Dr. John Doe, Dr. Jane Doe,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litigation — Civil procedure — Judgments and orders — Summary judgments — To dismiss action — Application by defendants to dismiss plaintiff's action allowed — While giving birth, plaintiff suffered cardiac arrest which resulted in brain injury — Plaintiff commenced action five years after injury arose — Prior to expiry of limitation period, plaintiff knew identity of defendant and that defendant doctor and hospital owed duty of care and breached duty of care — Reasonable person in plaintiff's position would believe action had reasonable prospect of success — Although plaintiff suffered adverse effects from injuries, her interests and circumstances were not so serious, significant and compelling as to justify postponement of running of 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Time — When time begins to run — Expiry of limitation periods — Effect of — Application by defendants to dismiss plaintiff's action allowed — While giving birth, plaintiff suffered cardiac arrest which resulted in brain injury — Plaintiff commenced action five years after injury arose — Prior to expiry of limitation period, plaintiff knew identity of defendant and that defendant doctor and hospital owed duty of care and breached duty of care — Reasonable person in plaintiff's position would believe action had reasonable prospect of success — Although plaintiff suffered adverse effects from injuries, her interests and circumstances were not so serious, significant and compelling as to justify postponement of running of time.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plaintiff's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that the action was statute barred because it was commenced more that two years after the cause of action arose. While giving birth, the plaintiff suffered cardio-respiratory arrest brought on by the administration of an epidural anaesthetic. She was revived within minutes, but due to oxygen deprivation she suffered a complex mild traumatic brain injury. Following the cardiac attest, the plaintiff was kept on life support and remained in a coma for a period of time. Upon recovering consciousness, the plaintiff was unable to recognize her family or recall her childhood, but regained her memory within one week. The plaintiff was advised at that time that something had gone wrong during her delivery and that she had suffered from some injury and experienced some short term memory loss which would improve over time. Prior to returning to work, three months after she gave birth, the plaintiff also spoke with a rehabilitation therapist and received information regarding her return to work after a brain injury. In addition, the plaintiff spoke with her doctor approximately 28 months after the incident regarding her concerns about the coma, memory loss, mood changes and her ability to work. However, she did not contact a lawyer about the matter until four years after the incident and did not commence the action until five years after the incident. The plaintiff alleged that she had not understood the extent of her disability until she was assessed by a clinical neuoropsychologist almost four years after the incident and it was only after the assessment that she was able to make the decision to bring an action for compensation. Consequently, the plaintiff argued that the limitation period should be postponed because she did not have within her means and knowledge the facts which would lead a reasonable person in her circumstances and with her interests to believe that she had a cause of action with a reasonable chance of success.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 plaintiff's affidavit contained the necessary facts to grant judgment under Rule 18A and there was no conflict on the evidence, the matter was suitable for disposition under Rule 18A. Prior to the expiry of the limitation period, the plaintiff knew the identity of the defendant as he was doctor who provided her with medical assistance during the birth of her child. Furthermore, she had within her means the knowledge that the defendant doctor and hospital owed her a duty of care and that they breached that duty of care as she was advised shortly after the birth that something had gone wrong during the delivery and she knew she suffered an injury. A reasonable person in the plaintiff's position, with her knowledge of the injuries and memory loss she suffered, would regard those facts as showing that an action would have a reasonable prospect of success. Although the plaintiff suffered adverse effects resulting from the injuries she sustained, her interests and circumstances were not so serious, significant and compelling as to justify the postponement of the running of time and allow her action to proceed.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3(2), s. 4(k), s. 6(3), s. 6(4), s. 6(4)(b), s. 6(5), s. 6(5)(b), s. 6(6), s. 7(1)(a)(ii), s.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 Rule 18A(11)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D.C.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Draper: R. Samtani.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Coastal Health Authority operating as Richmond Hospital and Richmond Health Services: E.J.A. Stanger.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T.W. BOWDEN J."/>
            <w:bookmarkEnd w:id="6"/>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under Rule 18A for an order dismissing an action by the plaintiff on the basis that it is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plaintiff is seeking damages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during the birth of her first child on April 28,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making this application, the defendants say that the plaintiff was aware that she was injured within days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she was aware of the defendants' involvement. In the circumstances the defendants says there is no basis for the postponement of the applicable two year limitation period nor was the plaintiff disabled for the purposes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says that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facts within her means of knowledge are not such that a reasonable person, knowing those facts and having taken the appropriate advice, would regard them as showing that an action against the defendants would have a reasonable prospect of success and the plaintiff, in her own interest and taking her personal circumstances into account, ought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28, 2003, the plaintiff, while giving birth to her daughter at the Richmond Hospital, suffered cardio-respiratory arrest brought on by the administration of an epidural anaesthetic. She was revived within minutes but her brain was deprived of oxygen for a sufficient period of time to result in complex mild traumatic brain injury to the plaintiff. Her child was delivered successfully by Caesarean section and was normal and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 cardiac arrest the plaintiff was kept on life support and remained in a coma for a period of time. Upon recovering consciousness within three days of the birth, she was unable to recognize her family or recall her childhood. However, after she was discharged from the hospital, about one week after the birth, she recovered her memories of childhood and was able to recognize her family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plaintiff became conscious after the surgery she was told by hospital staff that something had gone wrong during the birth of her child. She also understood that Dr. Draper had participated in the procedure. The plaintiff was aware that as a result of things going wrong she had suffered some injury. She was told by her parents and her ex-husband that Dr. Draper had advised them that she had suffered some short term memory loss but that may improve over time. The plaintiff was also aware that she had suffered some physical injury including the scar from the Caesarean section. She also experienced neck pain which continued after her discharge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a telephone conversation with a professional staff member at G.F. Strong Rehabilitation Center on June 19, 2003, and received a letter from G.F. Strong the next day with information for her regarding her return to work after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her maternity leave commenced on April 11, 2003, the plaintiff was employed at Progressive Mills Supply as an accounting assistant. Her work consisted of collecting accounts. In July 2003, about three months after the birth of her daughter, she returned to her employment and worked as a junior accountant in a temporary capacity to cover the maternity leave of another employee. In March 2004, her position became permanent. Her duties as a junior accountant involved payroll and account balancing and she considered it to be a completely new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November 2004, the plaintiff considered that her employer was forcing her to decide between her work and her family and she decided to leave her employment. She has not returned to work since that time. There is no evidence from her employer that the plaintiff's work was sub-standard.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5, 2005, the plaintiff returned to Richmond Hospital with complaints of epigastria pain. She was attended to by Patricia Campbell, a registered nurse. Ms. Campbell deposes that the plaintiff provided her medical history to her, which included the information that the plaintiff had had a five minute cardiac arrest immediately post delivery and her cognition was altered subsequent to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delivered her second child on August 19, 2005. Her evidence is that she did not have an epidural anaesthetic at that time because she wanted to make sure that it was not used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appeared to have ongoing concerns about being in a coma during her first childbirth and about her memory loss, her mood changes and her ability to work. She expressed those concerns to Dr. Ng on October 17, 2005 and he recorded them in his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is divorced and cares for her two children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first attended on a lawyer regarding this matter in 2006. This action was commenced by the plaintiff by writ of summons and statement of claim filed on August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the plaintiff knew after she awoke from the surgery in 2003 that something had gone wrong during the birth of her child, when asked in her examination for discovery to explain why she waited so long to start a lawsuit she said she was in denial. She explained that she had gone through some memory problems but thought it would just be temporary. She said that she was not in denial about what had gone wrong during the surgery but more in relation to her memory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regard to her memory, I note that on June 26, 2003 the plaintiff attended Dr. Sun, her family doctor. Dr. Sun, in reference to the plaintiff, recorded in her clinical notes on that date that, "her memory returned to normal". Dr. Sun's notes of subsequent visits by the plaintiff do not disclose any complaints regarding memory loss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9, 2007, the plaintiff was assessed by Dr. Verna Amell, a clinical neuropsychologist, and Dr. Amell produced a report on July 23, 2007. Dr. Amell states that when she assessed the plaintiff she was dealing with the effects of a complex mild traumatic brain injury subsequent to an anoxic event on April 28, 2003. It appears, but is not clear from her report, that Dr. Amell's assessment is based on the plaintiff's description of her injuries and the aftermath in 2003 rather than a conclusion reached objectively by Dr. Amell. Dr. Amell confirms that the plaintiff was aware that she had suffered injury but that she expected that "her functioning would gradually improve". Dr. Amell opines generally that people suffering from a complex mild traumatic brain injury will often not understand the extent of their disability nor contemplate obtaining legal advice until they receive a neuropsychological evaluation and then recognize the significance of their impairment and the extent of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Amell states that upon receiving her evaluation the plaintiff was shocked and dismayed at the impairments which were identified and the implications to her particularly in relation to her employment in the accounting field. I take it that the inference that the plaintiff seeks to draw from Dr. Amell's views is that until receiving Dr. Amell's report, the plaintiff did not understand the extent and nature of her disability and the impact it would have on her future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argues that she was unable to make a decision to bring an action for compensation for her injury until she had received the assessment from Dr. Amell. Further, the plaintiff submits, until that report she continued to believe that any alterations in her functioning because of her injury would gradually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the plaintiff submits that the limitation period should be postponed because the plaintiff did not have within her means of knowledge the facts which would lead a reasonable person in the plaintiff's circumstances and with the plaintiff's interests to believe that she had a cause of action with a reasonable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Alternatively, the plaintiff submits that the running of time with respect to this action was postponed because she was under a disability, being substantially impeded in managing her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also argues that the determination of a postponement of the limitation period in relation to this action should not be decided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addition to denying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submit that this action by the plaintiff is statute barred because it was commenced more than two years after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say that the plaintiff had knowledge of the events giving rise to the cause of action no later than May 5, 2003. Further, the defendants submit that the plaintiff has not established that her circumstances were so seriously significant and compelling that the limitation period should be postponed; nor has she established that she was disabled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evidence shows that she was capable of managing her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also say that this matter may properly be dealt with under Rule 18A and cite a number of authorities in support of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plaintiff's action is founded on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or more of the defendants. The plaintiff seeks damages in respect of the injuries to her which it is alleged occurred at the time of the birth of her child on April 28, 2003, as a result of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first deal with the plaintiff's argument that this matter is not suitable for determination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18A(11) provides: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as it thinks just,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application there is no conflict in the evidence. The only evidence before the court was presented by the plaintiff. The dispute is only in relation to the application of the law to the facts as presented by the plaintiff. I have found the facts necessary to grant judgment under Rule 18A from the plaintiff's affidavit evidence filed at the hearing. In my view, this matter is suitable for disposition under Rule 18A and the court is left to apply the law to the undisputed evidence deposed to by the plaintiff and other deponents.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limitation period in respect of an action for damages in respect of injury to a person is set forth in s. 3(2)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After the expiration of 2 years after the date on which the right to do so arose a person may not bring any of the following actions: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for damages in respect of injury to person or property, including economic loss arising from the injury, whether based on contract, tort or statutory duty;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Subsection (4)(k) has no application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Subsection 6(3) provides that the running of time is postponed in relation to certain actions including actions for personal injury and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provided in subsection 6(4)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Subsection 6(5) provides: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Subsection 6(6) provides that the burden of proving that the running of time has been postponed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limitation period applicable in this case is also postponed under subsection 7(2)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If, at the time the right to bring an action arises, a person is under a disability, the running of time with respect to a limitation period set by this Act is postponed so long as that person is under a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Subsection 7(1) provides that: ...</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under a disability while the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fact incapable of or substantially impeded in managing his or her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onus is on the plaintiff to establish on a balance of probabilities that the limitation period does not apply to bar her action. In order for the plaintiff's action to be within the time limit referred to in s. 3(2), she must establish that the running of time was postponed by s. 6(4) until at least August 15, 2005. If there is no postponement the limitation period commences when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referred to the four components of s. 6(4):</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All four components must be satisfied before time begins to run. The plaintiff commenced her action on August 15, 2007, thus all four components must have been satisfied by August 15, 2005 in order for the limitation period to have expired before the commencement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Considering the facts in this case, it is clear, and I so find, that the plaintiff knew the identity of Dr. Draper during the time that she received medical assistance in giving birth to her daughter on April 28, 2003 and thereafter at the Richmond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regard to the second component I also find that the plaintiff had within her means of knowledge the fact that Dr. Draper and the Richmond Hospital owed her a duty of care. Further, in my view, the plaintiff had actual knowledge that the defendants had breached their duty to her. The evidence establishes that by May 5, 2003, she was made aware that something had gone wrong during the delivery of her child and that the whole procedure had been done wrong. She also understood that Dr. Draper's care was a component of what had "gone wrong". She was also aware that as a result of things going wrong she had suffered some injury. She was aware that Dr. Draper had advised that she had some short term memory loss but that it may improve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also suffered some physical injury. In addition to the scar from the unexpected Caesarean section, she suffered ongoing neck pain after her discharge from the hospital. A letter dated June 19, 2003 to the plaintiff from the G.F. Strong Rehabilitation Centre confirmed a telephone conversation with her and included information about her returning to work after a brain injury. In her affidavit of February 9, 2010, the plaintiff deposed that she remembered receiving that letter but not its contents. Dr. Amell did not say that the plaintiff was unaware that the events of April 28, 2003 had caused her injury. I find that the plaintiff had the necessary facts within her means of knowledge by May 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to the third component, in my view, a reasonable person in the plaintiff's position, with her knowledge of the injuries and memory loss that she had suffered during the birth of her child, having taken the appropriate advice, would regard those facts as showing that an action would have a reasonable prospect of success. I find that this component was satisfied not later than May 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fourth component is perhaps the most difficult one to apply.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the Supreme Court of Canada stated that the test in s. 6(4)(b):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could,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authorities are clear that the exact extent of the loss of the plaintiff need not be known for the cause of action to accrue. It accrues once the plaintiff knows that some injury has occurred and has identified the tortfeasor. (</w:t>
      </w:r>
      <w:r>
        <w:rPr>
          <w:rFonts w:ascii="arial" w:eastAsia="arial" w:hAnsi="arial" w:cs="arial"/>
          <w:i/>
          <w:color w:val="000000"/>
          <w:sz w:val="20"/>
          <w:lang w:val="en-US" w:eastAsia="en-US" w:bidi="ar-SA"/>
        </w:rPr>
        <w:t>Peixeriro v. Haberman</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comparison between Ms. Novak's circumstances and those of the plaintiff is instructive. Ms. Novak was diagnosed with cancer during the limitation period but decided not to commence an action preferring instead to concentrate on maintaining her health and a positive belief that the cancer had been cured. After the expiry of the limitation period, the cancer recurred. It had spread to her spine, liver and lungs and clearly represented a serious substantial and compelling condition which had appeared outside of the limitation period such that she could not reasonably have commenced a lawsuit at the time the cause of action arose. In the plaintiff's case, she returned to work after only four months and continued to work until near to the time when she became pregnant with her second child. The plaintiff did not need any assistance in raising her children nor has a physician suggested that she required any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one point, Ms. Novak believed that her cancer had resolved. In the case at bar, the evidence indicates that plaintiff was always aware of the injuries she suffered during the birth of her first child. This is evident from her discussion with Dr. Ng and her statement that she did not want an epidural during the delivery of her second child. There is no indication that there was any change in her circumstances between May 2003, and the date that she filed a writ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memory problems of the plaintiff are not in any way similar to the return of a life threatening illness to Ms. Novak which led her to initiate legal action outside of the normal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relies on the decision of the British Columbia Court of Appeal in </w:t>
      </w:r>
      <w:r>
        <w:rPr>
          <w:rFonts w:ascii="arial" w:eastAsia="arial" w:hAnsi="arial" w:cs="arial"/>
          <w:i/>
          <w:color w:val="000000"/>
          <w:sz w:val="20"/>
          <w:lang w:val="en-US" w:eastAsia="en-US" w:bidi="ar-SA"/>
        </w:rPr>
        <w:t>Brooks v. South Fraser Health Region</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2009 BCCA 150</w:t>
        </w:r>
      </w:hyperlink>
      <w:r>
        <w:rPr>
          <w:rFonts w:ascii="arial" w:eastAsia="arial" w:hAnsi="arial" w:cs="arial"/>
          <w:color w:val="000000"/>
          <w:sz w:val="20"/>
          <w:lang w:val="en-US" w:eastAsia="en-US" w:bidi="ar-SA"/>
        </w:rPr>
        <w:t xml:space="preserve">. In that case, the Court of Appeal upheld the decision of the chambers judge, </w:t>
      </w:r>
      <w:hyperlink r:id="rId16" w:history="1">
        <w:r>
          <w:rPr>
            <w:rFonts w:ascii="arial" w:eastAsia="arial" w:hAnsi="arial" w:cs="arial"/>
            <w:i/>
            <w:color w:val="0077CC"/>
            <w:sz w:val="20"/>
            <w:u w:val="single"/>
            <w:shd w:val="clear" w:color="auto" w:fill="FFFFFF"/>
            <w:lang w:val="en-US" w:eastAsia="en-US" w:bidi="ar-SA"/>
          </w:rPr>
          <w:t>[2007] B.C.J. No. 3206</w:t>
        </w:r>
      </w:hyperlink>
      <w:r>
        <w:rPr>
          <w:rFonts w:ascii="arial" w:eastAsia="arial" w:hAnsi="arial" w:cs="arial"/>
          <w:color w:val="000000"/>
          <w:sz w:val="20"/>
          <w:lang w:val="en-US" w:eastAsia="en-US" w:bidi="ar-SA"/>
        </w:rPr>
        <w:t>, and concluded that the limitation period should be postponed in circumstances where the plaintiff was not aware until after the expiry of the limitation period that a transient injury which she originally suffered caused another injury of a permanent nature. At the time of the original injury, Ms. Brooks was advised that she had no physical sequelae from the delivery of her child and she was satisfied with the answers that her doctor provided to her questions. The Court of Appeal was of the view that a reasonable person would not have sought legal advice until realizing the damage was more than transient in nature and thus the running of time in the limitation period was postponed until Ms. Brooks was diagnosed with a more serious and permanent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case at bar is quite different. The plaintiff was aware of both cognitive and physical sequelae. She has averred in her affidavit that from the date of her discharge from the hospital until the date of her affidavit she has experienced back pain, a limp and headaches. In respect of her cognitive problems and, in particular, those involving memory loss, it is clear that she was aware of her memory problems from the time she was discharged from the hospital. She has said in her affidavit that she was told that her memory loss may improve over time. The evidence shows that the circumstances of the plaintiff did not really change from the time of the birth of her first child until the issuing of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submits that until her assessment by Dr. Amell she was impaired in her ability to make judgments and was unable to make a decision to bring an action for compensation for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That argument does not take into account that Dr. Amell's report does not purport to be retrospective. Her opinions appear to be based on tests done on July 23, 2007. Even if her assessment was retrospective, Dr. Amell's report indicates that the plaintiff had the cognitive ability to bring an action. One example of her findings in that regard is that the plaintiff's "general comprehension and verbal reasoning was also average, consistent with how she presents in general conversation." With regard to her memory, Dr. Amell stated, "On general memory testing Juliet obtained scores in the average to superior range of functioning. Her immediate recall of paragraph length stories was accurate in detail to recall a half hour later that included additional details demonstrating the benefit of consolidation of information. Juliet was also accurate in the recall of faces and family picture scenes, demonstrating keen observational abilities and episodic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June 26, 2003, about two months after the birth of her daughter, her family doctor, Dr. Sun, recorded in his notes regarding her visit that her memory was normal. That visit occurred one week after the G.F. Strong Rehabilitation Center had sent a letter to the plaintiff regarding returning to work following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Amell's assessment of the effects of a complex mild traumatic brain injury on the plaintiff took place outside the running of the limitation period. Even if the plaintiff was dealing with those effects during the currency of the limitation period there is no indication that that precluded the plaintiff from commencing an action. There appears to have been little change in the plaintiff's circumstances from the running of the limitation period until 2006, when the plaintiff first attended a lawyer in respect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During the running of the limitation period it is significant that the plaintiff was re-hired to a temporary position in July, 2003 and was then promoted to the full-time position of junior accountant in March, 2004. She left the job because she decided to choose her family over her work. There is no evidence that her work was sub-standard. The plaintiff had no difficulty raising her two children and needed no assistance to do so. When she encountered marital difficulties she was able to engage the legal process to obtain a divorce, and also a restraining order. In my view, the evidence does not explain why the plaintiff could not have engaged the legal system during the running of the two year limitation period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Even if I accept that the plaintiff encountered some difficulties with her children, her work and her marriage, in my view, those are not serious, compelling and significant circumstances that would warrant the postponement of the running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the end result, while I accept that the plaintiff suffered adverse effects resulting from the injuries she sustained on April 28, 2003, applying the test from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to the facts and circumstances of this case, her interests and circumstances were not so serious, significant and compelling as to justify the postponement of the running of time and allow her action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application of the defendants is allowed and the plaintiff's action is dismissed with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shd w:val="clear" w:color="auto" w:fill="FFFFFF"/>
            <w:lang w:val="en-US" w:eastAsia="en-US" w:bidi="ar-SA"/>
          </w:rPr>
          <w:t>Davis v. Kin's Farm Market (Lynn Valley) Ltd., [2010] B.C.J. No. 886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19 and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S073695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886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269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1195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Davis, Plaintiff, and Kin's Farm Market (Lynn Valley) Ltd. and 666479 B.C. Ltd., Defendants, and Kin's Farm Market (Lynn Valley) Ltd. and Marquise Facilities Corp.,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Civil litigation — Civil procedure — Judgments and orders — Summary judgment — To dismiss action — Application by Kin's Market and 666479 BC Ltd. for summary dismissal of Davis' claim dismissed — Davis claimed under Occupiers Liability Act against Kin's Food Market after he slipped on a grape and fell in a mall corridor adjacent to the Kin's Market food store — Davis also claimed against 666479 BC Ltd., owner of mall — Kin's Market was occupier of area and failed to meet its duty of care to Davis through absence of precautionary measures — 666479 also breached its duty of care by not having reasonable inspection system in place.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Definitions — Occupier — Statutory — Duty of occupier — Legislation — Application by Kin's Market and 666479 BC Ltd. for summary dismissal of Davis' claim dismissed — Davis claimed under Occupiers Liability Act against Kin's Food Market after he slipped on a grape and fell in a mall corridor adjacent to the Kin's Market food store — Davis also claimed against 666479 BC Ltd., owner of mall — Kin's Market was occupier of area and failed to meet its duty of care to Davis through absence of precautionary measures — 666479 also breached its duty of care by not having reasonable inspection system in place.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Kin's Market and 666479 BC Ltd. for summary dismissal of Davis' claim. Davis claimed under the Occupiers Liability Act (the "Act") against Kin's Food Market for personal injuries suffered when he slipped on a green grape and fell in a mall corridor adjacent to the Kin's Market food store. Davis also claimed against 666479 BC Ltd., the owner of the mall. Davis' fall occurred on marble tiles in the mall corridor outside of Kin's Market. Kin's Market had display table containing grapes on the marble tiles. Kin's Market relied on employees noticing and cleaning spills on the marble tiles. At the time of Davis' fall, 666479 had no cleaning or maintenance policies in place for the mall, but had hired a contractor to clean and maintain the mall.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Kin's Market and 666479 were jointly and severally liable for Davis' injuries. Davis established a prima facie breach of the duty of care owed to him under the Act. Kin's Market took no steps to reduce the potential hazard from fallen grapes and other fruit to people attending the mall. Kin's Market was an occupier of the area of Davis' fall. It had physical possession of the area. Kin's Market failed to meet its duty of care. The absence of precautionary measures led to a conclusion that Kin's Market failed to meet the standard of reasonableness. It was reasonable for 666479 to hire a contractor to clean the mall. However, 666479 did not have a reasonable system of inspection in place.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4" w:history="1">
        <w:r>
          <w:rPr>
            <w:rFonts w:ascii="arial" w:eastAsia="arial" w:hAnsi="arial" w:cs="arial"/>
            <w:i/>
            <w:color w:val="0077CC"/>
            <w:sz w:val="20"/>
            <w:u w:val="single"/>
            <w:shd w:val="clear" w:color="auto" w:fill="FFFFFF"/>
            <w:lang w:val="en-US" w:eastAsia="en-US" w:bidi="ar-SA"/>
          </w:rPr>
          <w:t>RSBC 1996, CHAPTER 337, s. 1</w:t>
        </w:r>
      </w:hyperlink>
      <w:r>
        <w:rPr>
          <w:rFonts w:ascii="arial" w:eastAsia="arial" w:hAnsi="arial" w:cs="arial"/>
          <w:color w:val="000000"/>
          <w:sz w:val="20"/>
          <w:lang w:val="en-US" w:eastAsia="en-US" w:bidi="ar-SA"/>
        </w:rPr>
        <w:t>, s. 2, s. 3, s. 3(1), s. 5, s.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Whyte.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Kin's Farm Market (Lynn Valley) Ltd.: A. Staunton.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666479 B.C. Ltd.: A. Breen.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C.J. BRUCE J."/>
            <w:bookmarkEnd w:id="13"/>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Mr. Davis, has brought an action against the defendants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alternatively,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personal injuries caused by his fall at the Lynn Valley Mall in North Vancouver, British Columbia on June 5, 2005. The defendant, 666479 B.C. Ltd. is the owner of the Lynn Valley Mall (the "Owner"). The defendant Kin's Farm Market ("Kin's Market") is a tenant in the mall who operates a produce store. Mr. Davis fell in the mall corridor adjacent to an area in which Kin's Market had fruit and vegetables displayed for sale in bins or on tables. There is no dispute that Mr. Davis slipped and fell on a green grape.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maintain they did not breach the duty of care defined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were not otherwise negligent. While the Owner concedes that it is an "occupier" of the common area of the mall where the accident occurred, it argues that it took reasonable care to ensure the premises were reasonably safe for persons entering the mall. Kin's Market argues that it is not an "occupier"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further, did not otherwise breach a duty of care owed to Mr.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have applied under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for dismissal of the plaintiff's action. The parties agree this is an appropriate case in which to determine liability under Rule 18A and have filed affidavits that contain the material facts, answers to interrogatories, and the portions of the examination for discovery transcripts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While the parties dispute the inferences to be drawn from the material facts presented to the court and argue that some evidence should be given more or less weight than other evidence, the court is not generally required to make findings of credibility in this case. Nor is it apparent that the parties differ on critical issues of fact that cannot be resolved based upon the various evidentiary burdens imposed by the applicable legal principles. Furthermore, this is a case involving a discreet issue of liability with respect to the primary parties; the court is not being asked to assess damages or determine any contingent liability of the third parties. Thus I find this is an appropriate case for determination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relevant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this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section 3(4), and sections 4 and 9, this Act determines the care that an occupier is required to show toward persons entering on the premises in respect of dangers to them, or to their property on the premises, or to the property on the premises of persons who have not themselves entered on the premises, that are due to the state of the premises, or to anything done or omitted to be done on the premises, and for which the occupier is responsible by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(1) Despite section 3 (1), if damage is caused by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an independent contractor engaged by the occupier, the occupier is not on that account liable under this Act if, in all the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Subsection (1) must not be construed as restricting or excluding the liability, imposed by any other Act, of an occupier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occupier's independent contractor.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damage under the circumstances set out in subsection (1), and there is more than one occupier of the premises, each occupier is entitled to rely on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 Mr. Davis'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Sunday, June 5, 2005 at about 2:55 p.m., Mr. Davis, who was at the time 75 years old and a semi-retired insurance agent, entered the Lynn Valley Mall and headed toward the Shoppers Drug Mart to mail a letter for his wife. While walking past the fruit and vegetable display tables located outside of Kin's Market, he slipped and fell on a green grape. Mr. Davis sustained injuries as a result of his fall. At the time of the fall he was not in any hurry and was looking toward the Shoppers Drug Mart rather than down at his feet. It was only after the fall that Mr. Davis saw several grapes on the mall floor where he landed.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grapes were located about three to four feet away from the display tables on the marble tiles that constitute the pedestrian mall corridor. The display tables were situated on brick patterned tiles that abut the outside of the Kin's Market storefront. The brick tile area is four feet in width. Pursuant to the lease agreement between Kin's Market and the Owner, the display tables must not encroach on the mall space any further than the limits of the brick tiles. On the day of Mr. Davis' accident, the display tables were in fact beyond the brick tiles and were encroaching somewhat into the marbled tiles forming the mall pedestrian corridor.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Kin's Market sells grapes every day on a year-round basis at its Lynn Valley location and there is no distinction made between red and green grapes. While a diagram created over a year after the accident suggests that Kin's Market was selling red grapes on June 5, 2005, and makes no reference to green grapes, I find this document cannot be regarded as conclusive evidence of the absence of such grapes for sale on the day in question. The diagram does not purport to itemize all of the produce for sale on June 5, 2005 as it illustrates several boxes that have no particular produce identified. Further, the affidavit of Kin's Market's assistant store manager, Mr. Ye, does not suggest that the market limits its grapes to the red variety or that the store did so on June 5, 2005. Mr. Tung, who is Kin's Market's operations manager, testified during his examination for discovery that a stock employee advised him that the diagram represented generally what was being displayed in the bins on June 5, 2005, based upon the usual practice. However, I do not infer from this evidence that the diagram notations represent an exhaustive or precise description of the produce offered for sale on the day of the accident. Thus, on the balance of probabilities, I am satisfied that on June 5, 2005, Kin's Market offered green and red grapes for sale in its display 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also no evidence that the green grapes seen on the marble floor of the mall came from any other source than Kin's Market. The Save-On-Foods store adjacent to the Kin's Market did not have outside display tables containing produce for sale. There are no other food stores in the immediate vicinity. The grapes were found about three to four feet from the bins displayed by Kin's Market. I regard this as a short distance generally, particularly given the propensity for round-shaped grapes to roll. Based on this evidence I am satisfied on the balance of probabilities that the grapes which caused Mr. Davis to fall originated from Kin's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Davis' fall was witnessed by the day porter for the mall, Ms. Farenas. She is employed by Marquise Facilities Corporation ("Marquise"). Marquise is an independent contractor responsible for all the cleaning services for the mall. The Owner retained Marquise to provide these services and does not directly employ any maintenance personnel. Ms. Farenas noted the time of the accident as 2:55 p.m. and called security. Ms. Janda, who was employed by Concord Security Corporation ("Concord Security"), the independent contractor providing security services for the mall, attended at the accident site immediately after receiving a call from Ms. Farenas. She also noticed the green grapes where Mr. Davis fell. While Ms. Janda called for an ambulance, Ms. Farenas alerted Mr. Ye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waiting for the ambulance to arrive, Ms. Janda alerted an employee of Kin's Market to the grapes on the floor. He did not seem concerned about the grapes and took no steps to remove them. As a consequence, Ms. Janda picked the grapes up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Farenas deposed that she was "inspecting and maintaining" the common areas outside of Kin's Market between 1:50 p.m. and 2:15 p.m. and saw no grapes on the marble tiles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B. Maintenance Standards - Kin's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accident, Kin's Market had cleaning and maintenance policies in place. Mr. Ye deposed that Kin's Market employees were responsible for cleaning the inside store areas and the areas around the display tables on the brick tiles. Kin's Market employees were not responsible for cleaning the marble tiles in the mall corridors as those duties were carried out by the mall cleaning staff. Whereas Kin's Market employed an hourly sweep log for the store's interior spaces and the brick tile outside of the store, there was no regular cleaning or sweeping regime for spills that may occur beyond these areas. However, in practice, if an employee noticed a spill or some dropped produce on the marble tiles adjacent to the display tables, he or she would clean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ensure the cleaning policies were regularly enforced, Mr. Ye was directed to send the sweep logs to Kin's Market's head office for inspection. Ms. Chu, Kin's Market's director of business, also attended at the Lynn Valley Mall store twice per month to inspect the cleanliness of the store and to ensure the employees were abiding by the maintenance policies. If she noticed a problem, it would be brought to the employees' attention for rectification. The sweep log in evidence is dated May 23 to June 5, 2005. While there are a few gaps in the log, it generally indicates that the employees were following the hourly sweep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evidence, however, that Kin's Market employees were not always vigilant with respect to their cleaning duties in the display areas outside the store. Ms. Janda deposed that in 2005 and 2006 while she was employed as a security guard at the mall she never saw a Kin's Market employee cleaning or sweeping the marble floor areas outside of the store or the brick tiles where the display tables were located. Based on her observations, the areas around the outside of Kin's Market always had substantially more debris than any other area of the mall. Every day she was on shift, Ms. Janda would pick up debris outside the Kin's Market. This was not something she had to do for any other store in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Ms. Janda deposed that several hours after the ambulance took Mr. Davis away, she walked past Kin's Market and noticed more grapes on the marble tiles immediately outside the store. She brought the grapes to the attention of the employee in charge of Kin's Market at that time and suggested that they be picked up before anyone else fell. When this employee took no steps to clean up the grapes, Ms. Janda picked them up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Knowing that fallen grapes and other fruit can pose a serious hazard to people attending the mall, and in particular elderly persons, Kin's Market took no steps to reduce the potential hazard beyond the sweep policy and reliance upon its employees to notice spills and clean them up. In particular, Kin's Market does not have non-slip mats around its display tables or troughs to catch falling grapes and other small fruits and vegetables.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 Maintenance Standards -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time of the accident, the Owner had no cleaning or maintenance policies in place for the mall. Instead, the Owner contracted out the maintenance services to Marquise backed up by Concord Security. The arrangement between the Owner and Marquise required Marquise to take responsibility for cleaning, maintaining and performing regular inspections of all common areas in the mall, including the area where Mr. Davis fell. Concord Security staff also provided a backup system in the form of patrols throughout the mall to ensure the safety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day of the accident the Owner had no employees on duty. Marquise had one employee working that day, Ms. Farenas, who was the sole day porter on duty for the entire mall. Ms. Janda was on duty for Concord Security; however, it is not known if there were additional security personnel on duty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Farenas' evidence concerning her duties on the day of the accident and generally as a day porter is contained in an affidavit sworn December 15, 2008. The day porter has a large array of duties during a shift, only one of which is to inspect the common areas for spills and debris and clean them up. In addition to this duty, Ms. Farenas cleaned and checked the washrooms for supplies; ensured that all the mall furniture, signs and garbage containers were clean and in their correct locations; spot cleaned the entrance door glass; removed and compacted all the garbage from the common areas of the mall; cleaned all surfaces in the mall such as balustrades and railings; dusted generally, including light fixtures; and washed down all the elevator walls, stairwells, ledges and mirrored glass. Although Ms. Farenas' affidavit appears to suggest that she swept the marble tiles in the common areas on a regular basis, the maintenance log only refers to the mall entrances as the subject of regular, hourly inspections. In addition, it is apparent that while Ms. Farenas may have regularly inspected the mall entrances for debris and spills, she did not sweep the floor. The night janitor swept and mopped the entire floor each evening. Ms. Farenas' cart contained cleaning supplies; however, she did not carry with her a broom suitable for sweeping the entire floor on these inspection rounds. She had only a small brush and scoop.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Farenas' affidavit is also quite vague as to precisely what her duties included when she deposes that she "inspected and maintained" the mall corridor near Kin's Market on the afternoon of the accident. From the term "inspection", it may be inferred that she looked around for debris and spills; however, what type of maintenance she performed is left in doubt. In addition, there is no indication of how much time Ms. Farenas spent on this duty. She can only recall that it was done sometime between 1:50 p.m. and 2:10 p.m. Lastly, because her inspection of this area of the mall does not appear to be a regular, hourly function recorded in the maintenance log, one cannot assume that the work was carried out in accordance with a set standard or fixed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Downie, the Owner's operations manager, deposed that the security guards employed by Concord Security patrol the common areas of the mall to ensure the safety of the public. If a security officer saw debris or a spill on the floor in the common area, he or she was to report it to Marquise for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 Relevant Lease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3 of Schedule F attached to the lease agreement between the Owner and Kin's Market sets out the special conditions imposed on the display of produce outside the store. These provisions are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 shall be permitted to merchandise outside the storefront of the Premises provided such merchandising shall not protrude farther than four feet from the lease line and shall be done utilizing portable carts which shall be no higher than four feet in height. The Tenant shall not be permitted to include umbrellas or any other item which may extend beyond four feet in height.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Tenant shall ensure that the area around the carts shall be kept clean and free of any and all debris. The tenant shall indemnify the Landlord and save it harmless from and against any and all loss, claims, actions, damages, liability, and expense in connection with loss of life, personal injury, damage to property, or any other loss or injury whatsoever occurring as a result of such merchandising.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Kin's Market an occupier as defined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If Kin's Market is not an occupier, did it otherwise owe a duty of care to Mr. Davis in the circumstances?</w:t>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Kin's Market meet the standard of care under either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at common law?</w:t>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Owner meet the standard of care under either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at common law?</w:t>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there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ARGUMENT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1. Was Kin's Market an occupier as defined in the Act? If Kin's Market is not an occupier, did it otherwise owe a duty of care to Mr. Davis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Kin's Market argues that it was not an "occupier"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because it was not in physical possession of the location where Mr. Davis fell and the grapes were located. Only the Owner occupied that space. Further, Kin's Market says it did not have responsibility or control over the condition of the marble tiles. The lease agreement with the Owner only required Kin's Market to clean around the bins or tables. Lastly, Kin's Market argues that the Owner assumed responsibility for inspecting and cleaning the marble tiles; Kin's Market had no control over who entered this area or what activities went on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Davis argues that Kin's Market was an occupier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several reasons. First, Kin's Market was obliged to clean the brick areas outside of its store and around the bins. Mr. Ye also acknowledged an obligation to pick up debris from the bins even if it was located on the marble tiles. Mr. Tung, an operations manager employed by Kin's Market's head office, also acknowledged in his examination for discovery an obligation to clean up any debris that fell off the bins and landed in the mall corridor. Second, the right to place merchandise outside the store under the lease agreement came with an obligation to ensure this area and the surrounding spaces (in the mall corridor) were cleaned up. Third, on June 5, 2005, the bins displaying produce encroached on the marble tiles that were part of the common areas of the mall and this was a regular occurrence. Fourth, Kin's Market had a measure of control and responsibility for the location of the accident due to its obligation to keep these areas clean and safe for mall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am satisfied that Kin's Market was an occupier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regard to the location of the accident. An occupier is defined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 person who is in physical possession of premises or who has responsibility for and control over the condition of the premises, the activities conducted on the premises, and the persons allowed to enter the premises. The evidence is that Kin's Market not only was physically in possession of the brick tiles where the display tables were located on the day of the accident, but it also had physical possession of a portion of the marble tiles surrounding the tables. It is irrelevant that the Owner also occupied the same premises as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specifically provides that more than one person may occupy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Kin's Market also had control over and responsibility for the areas surrounding its merchandising bins. The lease agreement granted Kin's Market the right to occupy the space outside its storefront on condition that it took responsibility for cleaning the surrounding spaces and ensuring the safety of the public. Having chosen to occupy this space on such conditions, I find there is little distinction between the brick tiles where the bins were located and the marble tiles immediately adjacent to the bins. Both areas were occupied by Kin's Market for the purpose of selling and displaying its products and there was no barrier or line separating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alternative, I find that in the circumstances Kin's Market owed a duty of care to Mr. Davis. Kin's Market extended its business location by establishing a merchandising area in the mall concourse outside its storefront. In doing so, Kin's Market was aware or should reasonably have been aware that fruit and vegetables that fell out of the bins would be hazardous to passing mall patrons. Given the nature of such produce, and grapes in particular, it is readily apparent that such debris would likely roll past any notional line between the bricks, which Kin's Market acknowledges responsibility for, and the marble tiles immediately adjacent to the bricks. Thus I am satisfied that Kin's Market had a duty of care at common law to ensure the areas around the bins, even if on the marble tiles, were reasonably safe for passing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2. Did Kin's Market meet the standard of care under either the Act or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Kin's Market argues that it had a reasonable system of inspection and maintenance in place on the date of the accident and this system was followed by its employees. The test to be applied is one of reasonableness and not perfection: </w:t>
      </w:r>
      <w:r>
        <w:rPr>
          <w:rFonts w:ascii="arial" w:eastAsia="arial" w:hAnsi="arial" w:cs="arial"/>
          <w:i/>
          <w:color w:val="000000"/>
          <w:sz w:val="20"/>
          <w:lang w:val="en-US" w:eastAsia="en-US" w:bidi="ar-SA"/>
        </w:rPr>
        <w:t>Lee v. Loblaws Inc. (d.o.b. The Real Canadian Superstore)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[1997] B.C.J. No. 866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Loblaws</w:t>
      </w:r>
      <w:r>
        <w:rPr>
          <w:rFonts w:ascii="arial" w:eastAsia="arial" w:hAnsi="arial" w:cs="arial"/>
          <w:color w:val="000000"/>
          <w:sz w:val="20"/>
          <w:lang w:val="en-US" w:eastAsia="en-US" w:bidi="ar-SA"/>
        </w:rPr>
        <w:t xml:space="preserve">] at para. 22. It says that the standard of care applicable to supermarkets is a system of hourly store sweeps: </w:t>
      </w:r>
      <w:r>
        <w:rPr>
          <w:rFonts w:ascii="arial" w:eastAsia="arial" w:hAnsi="arial" w:cs="arial"/>
          <w:i/>
          <w:color w:val="000000"/>
          <w:sz w:val="20"/>
          <w:lang w:val="en-US" w:eastAsia="en-US" w:bidi="ar-SA"/>
        </w:rPr>
        <w:t>Bjerregaard v. Westfair Foods Ltd. (c.o.b. Extra Low Foods)</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2003 BCSC 1755</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[2003] B.C.J. No. 2648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Bjerregaard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Hoffert v. Westfair Foods Ltd.</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[1996] B.C.J. No. 2863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Hoffert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Kin's Market maintains that because Ms. Farenas swept the location of the accident on June 5, 2005 within one hour of Mr. Davis' fall, the court must find that the standard of care has been met notwithstanding it was a Marquise employee who carried out the cleaning functions. Provided the Owner has met the standard of care, Kin's Market is not liable for Mr. Davis' injuries. The fact that on other days Kin's Market may not have followed its sweep system is irrelevant to the question of liability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Kin's Market also argues that the standard of care does not require the use of mats or troughs around the bins or any other preventative safety measures: </w:t>
      </w:r>
      <w:r>
        <w:rPr>
          <w:rFonts w:ascii="arial" w:eastAsia="arial" w:hAnsi="arial" w:cs="arial"/>
          <w:i/>
          <w:color w:val="000000"/>
          <w:sz w:val="20"/>
          <w:lang w:val="en-US" w:eastAsia="en-US" w:bidi="ar-SA"/>
        </w:rPr>
        <w:t>Hoffert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Bjerregaard</w:t>
      </w:r>
      <w:r>
        <w:rPr>
          <w:rFonts w:ascii="arial" w:eastAsia="arial" w:hAnsi="arial" w:cs="arial"/>
          <w:color w:val="000000"/>
          <w:sz w:val="20"/>
          <w:lang w:val="en-US" w:eastAsia="en-US" w:bidi="ar-SA"/>
        </w:rPr>
        <w:t xml:space="preserve"> at paras. 17-26. Furthermore, there is no evidence that these devices would have prevented the grapes from falling out of the bins. In these circumstances, Mr. Davis has failed to prove a causal relationship between the failure to use mats or troughs and 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Davis argues that Kin's Market may have a reasonable system in place for sweeping inside its store and the bricks outside the store; however, it has no inspection and maintenance system for the areas surrounding the bins. Cleaning these areas was left to chance because an employee was only required to clean up a spill or debris if she or he noticed it. Moreover, cleaning tasks did not take priority over serving a customer. Mr. Davis also argues that the system in place for the store and the brick tiles is not as described by Mr. Ye. In particular, Mr. Davis argues that Kin's Market's employee manual does not require them to keep an hourly sweep log. The employees are only required to use their powers of observation to "ensure the floor is clean at all times". Mr. Davis also argues that the system in place was deficient because no particular employee was in charge of cleaning the floor or the areas around the display tables. The failure to make a specific employee directly responsible for cleaning designated areas was found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 occupier: </w:t>
      </w:r>
      <w:r>
        <w:rPr>
          <w:rFonts w:ascii="arial" w:eastAsia="arial" w:hAnsi="arial" w:cs="arial"/>
          <w:i/>
          <w:color w:val="000000"/>
          <w:sz w:val="20"/>
          <w:lang w:val="en-US" w:eastAsia="en-US" w:bidi="ar-SA"/>
        </w:rPr>
        <w:t>Savoie v. K-Mart Canada Ltd.</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(1990), 110 N.B.R. (2d) 388</w:t>
        </w:r>
      </w:hyperlink>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[1990] N.B.J. No. 949</w:t>
        </w:r>
      </w:hyperlink>
      <w:r>
        <w:rPr>
          <w:rFonts w:ascii="arial" w:eastAsia="arial" w:hAnsi="arial" w:cs="arial"/>
          <w:color w:val="000000"/>
          <w:sz w:val="20"/>
          <w:lang w:val="en-US" w:eastAsia="en-US" w:bidi="ar-SA"/>
        </w:rPr>
        <w:t xml:space="preserve"> (Q.B.), aff'd </w:t>
      </w:r>
      <w:hyperlink r:id="rId29" w:history="1">
        <w:r>
          <w:rPr>
            <w:rFonts w:ascii="arial" w:eastAsia="arial" w:hAnsi="arial" w:cs="arial"/>
            <w:i/>
            <w:color w:val="0077CC"/>
            <w:sz w:val="20"/>
            <w:u w:val="single"/>
            <w:shd w:val="clear" w:color="auto" w:fill="FFFFFF"/>
            <w:lang w:val="en-US" w:eastAsia="en-US" w:bidi="ar-SA"/>
          </w:rPr>
          <w:t>(1991), 120 N.B.R. (2d) 171</w:t>
        </w:r>
      </w:hyperlink>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[1991] N.B.J. No. 862</w:t>
        </w:r>
      </w:hyperlink>
      <w:r>
        <w:rPr>
          <w:rFonts w:ascii="arial" w:eastAsia="arial" w:hAnsi="arial" w:cs="arial"/>
          <w:color w:val="000000"/>
          <w:sz w:val="20"/>
          <w:lang w:val="en-US" w:eastAsia="en-US" w:bidi="ar-SA"/>
        </w:rPr>
        <w:t xml:space="preserve"> (C.A.). Mr. Davis argues that without effective preventative measures set up to monitor and clean those areas around the bins, Kin's Market failed to meet the standard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Mr. Davis argues that Kin's Market had no system for inspecting the areas around the display tables and no system of maintenance to address fruit falling out of the bins and rolling into the mall corridor. Kin's Market took no steps to minimize the risk of falling fruit knowing that this was a hazard to passing customers, and, in particular, senior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Davis also argues that Kin's Market failed to follow its own maintenance system. The sweep log does not describe what the employees actually did and the employee policy manual only requires them to "clean as and when needed". Mr. Davis argues that attempts to fill in these gaps with recollections of what was done over three years ago, without any notes, should be viewed with caution. In addition, Mr. Davis argues that Kin's Market employees both on the day of the accident and on other days were not interested in cleaning up spills from the bins that affected the marble tile areas even when such debris was brought to their attention. In this regard, Mr. Davis relies upon Ms. Janda's evidence. This evidence, argues Mr. Davis, tends to show that a system of cleaning reliant upon employee observations alone does not meet a standard of reasonableness: </w:t>
      </w:r>
      <w:r>
        <w:rPr>
          <w:rFonts w:ascii="arial" w:eastAsia="arial" w:hAnsi="arial" w:cs="arial"/>
          <w:i/>
          <w:color w:val="000000"/>
          <w:sz w:val="20"/>
          <w:lang w:val="en-US" w:eastAsia="en-US" w:bidi="ar-SA"/>
        </w:rPr>
        <w:t>Anderson v. Hicks Enterprises Ltd.</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[1991] B.C.J. No. 3059</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Coulson v. Canada Safeway Ltd.</w:t>
      </w:r>
      <w:r>
        <w:rPr>
          <w:rFonts w:ascii="arial" w:eastAsia="arial" w:hAnsi="arial" w:cs="arial"/>
          <w:color w:val="000000"/>
          <w:sz w:val="20"/>
          <w:lang w:val="en-US" w:eastAsia="en-US" w:bidi="ar-SA"/>
        </w:rPr>
        <w:t xml:space="preserve"> (1988), </w:t>
      </w:r>
      <w:hyperlink r:id="rId31" w:history="1">
        <w:r>
          <w:rPr>
            <w:rFonts w:ascii="arial" w:eastAsia="arial" w:hAnsi="arial" w:cs="arial"/>
            <w:i/>
            <w:color w:val="0077CC"/>
            <w:sz w:val="20"/>
            <w:u w:val="single"/>
            <w:shd w:val="clear" w:color="auto" w:fill="FFFFFF"/>
            <w:lang w:val="en-US" w:eastAsia="en-US" w:bidi="ar-SA"/>
          </w:rPr>
          <w:t>[1989] 2 W.W.R. 264</w:t>
        </w:r>
      </w:hyperlink>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32 B.C.L.R. (2d) 212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Coulson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places upon an occupier a duty of care, "that in all the circumstances of the case is reasonable to see that a person ... on the premises ... will be reasonably safe in using the premises." The duty of care applies in relation to the condition of the premises, the activities carried on in the premises, and the conduct of third parties. Where there is evidence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 occupier may refute the breach by leading evidence that it had put into place a reasonable system of inspection and maintenance that was being followed at the time of the accident: </w:t>
      </w:r>
      <w:r>
        <w:rPr>
          <w:rFonts w:ascii="arial" w:eastAsia="arial" w:hAnsi="arial" w:cs="arial"/>
          <w:i/>
          <w:color w:val="000000"/>
          <w:sz w:val="20"/>
          <w:lang w:val="en-US" w:eastAsia="en-US" w:bidi="ar-SA"/>
        </w:rPr>
        <w:t>Atkins v. Jim Pattison Industries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(1998), 146 B.C.A.C. 83</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61 B.C.L.R. (3d) 183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Atkins</w:t>
      </w:r>
      <w:r>
        <w:rPr>
          <w:rFonts w:ascii="arial" w:eastAsia="arial" w:hAnsi="arial" w:cs="arial"/>
          <w:color w:val="000000"/>
          <w:sz w:val="20"/>
          <w:lang w:val="en-US" w:eastAsia="en-US" w:bidi="ar-SA"/>
        </w:rPr>
        <w:t xml:space="preserve"> cited to B.C.L.R.].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this case, I find that Mr. Davis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duty of care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He slipped and fell on grapes that posed a serious hazard that Kin's Market was cognizant of and which, if permitted to remain on the floor, would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onus thus shifts to Kin's Market to rebut this </w:t>
      </w:r>
      <w:r>
        <w:rPr>
          <w:rFonts w:ascii="arial" w:eastAsia="arial" w:hAnsi="arial" w:cs="arial"/>
          <w:i/>
          <w:color w:val="000000"/>
          <w:sz w:val="20"/>
          <w:lang w:val="en-US" w:eastAsia="en-US" w:bidi="ar-SA"/>
        </w:rPr>
        <w:t>prima face</w:t>
      </w:r>
      <w:r>
        <w:rPr>
          <w:rFonts w:ascii="arial" w:eastAsia="arial" w:hAnsi="arial" w:cs="arial"/>
          <w:color w:val="000000"/>
          <w:sz w:val="20"/>
          <w:lang w:val="en-US" w:eastAsia="en-US" w:bidi="ar-SA"/>
        </w:rPr>
        <w:t xml:space="preserve"> case by leading evidence that it had in place a reasonable scheme of maintenance designed to minimize the chance of such hazards occurring and that this scheme was in fact being followed at the relevant time. As Ryan J.A. says in </w:t>
      </w:r>
      <w:r>
        <w:rPr>
          <w:rFonts w:ascii="arial" w:eastAsia="arial" w:hAnsi="arial" w:cs="arial"/>
          <w:i/>
          <w:color w:val="000000"/>
          <w:sz w:val="20"/>
          <w:lang w:val="en-US" w:eastAsia="en-US" w:bidi="ar-SA"/>
        </w:rPr>
        <w:t>Atkins</w:t>
      </w:r>
      <w:r>
        <w:rPr>
          <w:rFonts w:ascii="arial" w:eastAsia="arial" w:hAnsi="arial" w:cs="arial"/>
          <w:color w:val="000000"/>
          <w:sz w:val="20"/>
          <w:lang w:val="en-US" w:eastAsia="en-US" w:bidi="ar-SA"/>
        </w:rPr>
        <w:t xml:space="preserve">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 The plaintiff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sought to refute it by showing that it had a reasonable scheme in place which was being followed. It is not enough to demonstrate that there is a plan in existence. The defendant must call some evidence to show that it was being followed. To paraphrase Cumming J.A. in </w:t>
      </w:r>
      <w:r>
        <w:rPr>
          <w:rFonts w:ascii="arial" w:eastAsia="arial" w:hAnsi="arial" w:cs="arial"/>
          <w:i/>
          <w:color w:val="000000"/>
          <w:sz w:val="20"/>
          <w:lang w:val="en-US" w:eastAsia="en-US" w:bidi="ar-SA"/>
        </w:rPr>
        <w:t>Kayser v. Park Royal Shopping Centre Ltd.</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(B.C.C.A.), at p. 334, there must be evidence from which it is reasonable to infer that the system in place for ensuring that hazards are minimized was followed on the day in question. In some cases the occupier may not be in a position to call evidence to show that a particular person swept the floor (or did whatever the plan required) on the particular day in question. It must at least establish that there was routine compliance with the scheme from which the trial judge can infer observance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Turning to the first part of the test, I must determine whether the system in place for inspection and maintenance of the marble tiles adjacent to the bins or display tables was reasonable in the circumstances. In my view, Kin's Market did not implement a reasonable system for monitoring spills from its bins that spread to the surrounding marble tile areas. Kin's Market's storefront merchandising display tables created a potential hazard in that fruit falling from the bins could likely roll out onto the mall corridor. The only means by which it ensured such spills or debris did not become a hazard to mall patrons was the chance observation by employees on duty. The routine hourly sweep policy did not apply to areas beyond the four foot brick tiles and Mr. Ye did not supervise employees' compliance with this observation system by requiring them to log their inspection times or by any other means. No specific employee was designated to keep an eye out for spills and debris that might constitute a hazard. There were also no precautionary measures used to minimize spills from the bins or the rolling of fruit onto slippery tile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While the standard required to be met is not one of perfection and Kin's Market is not an insurer for its customers or the mall patrons, I find that reliance on the powers of observation of busy employees falls short of the standard of reasonableness in the circumstances. As the authorities Kin's Market relies upon clearly illustrate, merely tasking employees with a duty to clean up spills that they notice is insufficient to satisfy the duty of care imposed by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unless it is supplemented by a system of routine inspection and sweeping. Further, the failure to assign the job of monitoring spills from the bins in the mall concourse further reduced the likelihood that such hazards would be noticed. Additional precautionary measures, such as mats or troughs, are not necessary to meet the standard of care if a routine maintenance policy is in place. However, where an occupier is relying solely on the chance observation of spills by its employees, such precautionary measures, by reducing the likelihood of a spill, may tip the balance in favour of a reasonable standard of care. The absence of precautionary measures in these circumstances leads to a conclusion that the occupier failed to meet the standard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to having no reasonable system of inspection and maintenance in place to address spills from the bins and display tables outside the store, I find that the employees were not complying with the standards set by their employer on the day of the accident. Ms. Janda's evidence tends to show that the employees of Kin's Market were lax in regard to the cleanliness of the areas surrounding the bins. While evidence of a failure to comply with the cleaning policies well prior to the date of the accident cannot be used to infer such a failure on the date of the accident, in this case there is evidence that just hours after Mr. Davis' fall there were more grapes on the marble tiles adjacent to the bins displayed by Kin's Market. This evidence suggests that the employees of Kin's Market had rather poor powers of observation. Moreover, the fact that on two occasions on June 5, 2005, employees of Kin's Market took no steps to clean up fallen grapes after the spills were brought to their attention strongly suggests that they took no responsibility for any produce that landed beyond the brick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Lastly, Kin's Market argues that even if it failed to meet the standard of care owed as an occupier, the fact that the Owner met this standard removes any responsibility they may have for the accident. I am unable to accept this argument. Where there are two occupiers of premises, each of them owes a duty of care to persons invited to enter the premises. The fact that the Owner may rebut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obviate the necessity for Kin's Market to also satisfy the two pronged test articulated by the Court of Appeal in </w:t>
      </w:r>
      <w:r>
        <w:rPr>
          <w:rFonts w:ascii="arial" w:eastAsia="arial" w:hAnsi="arial" w:cs="arial"/>
          <w:i/>
          <w:color w:val="000000"/>
          <w:sz w:val="20"/>
          <w:lang w:val="en-US" w:eastAsia="en-US" w:bidi="ar-SA"/>
        </w:rPr>
        <w:t>Atkins</w:t>
      </w:r>
      <w:r>
        <w:rPr>
          <w:rFonts w:ascii="arial" w:eastAsia="arial" w:hAnsi="arial" w:cs="arial"/>
          <w:color w:val="000000"/>
          <w:sz w:val="20"/>
          <w:lang w:val="en-US" w:eastAsia="en-US" w:bidi="ar-SA"/>
        </w:rPr>
        <w:t>. Permitting grapes to remain on the floor as a hazard is negligent absent proof that a reasonable system of maintenance and inspection was in place and being followed on the day of the accident. Kin's Market has failed to satisfy this onus and it is irrelevant whether the Owner has led evidence that shows it met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3. Did the Owner meet the standard of care under either the Act or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Owner argues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occupier. Mr. Davis must prove some act or failure to act that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at 127, </w:t>
      </w:r>
      <w:hyperlink r:id="rId34" w:history="1">
        <w:r>
          <w:rPr>
            <w:rFonts w:ascii="arial" w:eastAsia="arial" w:hAnsi="arial" w:cs="arial"/>
            <w:i/>
            <w:color w:val="0077CC"/>
            <w:sz w:val="20"/>
            <w:u w:val="single"/>
            <w:shd w:val="clear" w:color="auto" w:fill="FFFFFF"/>
            <w:lang w:val="en-US" w:eastAsia="en-US" w:bidi="ar-SA"/>
          </w:rPr>
          <w:t>[1991] B.C.J. No. 548</w:t>
        </w:r>
      </w:hyperlink>
      <w:r>
        <w:rPr>
          <w:rFonts w:ascii="arial" w:eastAsia="arial" w:hAnsi="arial" w:cs="arial"/>
          <w:color w:val="000000"/>
          <w:sz w:val="20"/>
          <w:lang w:val="en-US" w:eastAsia="en-US" w:bidi="ar-SA"/>
        </w:rPr>
        <w:t xml:space="preserve"> (C.A.). Where the plaintiff establishes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occupier may rebut this case with evidence that at the time of the accident it had a reasonable system of cleaning and inspection in place and that it was being followed: </w:t>
      </w:r>
      <w:r>
        <w:rPr>
          <w:rFonts w:ascii="arial" w:eastAsia="arial" w:hAnsi="arial" w:cs="arial"/>
          <w:i/>
          <w:color w:val="000000"/>
          <w:sz w:val="20"/>
          <w:lang w:val="en-US" w:eastAsia="en-US" w:bidi="ar-SA"/>
        </w:rPr>
        <w:t>Bjerregaard</w:t>
      </w:r>
      <w:r>
        <w:rPr>
          <w:rFonts w:ascii="arial" w:eastAsia="arial" w:hAnsi="arial" w:cs="arial"/>
          <w:color w:val="000000"/>
          <w:sz w:val="20"/>
          <w:lang w:val="en-US" w:eastAsia="en-US" w:bidi="ar-SA"/>
        </w:rPr>
        <w:t xml:space="preserve"> at para. 14. The onus of showing the system was not being followed rests with Mr. Davis. The Owner argues that an hourly system of inspecting and sweeping the floors of the mall meets the test of reasonableness in the circumstances: </w:t>
      </w:r>
      <w:r>
        <w:rPr>
          <w:rFonts w:ascii="arial" w:eastAsia="arial" w:hAnsi="arial" w:cs="arial"/>
          <w:i/>
          <w:color w:val="000000"/>
          <w:sz w:val="20"/>
          <w:lang w:val="en-US" w:eastAsia="en-US" w:bidi="ar-SA"/>
        </w:rPr>
        <w:t>Bjerregaard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Loblaws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Owner argues that by employing Marquise to clean and inspect the mall for hazardous spills and debris, it had a reasonable system in place in all of the circumstances. Marquise regularly inspected the mall corridors throughout the day. Ms. Farenas inspected and maintained the area in question approximately one hour before the accident occurred. She also inspected the same area about 20 minutes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the Owner argues that it met the standard of reasonable care by imposing on its tenant, Kin's Market, an obligation to clean the areas surrounding the display bins as a condition of permitting merchandising outside the store area. In this regard, the Owner maintains that the sweep system in place at Kin's Market was 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third level of security for patron safety was provided by Concord Security who was also hired by the Owner to carry out this function. The security guards patrolled the area in question and were on site on the date of the accident. The fact that Ms. Janda picked up the offending grapes on the day in question is evidence that this backup system was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Davis argues that Marquise was negligent in the circumstances and that the Owner has failed to satisfy the requirements of s. 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addresses the engagement of independent contractors to work on the premises. In particular, Mr. Davis argues there is no evidence that it was reasonable for the Owner to select Marquise for the cleaning functions at the mall or that the Owner provided any supervision of its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Addressing the substance of the systems employed by the independent contractors, Mr. Davis argues that Concord Security did not acknowledge any obligation on the part of its security staff to watch for tripping hazards and clean them up or report them. Mr. Davis argues that Marquise's cleaning practices were also deficient in a number of ways. First, Marquise had only one day porter on duty to cover all the common areas of the mall, including the administrative offices on the second floor, the washrooms and the elevators. Second, Ms. Farenas' job description contains so many duties that it would be impossible for her to thoroughly inspect all areas of the mall for hazardous debris. Third, her job description does not include inspecting the floors and, in any event, the descriptors "inspect and maintain" are devoid of any specific meaning. Fourth, Marquise does not employ anyone to sweep the mall floors during the day shift. Only the night janitor mops the floor. Ms. Farenas does not carry a dry mop in her mobile maintenance cart. Finally, Ms. Farenas only regularly went to the Mall entrances to inspect for cleanliness; it was not part of her regular routine to inspect around Kin's Market and the display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summary, Mr. Davis argues that the Owner, through its independent contractor Marquise, effectively had no system in place for inspecting the concourse areas for spills and debris. The maintenance done consisted of cleaning up debris noticed by the day porter in the course of her substantial duties. She was not required to sweep any part of the concourse as a preventive measure. These measures, argues Mr. Davis, were inadequate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preliminary issue is whether the Owner is liable as an occupier despite the engagement of an independent contractor to perform the cleaning and maintenance functions. Section 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an occupier is not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to perform work on the premises provided three conditions are satisfied:</w:t>
      </w:r>
      <w:r>
        <w:rPr>
          <w:rFonts w:ascii="arial" w:eastAsia="arial" w:hAnsi="arial" w:cs="arial"/>
          <w:sz w:val="20"/>
          <w:lang w:val="en-US" w:eastAsia="en-US" w:bidi="ar-SA"/>
        </w:rPr>
        <w:cr/>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selecting the independent contractor,</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supervising the independent contractor, and</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done by the independent contractor should have been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Although the language of condition 3 is somewhat confusing, I find it addresses whether it was reasonable for the occupier to contract out the particular work in question. This interpretation is supported by </w:t>
      </w:r>
      <w:r>
        <w:rPr>
          <w:rFonts w:ascii="arial" w:eastAsia="arial" w:hAnsi="arial" w:cs="arial"/>
          <w:i/>
          <w:color w:val="000000"/>
          <w:sz w:val="20"/>
          <w:lang w:val="en-US" w:eastAsia="en-US" w:bidi="ar-SA"/>
        </w:rPr>
        <w:t>Grochowich v. Okanagan University College</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2003 BCSC 236</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[2003] B.C.J. No. 980</w:t>
        </w:r>
      </w:hyperlink>
      <w:r>
        <w:rPr>
          <w:rFonts w:ascii="arial" w:eastAsia="arial" w:hAnsi="arial" w:cs="arial"/>
          <w:color w:val="000000"/>
          <w:sz w:val="20"/>
          <w:lang w:val="en-US" w:eastAsia="en-US" w:bidi="ar-SA"/>
        </w:rPr>
        <w:t xml:space="preserve">, aff'd </w:t>
      </w:r>
      <w:hyperlink r:id="rId36" w:history="1">
        <w:r>
          <w:rPr>
            <w:rFonts w:ascii="arial" w:eastAsia="arial" w:hAnsi="arial" w:cs="arial"/>
            <w:i/>
            <w:color w:val="0077CC"/>
            <w:sz w:val="20"/>
            <w:u w:val="single"/>
            <w:shd w:val="clear" w:color="auto" w:fill="FFFFFF"/>
            <w:lang w:val="en-US" w:eastAsia="en-US" w:bidi="ar-SA"/>
          </w:rPr>
          <w:t>2004 BCCA 325</w:t>
        </w:r>
      </w:hyperlink>
      <w:r>
        <w:rPr>
          <w:rFonts w:ascii="arial" w:eastAsia="arial" w:hAnsi="arial" w:cs="arial"/>
          <w:color w:val="000000"/>
          <w:sz w:val="20"/>
          <w:lang w:val="en-US" w:eastAsia="en-US" w:bidi="ar-SA"/>
        </w:rPr>
        <w:t xml:space="preserve">, where the trial judge held that s. 5(1)(b)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the occupier to establish that it was reasonable to delegate the work to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case, I find it was reasonable for the Owner to contract out the cleaning services for the mall rather than employ staff who would be responsible for this work. Certainly there is nothing in the evidence that would suggest that it was inappropriate or unreasonable for the Owner to contract out the cleaning services. The mall has a significant square footage dedicated to common areas and administrative offices. A company solely dedicated to this type of work would in theory be capable of carrying out the required tasks more efficiently and more effectively than the Owner of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other hand, there is no evidence of what steps, if any, the Owner took to ensure that Marquise was a reasonable choice as an independent contractor. There is also no evidence of what form of supervision, if any, was exercised over the work performed by Marquise. Mr. Downie, the operations manager for the Lynn Valley Mall, was not on duty on June 5, 2005, and there were no other employees of the Owner on site that day. Mr. Downie did not provide evidence of how, if at all, he supervises the work done by Marquise.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Thus I find that the Owner has failed to satisfy the provisions of s. 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If Marquise is found to be negligent, the Owner cannot claim the defence found in this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discussed above, I find that Mr. Davis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duty of care described in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He slipped and fell on some grapes that were left on the marble tiles of the pedestrian concourse in the Lynn Valley Mall. The Owner concedes that, in relation to this part of the mall, it is an occupier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If left unattended on the floor, these grapes presented a hazard that the Owner was either aware of or should reasonably have been aware of in all of the circumstances. Thus, absent proof of a reasonable maintenance and inspection system in place and being followed on the day in question, leaving the grapes unattended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the duty of care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Turning to the first prong of the </w:t>
      </w:r>
      <w:r>
        <w:rPr>
          <w:rFonts w:ascii="arial" w:eastAsia="arial" w:hAnsi="arial" w:cs="arial"/>
          <w:i/>
          <w:color w:val="000000"/>
          <w:sz w:val="20"/>
          <w:lang w:val="en-US" w:eastAsia="en-US" w:bidi="ar-SA"/>
        </w:rPr>
        <w:t>Atkins</w:t>
      </w:r>
      <w:r>
        <w:rPr>
          <w:rFonts w:ascii="arial" w:eastAsia="arial" w:hAnsi="arial" w:cs="arial"/>
          <w:color w:val="000000"/>
          <w:sz w:val="20"/>
          <w:lang w:val="en-US" w:eastAsia="en-US" w:bidi="ar-SA"/>
        </w:rPr>
        <w:t xml:space="preserve"> test, I find the cleaning and inspection system employed by Marquise was not reasonably adequate to ensure the safety of the public in a manner consistent with the standard of care defined by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Marquise employed a single day porter to carry out all of the cleaning services required to be done inside the mall during its opening hours. This employee was tasked with a wide variety of duties apart from carrying out an inspection of the floors for debris. These tasks took Ms. Farenas into the washrooms, the elevators, the stairways, the administrative offices, the exterior entrances, the service corridors, and the second floor corridors. There is no evidence that she was able to carry out all of these functions and sweep the entire mall on a regular basis. Indeed, the maintenance log, originally drafted to record when the washrooms were cleaned, only required Ms. Farenas to inspect and maintain the entrances to the Mall. No part of her duties included a regular inspection of the other common areas, including the marble tiles adjacent to Kin's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evidence supports a conclusion that it was only by chance that Ms. Farenas would see hazardous debris in any areas of the mall apart from the entrances. While her job description required Ms. Farenas to tour the common areas for spills on a regular basis, the maintenance log, as well as her affidavit evidence, supports a finding that she was not required to regularly inspect any other areas of the mall beyond the entrances. While her job description included sweeping and mopping the common areas, she had no dry mop to carry out this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Farenas deposed that she "inspected and maintained" the common area in front of Kin's Market between 1:50 p.m. and 2:10 p.m. on June 5, 2005. There is no more specific evidence of what precisely Ms. Farenas did to complete her "inspection and maintenance". Ms. Farenas did not file an accident report and it appears that the first time she was called upon to provide her recollection of the events was when she swore the affidavit on December 15, 2008, over three years after the accident. Because this was not a routine part of her job, it is unlikely that Ms. Farenas would have been able to recall the specifics of her duties on June 5, 2005, so long after the events. Ms. Janda's accident report indicates that the last time the floor around the area of Kin's Market was swept was the night before the accident. Thus it is reasonable to conclude that "maintenance" did not include sweeping this area. The general phrase, "inspect and maintain" provides no other clues as to what is meant. It could be as little as a cursory glance at the floor as Ms. Farenas pushed her maintenance cart to the other end of the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evidentiary onus rests with the Owner to show that it had a reasonable system in place at the time of the accident. The affidavit evidence of Ms. Farenas does not permit the court to evaluate the reasonableness of her actions on the day of the accident because it is so void of informative descriptors of what she did or how she carried out these duties. Thus I find that the Owner has failed to satisfy the onus resting on it to show that it had a reasonable system in place that adequately protected the public from hazards on the floor of the mall corridors.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best, Marquise's system was to rely upon the powers of observation of its single employee to detect a spill and clean it up. Given the large number of duties the day porter had during her shift, I find it was unreasonable to expect that she would have the time to be sufficiently vigilant to detect hazardous debris in a reasonably satisfactory manner. While this ad hoc system of detecting spills and other hazards was backed up somewhat by the security personnel employed by Concord Security, I find this added safeguard was insufficient to meet the standard of reasonableness. There is no evidence of how often or how regularly the security guards toured the mall with a view to detecting and reporting hazardous spills. There is no job description for the security guards in evidence and Ms. Janda's affidavit only provides a general description of her duties. Further, while Ms. Janda reported spills to tenants in the mall and, in particular, to Kin's Market, she does not acknowledge this was a regular function of a security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summary, I find that the Owner has failed to rebut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the duty of care under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 xml:space="preserve">4. Is there any contributory </w:t>
      </w:r>
      <w:r>
        <w:rPr>
          <w:rFonts w:ascii="arial" w:eastAsia="arial" w:hAnsi="arial" w:cs="arial"/>
          <w:b/>
          <w:i/>
          <w:color w:val="000000"/>
          <w:sz w:val="20"/>
          <w:u w:val="single"/>
          <w:lang w:val="en-US" w:eastAsia="en-US" w:bidi="ar-SA"/>
        </w:rPr>
        <w:t>negligence</w:t>
      </w:r>
      <w:r>
        <w:rPr>
          <w:rFonts w:ascii="arial" w:eastAsia="arial" w:hAnsi="arial" w:cs="arial"/>
          <w:i/>
          <w:color w:val="000000"/>
          <w:sz w:val="20"/>
          <w:u w:val="single"/>
          <w:lang w:val="en-US" w:eastAsia="en-US" w:bidi="ar-SA"/>
        </w:rPr>
        <w:t xml:space="preserve"> on the part of Mr.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Kin's Market argues that Mr. Davis had an obligation to keep a proper look out for his own safety and to be aware of his surroundings: </w:t>
      </w:r>
      <w:r>
        <w:rPr>
          <w:rFonts w:ascii="arial" w:eastAsia="arial" w:hAnsi="arial" w:cs="arial"/>
          <w:i/>
          <w:color w:val="000000"/>
          <w:sz w:val="20"/>
          <w:lang w:val="en-US" w:eastAsia="en-US" w:bidi="ar-SA"/>
        </w:rPr>
        <w:t>Gervais v. Do</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2000 BCSC 1271</w:t>
        </w:r>
      </w:hyperlink>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[2000] B.C.J. No. 1732</w:t>
        </w:r>
      </w:hyperlink>
      <w:r>
        <w:rPr>
          <w:rFonts w:ascii="arial" w:eastAsia="arial" w:hAnsi="arial" w:cs="arial"/>
          <w:color w:val="000000"/>
          <w:sz w:val="20"/>
          <w:lang w:val="en-US" w:eastAsia="en-US" w:bidi="ar-SA"/>
        </w:rPr>
        <w:t>. Kin's Market points to Mr. Davis' admission that his attention was not directed to where he was walking before he fell; rather, he was looking toward the Shoppers Drug Mart. He was familiar with the mall and could have avoided the fall had he been paying attention to the floor where he was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Davis argues that Kin's Market and the other tenants encourage shoppers to look at their displays rather than the floor while they walk through the mall. It is thus unreasonable to find him negligent when he is simply responding to this encouragement: </w:t>
      </w:r>
      <w:r>
        <w:rPr>
          <w:rFonts w:ascii="arial" w:eastAsia="arial" w:hAnsi="arial" w:cs="arial"/>
          <w:i/>
          <w:color w:val="000000"/>
          <w:sz w:val="20"/>
          <w:lang w:val="en-US" w:eastAsia="en-US" w:bidi="ar-SA"/>
        </w:rPr>
        <w:t>Coulson</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my view, it is not reasonable to expect Mr. Davis to be staring at his feet as he walked through the mall towards the Shoppers Drug Mart. Had he positioned his head in a downward direction to detect possible hazards on the floor, Mr. Davis may have stepped over the grapes in his path; however, he may also have run into another mall patron possibly causing damage to himself and the other person. It is also understandable that Mr. Davis would not be cognizant of the risks associated with walking in the common area of the mall adjacent to Kin's Market, particularly as he was three to four feet from the display tables. He was not inside the store where he may have been alerted to the possibility of produce that had fallen to the floor. Lastly, I find Mr. Davis' circumstances are similar to that found by the Court of Appeal in </w:t>
      </w:r>
      <w:r>
        <w:rPr>
          <w:rFonts w:ascii="arial" w:eastAsia="arial" w:hAnsi="arial" w:cs="arial"/>
          <w:i/>
          <w:color w:val="000000"/>
          <w:sz w:val="20"/>
          <w:lang w:val="en-US" w:eastAsia="en-US" w:bidi="ar-SA"/>
        </w:rPr>
        <w:t>Coulson.</w:t>
      </w:r>
      <w:r>
        <w:rPr>
          <w:rFonts w:ascii="arial" w:eastAsia="arial" w:hAnsi="arial" w:cs="arial"/>
          <w:color w:val="000000"/>
          <w:sz w:val="20"/>
          <w:lang w:val="en-US" w:eastAsia="en-US" w:bidi="ar-SA"/>
        </w:rPr>
        <w:t xml:space="preserve"> The tenants in the mall design their displays to attract customers' eyes. They do not encourage patrons to keep their eyes on the floor ahead of their feet. As Bauman J. (as he then was) said in </w:t>
      </w:r>
      <w:r>
        <w:rPr>
          <w:rFonts w:ascii="arial" w:eastAsia="arial" w:hAnsi="arial" w:cs="arial"/>
          <w:i/>
          <w:color w:val="000000"/>
          <w:sz w:val="20"/>
          <w:lang w:val="en-US" w:eastAsia="en-US" w:bidi="ar-SA"/>
        </w:rPr>
        <w:t>Dufty v. Great Pacific Industries Inc.,</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2000 BCSC 1474</w:t>
        </w:r>
      </w:hyperlink>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[2000] B.C.J. No. 1988</w:t>
        </w:r>
      </w:hyperlink>
      <w:r>
        <w:rPr>
          <w:rFonts w:ascii="arial" w:eastAsia="arial" w:hAnsi="arial" w:cs="arial"/>
          <w:color w:val="000000"/>
          <w:sz w:val="20"/>
          <w:lang w:val="en-US" w:eastAsia="en-US" w:bidi="ar-SA"/>
        </w:rPr>
        <w:t xml:space="preserve">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As to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has been said many times, most recently by Justice Burnyeat in </w:t>
      </w:r>
      <w:r>
        <w:rPr>
          <w:rFonts w:ascii="arial" w:eastAsia="arial" w:hAnsi="arial" w:cs="arial"/>
          <w:i/>
          <w:color w:val="000000"/>
          <w:sz w:val="20"/>
          <w:lang w:val="en-US" w:eastAsia="en-US" w:bidi="ar-SA"/>
        </w:rPr>
        <w:t>Coleman v. Yen Hoy Ent.</w:t>
      </w:r>
      <w:r>
        <w:rPr>
          <w:rFonts w:ascii="arial" w:eastAsia="arial" w:hAnsi="arial" w:cs="arial"/>
          <w:color w:val="000000"/>
          <w:sz w:val="20"/>
          <w:lang w:val="en-US" w:eastAsia="en-US" w:bidi="ar-SA"/>
        </w:rPr>
        <w:t xml:space="preserve"> et al, </w:t>
      </w:r>
      <w:hyperlink r:id="rId39" w:history="1">
        <w:r>
          <w:rPr>
            <w:rFonts w:ascii="arial" w:eastAsia="arial" w:hAnsi="arial" w:cs="arial"/>
            <w:i/>
            <w:color w:val="0077CC"/>
            <w:sz w:val="20"/>
            <w:u w:val="single"/>
            <w:shd w:val="clear" w:color="auto" w:fill="FFFFFF"/>
            <w:lang w:val="en-US" w:eastAsia="en-US" w:bidi="ar-SA"/>
          </w:rPr>
          <w:t>2000 BCSC 276</w:t>
        </w:r>
      </w:hyperlink>
      <w:r>
        <w:rPr>
          <w:rFonts w:ascii="arial" w:eastAsia="arial" w:hAnsi="arial" w:cs="arial"/>
          <w:color w:val="000000"/>
          <w:sz w:val="20"/>
          <w:lang w:val="en-US" w:eastAsia="en-US" w:bidi="ar-SA"/>
        </w:rPr>
        <w:t xml:space="preserve"> [In Chambers], that while there is a duty on the plaintiff to be aware of her surroundings, it is not the case that she is required to "glue her eyes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find that the defendants, Kin's Market and the Owner, are jointly and severally liable to the plaintiff, Mr. Davis, for the injuries he suffered during the fall on June 5, 2005. I find, in particular, that neither defendant has rebutted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duty of care in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established by the plaintiff based on the evidence led in this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DeBoer v. Fletcher, [2013] B.C.J. No. 158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14334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Salmon Arm</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Douwe DeBoer and Inland Packers Ltd., Plaintiffs, and Dr. Raymond Fletcher, the Canadian Food Inspection Agency and Her Majesty the Queen in Right of Canada as Represented by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Civil litigation — Civil procedure — Parties — Capacity to sue or be sued — Pleadings — Striking out pleadings or allegations — Application by defendants to strike out some of the claims as disclosing no reasonable cause of action allowed in part — Personal plaintiff was directing mind of corporate plaintiff — Plaintiffs sued defendants as a result of steps taken by defendants resulting in suspension of company's licence to operate slaughterhouse — Claims of personal plaintiff were struck — Claims by corporate plaintiff, a dissolved company, were stayed — Personal plaintiff's economic loss not independent from that of company — Claims disclosed no reasonable cause of action and were bound to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Corporations, partnerships and associations law — Corporations — Liquidation and dissolution — Application by defendants to strike out some of the claims as disclosing no reasonable cause of action allowed in part — Personal plaintiff was directing mind of corporate plaintiff — Plaintiffs sued defendants as a result of steps taken by defendants resulting in suspension of company's licence to operate slaughterhouse — Claims of personal plaintiff were struck — Claims by corporate plaintiff, a dissolved company, were stayed — Personal plaintiff's economic loss not independent from that of company — Claims disclosed no reasonable cause of action and were bound to fail.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out some of the plaintiffs' claims as disclosing no reasonable cause of action. The plaintiffs sued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misstatement, defamation, misfeasance in public office, malicious prosecution, as well as intentional interference with economic relations and abuse of process. The personal plaintiff was the directing mind of the plaintiff company that operated a slaughterhouse. The plaintiffs alleged that the company's licence was suspended as a result of the defendant veterinarian's bias, inaccurate reporting, and unreasonably large number of Corrective Action Reports generated and submitted by him. The plaintiffs alleged that the defendant Food Inspection Agency owed a duty of care to both plaintiffs and failed to meet the appropriate standard of care. The corporate plaintiff was dissolved in June 2011. The parties agreed that the defamation claim by the personal plaintiff was statute barred.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by the personal plaintiff were struck. The claims by the corporate plaintiff were stayed until the appropriate application for restoration was brought. The personal plaintiff's economic loss was not independent from that of the company, but his alleged damages for intentional psychological harm would qualify as an independent loss. However, the claim was devoid of any factual allegations which could suggest a relationship with the wrongdoer independent of the relationship between the defendants and the plaintiff company. It was plain and obvious that individual plaintiff's claim in respect of the alleged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misstatement, misfeasance in public office and intentional interference with economic relations disclosed no reasonable cause of action and were bound to fail. Although the claims for malicious prosecution and abuse of process were potential claims available to the individual plaintiff, the criminal proceedings underlying these claims had not been concluded. As a result, there was no genuine issue for trial at this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47" w:history="1">
        <w:r>
          <w:rPr>
            <w:rFonts w:ascii="arial" w:eastAsia="arial" w:hAnsi="arial" w:cs="arial"/>
            <w:i/>
            <w:color w:val="0077CC"/>
            <w:sz w:val="20"/>
            <w:u w:val="single"/>
            <w:shd w:val="clear" w:color="auto" w:fill="FFFFFF"/>
            <w:lang w:val="en-US" w:eastAsia="en-US" w:bidi="ar-SA"/>
          </w:rPr>
          <w:t>SBC 2002, CHAPTER 57, s. 344</w:t>
        </w:r>
      </w:hyperlink>
      <w:r>
        <w:rPr>
          <w:rFonts w:ascii="arial" w:eastAsia="arial" w:hAnsi="arial" w:cs="arial"/>
          <w:color w:val="000000"/>
          <w:sz w:val="20"/>
          <w:lang w:val="en-US" w:eastAsia="en-US" w:bidi="ar-SA"/>
        </w:rPr>
        <w:t>, s. 346(1), s. 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N.A. Wahoski.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M.E. Tessier.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February 15, 2013;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I.C. MEIKLEM J."/>
            <w:bookmarkEnd w:id="20"/>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was the defendants' application that certain of the plaintiffs' claims to be struck as disclosing no reasonable claim under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others be dismissed under Rule 9-6 on the basis that there is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notice of civil claim in this matter was filed June 8, 2012 and sets out claims described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misstatement, defamation, misfeasance in public office, malicious prosecution, as well as intentional interference with economic relations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course of the hearing, it was agreed that the defamation claim was that of the individual plaintiff, Mr. DeBoer, and that claim was barred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because the alleged defamatory statements were made on January 14,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respect of the corporate plaintiff's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and intentional interference with economic relations, the defendants' application to strike is based on the fact that the corporate plaintiff was dissolved on June 20, 2011, under s. 422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Pursuant to s. 344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company ceased to exist for any purpose. Although s. 346, s-s. 1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provides that litigation may be continued where it was commenced before the dissolution, such is not the case here, and Inland Packers Ltd. ("Inland Packers") has no legal status or capacity to bring or retain an action as plaintiff. The only real question in this regard is whether the action should be struck as was done in the case of </w:t>
      </w:r>
      <w:r>
        <w:rPr>
          <w:rFonts w:ascii="arial" w:eastAsia="arial" w:hAnsi="arial" w:cs="arial"/>
          <w:i/>
          <w:color w:val="000000"/>
          <w:sz w:val="20"/>
          <w:lang w:val="en-US" w:eastAsia="en-US" w:bidi="ar-SA"/>
        </w:rPr>
        <w:t>Zynik Capital Corp. v. Faris</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2004 BCSC 1032</w:t>
        </w:r>
      </w:hyperlink>
      <w:r>
        <w:rPr>
          <w:rFonts w:ascii="arial" w:eastAsia="arial" w:hAnsi="arial" w:cs="arial"/>
          <w:color w:val="000000"/>
          <w:sz w:val="20"/>
          <w:lang w:val="en-US" w:eastAsia="en-US" w:bidi="ar-SA"/>
        </w:rPr>
        <w:t xml:space="preserve">, or stayed indefinitely as in the case of </w:t>
      </w:r>
      <w:r>
        <w:rPr>
          <w:rFonts w:ascii="arial" w:eastAsia="arial" w:hAnsi="arial" w:cs="arial"/>
          <w:i/>
          <w:color w:val="000000"/>
          <w:sz w:val="20"/>
          <w:lang w:val="en-US" w:eastAsia="en-US" w:bidi="ar-SA"/>
        </w:rPr>
        <w:t>Willow Green Developments Ltd. v. Lucas Anderson Construction (1993) Co.,</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[1998] B.C.J. No. 1595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 circumstances of this case, I think an indefinite stay until such time as the appropriate application for restoration is made is the more appropriate disposition. There is no underlying fundamental problem in this case, such as existed in </w:t>
      </w:r>
      <w:r>
        <w:rPr>
          <w:rFonts w:ascii="arial" w:eastAsia="arial" w:hAnsi="arial" w:cs="arial"/>
          <w:i/>
          <w:color w:val="000000"/>
          <w:sz w:val="20"/>
          <w:lang w:val="en-US" w:eastAsia="en-US" w:bidi="ar-SA"/>
        </w:rPr>
        <w:t>Zynik</w:t>
      </w:r>
      <w:r>
        <w:rPr>
          <w:rFonts w:ascii="arial" w:eastAsia="arial" w:hAnsi="arial" w:cs="arial"/>
          <w:color w:val="000000"/>
          <w:sz w:val="20"/>
          <w:lang w:val="en-US" w:eastAsia="en-US" w:bidi="ar-SA"/>
        </w:rPr>
        <w:t xml:space="preserve"> where the original company had ceased to be the owner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notice of civil claim frames the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as being the claims of both the individual plaintiff and the corporate plaintiff. The defendants maintain that the claim of Mr. DeBoer must be struck as disclosing no reasonable cause of action and being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Inland Packers owns a facility for the slaughter and preparation of hogs for resale as commercial meat products and operated on a license granted August 29, 2006 by the Canadian Food Inspection Agency (the "CFIA"). The plaintiff, Mr. DeBoer, is a shareholder, officer and director of Inland Packers. Dr. Raymond Fletcher is a veterinarian who conducted inspections at the Inland Packers' plant as agent for the CFIA who administered regulations pursuant to the </w:t>
      </w:r>
      <w:r>
        <w:rPr>
          <w:rFonts w:ascii="arial" w:eastAsia="arial" w:hAnsi="arial" w:cs="arial"/>
          <w:i/>
          <w:color w:val="000000"/>
          <w:sz w:val="20"/>
          <w:lang w:val="en-US" w:eastAsia="en-US" w:bidi="ar-SA"/>
        </w:rPr>
        <w:t>Meat Inspection Act</w:t>
      </w:r>
      <w:r>
        <w:rPr>
          <w:rFonts w:ascii="arial" w:eastAsia="arial" w:hAnsi="arial" w:cs="arial"/>
          <w:color w:val="000000"/>
          <w:sz w:val="20"/>
          <w:lang w:val="en-US" w:eastAsia="en-US" w:bidi="ar-SA"/>
        </w:rPr>
        <w:t>, R.S.C. 1985, c.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notice of civil claim sets out that CFIA suspended Inland Packers' license to operate on February 4, 2009 and that the decision to suspend the license came as a result of Dr. Fletcher's bias, inaccurate reporting, and as a result of the unreasonably large number of Corrective Action Reports ("CARs") generated and submitted by Dr. Fletcher. The plaintiffs claim that Dr. Fletcher developed a personal dislike for Mr. DeBoer and his conduct was a result of him wanting to intentionally harm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notice of civil claim alleges that CFIA owed a duty of care to both plaintiffs and failed to meet the appropriate standard of care in the following specific ways: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and or reasonable steps to ensure the CARs submitted by Dr. Fletcher were an accurate and fair representation of the operations conducted at Inland Packers;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reasonable steps to investigate Dr. Fletcher's conduct at Inland Packers and to ensure that Dr. Fletcher's reports were fair, unbiased and reasonable in the circumstances;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respond to the plaintiff's complaints regarding Dr. Fletcher's conduct at the plant, and failing to take any and/or reasonable steps to ensure that Dr. Fletcher was carrying out inspections at Inland Packers in a fair, reasonable and unbiased manner and in keeping with the CFIA protocol;</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and any and/or all reasonable steps to consider the extent to which the personality conflicts at Inland Packers influenced Dr. Fletcher's reporting;</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the plaintiff with complete and accurate information and a reasonable opportunity to respond to the CARs submitted by Dr. Fletcher;</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independent safety inspections at Inland Packers before revoking the license;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re-assign Dr. Fletcher;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the information necessary to allow the plaintiffs to respond to the CARs submitted by Dr. Fletcher;</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Suspending the license without reasonable grounds and suspending the license when to do so was unnecessary in the circumstances;</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review and consider reports submitted by the plaintiffs in a timely and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DeBoer's claim for damages is not limited to economic loss, but includes a claim that Dr. Fletcher and the CFIA engaged in malicious and unlawful conduct directed at the plaintiff, Mr. DeBoer, with the intention of inflicting mental suffering on him, knowing that the closure of Inland Packers would cause Mr. DeBoer anxiety and psychological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Both parties cite the case of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 xml:space="preserve">, as a useful review of the principles to be applied on the question of when a shareholder might maintain a separate cause of action in respect of a tort committed against a corporation without offending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2 Hare 461, 67 E.R. 189 (Ch.). Essentially the governing principle is that in respect of torts committed against a company, a shareholder will not have a cause of action unless the shareholder has both an independent relationship with the wrongdoer and an independent loss from that of the company to whom the wrong has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Insofar as independent loss is concerned, clearly Mr. DeBoer's economic loss is not independent from that of the company, but his alleged damages for intentional psychological harm would qualify as an independent loss. However, the notice of civil claim is devoid of any factual allegations which could suggest a relationship with the wrongdoer independent of the relationship between the defendants and Inland Packers.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Wahoski argued that it might be open to the trial judge to find a joint venture between the personal plaintiff and the corporate plaintiff if such were claimed in an amended pleading. Candidly, I consider that to be rather imaginative speculation because there is no suggestion of a factual basis to that notion. The notice of civil claim states in paragraph 3 that Mr. DeBoer is the operating mind of Inland Packers.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also argued that the court should be loathe to strike a novel claim on a motion to strike, and it should be left to be pursued at trial. In my view, the current pleadings do not set out a novel claim, but rather one on which the law 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my view, it is plain and obvious that Mr. DeBoer's individual claim in respect of the alleged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misstatement, misfeasance in public office and intentional interference with economic relations disclose no reasonable cause of action and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respect of the claims for malicious prosecution and abuse of process, these clearly are potential claims available to the individual plaintiff, Mr. DeBoer. They relate to criminal charges that allegedly emanated from Dr. Fletcher making wrongful accusations against the plaintiff, Mr. DeBoer, which ultimately lead to criminal charges against both plaintiffs. The notice of civil claim does not set out the nature of those charges, but from the reasons for judgment of Mr. Justice Powers of this court in dealing with a Crown appeal of a stay of proceedings based on unreasonable delay, it appears the charges related to the alleged hindering of Dr. Fletcher while he was engaged and carrying out his duties on the packing plant premises and obstructing him and forcing him to leave the premises. The defendants' application in that respect is to have this claim dismissed under Rule 9-6 on the ground that there is no genuine issue for trial because the proceedings have not yet finally been determined in the plaintiffs' favour. I agree that this is an essential ingredient of that cause of action. The accused obtained a stay of proceedings in the Provincial Court, but Powers J. allowed a Crown appeal and the matter has not been concluded. There is no genuine issue for trial at this time and the claim for malicious prosecution and the ancillary claim for abuse of process is therefore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cumulative effect of my findings is that there is no surviving cause of action by Mr. DeBoer and the notice of civil claim is, therefore, amended by deleting his name as plaintiff and changing the reference to plaintiffs throughout to the singular "plaintiff". The claims of Inland Packers are stayed until such time as the company may be restored to the Register of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are entitled to costs on the scale of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February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January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At para. 14, the reference to the "defendants" should read: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 w:history="1">
        <w:r>
          <w:rPr>
            <w:rFonts w:ascii="arial" w:eastAsia="arial" w:hAnsi="arial" w:cs="arial"/>
            <w:b/>
            <w:bCs/>
            <w:i/>
            <w:color w:val="0077CC"/>
            <w:kern w:val="32"/>
            <w:sz w:val="28"/>
            <w:szCs w:val="32"/>
            <w:u w:val="single"/>
            <w:shd w:val="clear" w:color="auto" w:fill="FFFFFF"/>
            <w:lang w:val="en-US" w:eastAsia="en-US" w:bidi="ar-SA"/>
          </w:rPr>
          <w:t>Degelder Construction Co. v. Dancorp Developments Ltd., [2000] B.C.J. No. 1484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Preston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11 - 15 and 29,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A910895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H910280, C960706 and C925249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1484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1095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B.C.L.R. (3d) 256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R.P.R. (3d)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1252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Degelder Construction Co. Ltd., plaintiff, and Dancorp Developments Ltd., Metropolitan Trust Company of Canada, Seaboard Life Insurance Company and Dunwoody Limited, defendants, and Mike Degelder and William Little, defendants by counterclaim, and Owen, Bird (a firm), Seaboard Life Insurance Company, Co-Operators Life Insurance Company, Confederation Life Insurance Company and Dunwoody Limited, third parties And between Hongkong Bank Trust Company and Seaboard Life Insurance Company, petitioners, and Dancorp Developments Ltd., Edward Patrick McDaniel, Cascade Windows Ltd., Realtech Realty Corporation, Cascade Glass Inc., Nine Star Construction Ltd., Degelder Construction Co. Ltd. and others, respondents And between Wan Yau Hung, plaintiff, and Dancorp Developments Ltd., defendant (Vancouver Registry No. C960706) And between Au Kin Cheong, Chan Yin Wah Claudia, Fu Nai So, Lai Siu Ching, Lee Vee Kang, Tang Yuk Yin and Tong Siu Ying, plaintiffs, and Dancorp Developments Ltd. and Metroplitan Trust Company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Mortgages — Building contracts — Completion by mortgagee where owner and contractor failed to complete — Duties of mortgagee — Torts — Interference with economic relations — Contracts — Inducing or procuring breach of contract — Receivers — Property — Property subject to receivership — Duties of receiver.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Degelder Construction against Dancorp Developments and Metropolitan Trust for damages for breach of a construction contract. Counterclaim by Dancorp for inducing breach of contract. Action by Dancorp against Dunwoody for improper fulfilment of its duties as a receiver. Action by Metropolitan for a foreclosure judgment regarding its two mortgages for the unsold portion of a condominium project. Dancorp was the owner and developer of a property upon which two condominium towers were built. Dancorp contracted with Degelder to build the towers and contracted with Metropolitan to provide the financing. The entire project was to be completed by October 1990. The units were presold. The presale agreements required completion by December 31, 1990. The project engineer failed to ensure that the design met required earthquake standards. As a result, it became necessary to destroy the construction, redesign the towers and recommence the work. As permitted by the contract, Metropolitan instructed Degelder to accelerate construction when it was clear that the presale deadline would not be met. Degelder served notice that Dancorp defaulted on their construction agreement. In December 1990, Metropolitan provided Degelder with financing to complete the first tower. Metropolitan appointed Dunwoody as receiver to complete the project. Only the presale agreements for the first tower could be saved. Dunwoody completed both towers. Degelder stopped work on the project and sued Dancorp and Metropolitan. This litigation was complicated by 38 builder's lien claims that were filed by subcontractors. In exchange for a payment of $2 million, Degelder released its claims against Metropolitan, removed its lien from the project and agreed to settle all of the lien claims. Dancorp disputed the amount of the deficiency. It claimed that Degelder and Metropolitan were both overpaid. It also submitted that a term should be implied into the mortgages that Metropolitan would exercise its powers in an objectively reasonable manner.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Dancorp's actions against Metropolitan and Dunwoody were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Metropolitan was granted a foreclosure order for the unsold portions of the project, as well as judgment for any deficiency under the mortgages. Metropolitan had the right to enter into agreements with Degelder to complete the project and to settle the lien claims. Given the risks and costs of litigation, Metropolitan's settlement of Degelder's claims was reasonable. It also acted within the scope of the mortgages when it reached this settlement. It accelerated the completion of the project in order to prevent the collapse of presale agreements. It did not intend to cause Degelder's breach of its contract with Dancorp. It was the acrimonious dispute between Dancorp and Degelder that jeopardized the completion of the project. Metropolitan's intervention minimized Dancorp's damages. The completion of the project was a salvage operation intended to save the presale agreements. Dunwoody's efforts to achieve this goal were reasonable. It accounted satisfactorily for the expenditures to complete the project. Metropolitan had a duty to act in good faith. However, this was a subjective duty that did not expose Metropolitan to an after-the-fact review of its conduct. Metropolitan was not a mortgagee in possession. It appointed Dunwoody pursuant to the terms of the mortgages. There was no evidentiary basis for the claim that Degelder was overpaid.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50, 50(5), 52(11).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Builder's Lien Act, </w:t>
      </w:r>
      <w:hyperlink r:id="rId58" w:history="1">
        <w:r>
          <w:rPr>
            <w:rFonts w:ascii="arial" w:eastAsia="arial" w:hAnsi="arial" w:cs="arial"/>
            <w:i/>
            <w:color w:val="0077CC"/>
            <w:sz w:val="20"/>
            <w:u w:val="single"/>
            <w:shd w:val="clear" w:color="auto" w:fill="FFFFFF"/>
            <w:lang w:val="en-US" w:eastAsia="en-US" w:bidi="ar-SA"/>
          </w:rPr>
          <w:t>R.S.B.C. 1996, c. 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Profession Act, </w:t>
      </w:r>
      <w:hyperlink r:id="rId59" w:history="1">
        <w:r>
          <w:rPr>
            <w:rFonts w:ascii="arial" w:eastAsia="arial" w:hAnsi="arial" w:cs="arial"/>
            <w:i/>
            <w:color w:val="0077CC"/>
            <w:sz w:val="20"/>
            <w:u w:val="single"/>
            <w:shd w:val="clear" w:color="auto" w:fill="FFFFFF"/>
            <w:lang w:val="en-US" w:eastAsia="en-US" w:bidi="ar-SA"/>
          </w:rPr>
          <w:t>R.S.B.C. 1996, c. 255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 Lamer and W.C. Kaplan, for Metropolitan Trust and Hong Kong Bank Trust Company. K. Bowman, for Dancorp Developments. D.R. Bennett and J.H. Goulden, for Dunwoody Limited. R.J. Sewell, for Seaboard Life Insurance Company.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3"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PRESTON J."/>
            <w:bookmarkEnd w:id="27"/>
            <w:r>
              <w:rPr>
                <w:rFonts w:ascii="arial" w:eastAsia="arial" w:hAnsi="arial" w:cs="arial"/>
                <w:b/>
                <w:color w:val="000000"/>
                <w:sz w:val="30"/>
                <w:lang w:val="en-US" w:eastAsia="en-US" w:bidi="ar-SA"/>
              </w:rPr>
              <w:t>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of general interest in these proceedings is the nature of the duty owed to a mortgagor by a mortgagee who has paid claims against the property, added the cost to the mortgage debt, and seeks recovery from the mortgagor in foreclosure proceedings. There are a number of other issues of specific interest only to the parties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 Hongkong Bank Trust Company, was named Metropolitan Trust Co. of Canada at the time of the events leading to these proceedings. I will refer to it throughout as "Metropolitan". The respondent, Dancorp Developments Ltd. ("Dancorp"), is the owner/developer of a property in Coquitlam on which two condominium towers were built in 1990-91. The financing required to build the two towers was provided to Dancorp by Metropolitan and secured by two mortgages. Metropolitan is seeking in these proceedings to foreclose on those mortgages and obtain judgment for a deficiency against Dancorp and its principal, and covenantor under the mortgages, Mr. Edward McDaniel.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Extensive litigation between Metropolitan and Dancorp precedes and underlies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Dancorp assembled the land on which the two condominium towers were to be built, entered into a contract with Degelder Construction Co. Ltd. ("Degelder") to build the towers for a fixed sum, arranged with Metropolitan for the financing and, in 1989, pre-sold the units to offshore buyers (except for three which it retained itself). The contract with Degelder required completion of Tower I by August 15, 1990 and Tower II by October 20, 1990, well before the December 31, 1990 deadlines under the presale agreements. This well-planned project (the "Project") involved very little risk once the units were pre-sold. However, late in the summer of 1989, it was discovered that the engineer who designed the Project had failed to ensure that the design met the required earthquake standards. By that time both towers were well underway. The existing construction had to be destroyed, the towers re-designed and the construction begun again. The engineer was underinsured.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Dancorp attempted to ensure the completion of construction before the presale deadlines without invoking the acceleration provisions of the construction contract which would have permitted Degelder to charge more than the budgeted price under the contract. The nature of the contract (the plans and specifications were not as detailed as they should have been) led to constant disagreements between Dancorp and Degelder. Metropolitan, which had only reluctantly advanced funds under a second mortgage to remedy the design defect, became increasingly concerned that the animosity between Dancorp and Degelder would lead to a failure to meet the presale deadlines and a resultant collapse of the sales. On October 26, 1990, when it became clear that the presale deadlines were not likely to be met, Metropolitan entered into a contract with Degelder to accelerate construction (the "October 26 Agreement"). It had the power to do this under a contract which Dancorp, Degelder, and Metropolitan had entered into at the time the second mortgage was granted in January 1990. On November 14, 1990, Degelder served notice on Dancorp that: 1) Dancorp was in default under the terms of the construction agreement for failing to approve change orders in a timely manner and, 2) if that default was not corrected within five days, Degelder could elect to stop work on the Project or terminate the construction contract. On December 7, 1990, Metropolitan obligated itself directly to Degelder to pay it to complete the Project (the "December 7 Agreement") in order to prevent disputes between Dancorp and Degelder from delaying completion of Tower I. On December 27, 1990, Metropolitan placed Dunwoody Limited ("Dunwoody"), a receiver, in charge of completing the Project. Occupancy permits were obtained for most of Tower I and most of the presale contracts for that tower were saved. Many of the presale agreements relating to Tower II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Dunwoody completed both towers. On March 15, 1991, before the towers were complete, Degelder stopped work on the Project and commenced an action alleging various breaches of the construction contract (the "Principal Action"). The defendants in that action were Dancorp, Metropolitan and Seaboard Life Insurance (the representative of a group of investors associated with Metropolitan in the mortgage financing). Dancorp counterclaimed against Metropolitan, Degelder and Dunwoody (inter 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Another contractor was hired to complete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 foreclosure proceeding was commenced by Metropolitan and Seaboard (the "Foreclosure Proceeding"). It was used as the vehicle for the orderly resolution of the complex problems associated with the sale of the individual condominium units. All units except the manager's suite were eventually sold. Financing costs and construction costs substantially exceeded their original budgets. The sales of the units were approved by this Court and the sales proceeds directed by the orders approving sale to the trust account of Owen, Bird, the solicitors for Metropolitan, pending resolution of the various claims. In January 1992, and January 1993, letters of credit were lodged in court to substitute as security and the sum of some $6.6 million was paid to Metropolitan on account of the two mortgages. Dancorp brought an application to compel Metropolitan to provide discharges of the mortgages. That application came before Master Patterson on March 16, 1993. In reasons for judgment given April 28, 1993 (Metropolitan Trust Company of Canada v. Dancorp Developments Ltd. </w:t>
      </w:r>
      <w:hyperlink r:id="rId60" w:history="1">
        <w:r>
          <w:rPr>
            <w:rFonts w:ascii="arial" w:eastAsia="arial" w:hAnsi="arial" w:cs="arial"/>
            <w:i/>
            <w:color w:val="0077CC"/>
            <w:sz w:val="20"/>
            <w:u w:val="single"/>
            <w:shd w:val="clear" w:color="auto" w:fill="FFFFFF"/>
            <w:lang w:val="en-US" w:eastAsia="en-US" w:bidi="ar-SA"/>
          </w:rPr>
          <w:t>(1993), 79 B.C.L.R. (2d) 169</w:t>
        </w:r>
      </w:hyperlink>
      <w:r>
        <w:rPr>
          <w:rFonts w:ascii="arial" w:eastAsia="arial" w:hAnsi="arial" w:cs="arial"/>
          <w:color w:val="000000"/>
          <w:sz w:val="20"/>
          <w:lang w:val="en-US" w:eastAsia="en-US" w:bidi="ar-SA"/>
        </w:rPr>
        <w:t>), he described the issue before him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petitioners admit that the payment to them of some $6.6 million pursuant to the two court orders is a sufficient amount to retire the two mortgages in full. Dancorp argues that the mortgages have been paid and consequently it is entitled to discharges in registrable form. The petitioners have apparently refused to provide those discharges because there is a contingent liability to the builder's lien claimants of approximately $5.5 million. Depending on the outcome of the builder's lien actions, the petitioners may be called upon to pay up to the full amount claimed, and, if that were so, there would be a substantial shortfall to the petitioners unless there was additional security. The petitioners argue further that it is not possible to say whether the mortgages have been paid in full until there is a final accounting of all receipts and disbursements including the costs of the receiver-manager. Without such a final accounting, the plaintiffs cannot be assured that the principal together with interest "and all other costs" owing pursuant to the mortgages have been paid in full. Until that day comes, the petitioners say there is no obligation to provide registrable discharges.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Master Patterson declined to order that Metropolitan provide a discharge. Dancorp appealed his order. The appeal was heard by Madam Justice Allan on October 12 and 14, 1993. The appeal was dismissed: Metropolitan Trust Company of Canada v. Dancorp Developments Ltd., </w:t>
      </w:r>
      <w:hyperlink r:id="rId61" w:history="1">
        <w:r>
          <w:rPr>
            <w:rFonts w:ascii="arial" w:eastAsia="arial" w:hAnsi="arial" w:cs="arial"/>
            <w:i/>
            <w:color w:val="0077CC"/>
            <w:sz w:val="20"/>
            <w:u w:val="single"/>
            <w:shd w:val="clear" w:color="auto" w:fill="FFFFFF"/>
            <w:lang w:val="en-US" w:eastAsia="en-US" w:bidi="ar-SA"/>
          </w:rPr>
          <w:t>[1993] B.C.J. No. 2112</w:t>
        </w:r>
      </w:hyperlink>
      <w:r>
        <w:rPr>
          <w:rFonts w:ascii="arial" w:eastAsia="arial" w:hAnsi="arial" w:cs="arial"/>
          <w:color w:val="000000"/>
          <w:sz w:val="20"/>
          <w:lang w:val="en-US" w:eastAsia="en-US" w:bidi="ar-SA"/>
        </w:rPr>
        <w:t>, (25 October 1993), Vancouver Registry #H19028022. At the time she dismissed the appeal, Madam Justice Allan required Dunwoody to provide Dancorp with an account of its administration of the project as receiver. In the course of this hearing, Dancorp has complained that Dunwoody has not complied with that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December 14, 1995, while the result of a Rule 18A determination of Dancorp's counterclaim against Metropolitan in the Principal Action was under appeal, a stay of proceedings in the Foreclosure Proceeding was granted. The stay of proceedings was vacated after delivery of reasons for judgment by the Court of Appeal on March 22, 1996, </w:t>
      </w:r>
      <w:hyperlink r:id="rId62" w:history="1">
        <w:r>
          <w:rPr>
            <w:rFonts w:ascii="arial" w:eastAsia="arial" w:hAnsi="arial" w:cs="arial"/>
            <w:i/>
            <w:color w:val="0077CC"/>
            <w:sz w:val="20"/>
            <w:u w:val="single"/>
            <w:shd w:val="clear" w:color="auto" w:fill="FFFFFF"/>
            <w:lang w:val="en-US" w:eastAsia="en-US" w:bidi="ar-SA"/>
          </w:rPr>
          <w:t>[1996] B.C.J. No. 621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Principal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litigation between Degelder, Dancorp, Metropolitan, and Dunwoody was complicated by the filing of 38 builder's lien claims by subcontractors. A claim by Degelder for amounts owing by Metropolitan under the December 7 Agreement on two progress draws was tried separately from the other issues in the litigation in June 1994. That resulted in judgment in favour of Degelder for $479,846.46 and interest: Degelder Construction Co. v. Dancorp Developments Ltd., </w:t>
      </w:r>
      <w:hyperlink r:id="rId63" w:history="1">
        <w:r>
          <w:rPr>
            <w:rFonts w:ascii="arial" w:eastAsia="arial" w:hAnsi="arial" w:cs="arial"/>
            <w:i/>
            <w:color w:val="0077CC"/>
            <w:sz w:val="20"/>
            <w:u w:val="single"/>
            <w:shd w:val="clear" w:color="auto" w:fill="FFFFFF"/>
            <w:lang w:val="en-US" w:eastAsia="en-US" w:bidi="ar-SA"/>
          </w:rPr>
          <w:t>[1994] B.C.J. No. 1400</w:t>
        </w:r>
      </w:hyperlink>
      <w:r>
        <w:rPr>
          <w:rFonts w:ascii="arial" w:eastAsia="arial" w:hAnsi="arial" w:cs="arial"/>
          <w:color w:val="000000"/>
          <w:sz w:val="20"/>
          <w:lang w:val="en-US" w:eastAsia="en-US" w:bidi="ar-SA"/>
        </w:rPr>
        <w:t xml:space="preserve">, (16 June 1994) Vancouver Registry #A910895. The issue of the proper quantification of 22 builder's lien claims was referred to a special referee in June 1994. The issues arising out of the counterclaim between Dancorp and Metropolitan were tried pursuant to Rule 18A in August 1994. On September 16, 1994 Dancorp's counterclaim against Metropolitan was dismissed: Degelder Construction Co. v. Dancorp Developments Ltd. </w:t>
      </w:r>
      <w:hyperlink r:id="rId64" w:history="1">
        <w:r>
          <w:rPr>
            <w:rFonts w:ascii="arial" w:eastAsia="arial" w:hAnsi="arial" w:cs="arial"/>
            <w:i/>
            <w:color w:val="0077CC"/>
            <w:sz w:val="20"/>
            <w:u w:val="single"/>
            <w:shd w:val="clear" w:color="auto" w:fill="FFFFFF"/>
            <w:lang w:val="en-US" w:eastAsia="en-US" w:bidi="ar-SA"/>
          </w:rPr>
          <w:t>(1994), 16 B.L.R. (2d) 188</w:t>
        </w:r>
      </w:hyperlink>
      <w:r>
        <w:rPr>
          <w:rFonts w:ascii="arial" w:eastAsia="arial" w:hAnsi="arial" w:cs="arial"/>
          <w:color w:val="000000"/>
          <w:sz w:val="20"/>
          <w:lang w:val="en-US" w:eastAsia="en-US" w:bidi="ar-SA"/>
        </w:rPr>
        <w:t>. All other issues in the Principal Action were to proceed to a trial estimated to last six months commencing in early October 1994. Before trial, Metropolitan settled the claims of Degelder and the remaining builder's lien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dismissal of Dancorp's counterclaim was appealed. The Court of Appeal upheld the dismissal on the grounds pursued at the Rule 18A trial but decided that some other issues, which had been pleaded but not argued at the Rule 18A trial, remained outstanding: Degelder Construction Co. v. Dancorp Developments Ltd. </w:t>
      </w:r>
      <w:hyperlink r:id="rId62" w:history="1">
        <w:r>
          <w:rPr>
            <w:rFonts w:ascii="arial" w:eastAsia="arial" w:hAnsi="arial" w:cs="arial"/>
            <w:i/>
            <w:color w:val="0077CC"/>
            <w:sz w:val="20"/>
            <w:u w:val="single"/>
            <w:shd w:val="clear" w:color="auto" w:fill="FFFFFF"/>
            <w:lang w:val="en-US" w:eastAsia="en-US" w:bidi="ar-SA"/>
          </w:rPr>
          <w:t>(1996), 21 B.C.L.R. (3d) 112</w:t>
        </w:r>
      </w:hyperlink>
      <w:r>
        <w:rPr>
          <w:rFonts w:ascii="arial" w:eastAsia="arial" w:hAnsi="arial" w:cs="arial"/>
          <w:color w:val="000000"/>
          <w:sz w:val="20"/>
          <w:lang w:val="en-US" w:eastAsia="en-US" w:bidi="ar-SA"/>
        </w:rPr>
        <w:t xml:space="preserve">. One of the issues upon which the Court of Appeal upheld the result of the Rule 18A trial (whether the rate of interest charged by Metropolitan on the second mortgage exceeded a provision of the Criminal Code which prohibits the charging of interest at a rate in excess of 60%) was appealed to the Supreme Court of Canada. That Court upheld the dismissal of the counterclaim on this ground: Degelder Construction Co. v. Dancorp Developments Ltd., </w:t>
      </w:r>
      <w:hyperlink r:id="rId65" w:history="1">
        <w:r>
          <w:rPr>
            <w:rFonts w:ascii="arial" w:eastAsia="arial" w:hAnsi="arial" w:cs="arial"/>
            <w:i/>
            <w:color w:val="0077CC"/>
            <w:sz w:val="20"/>
            <w:u w:val="single"/>
            <w:shd w:val="clear" w:color="auto" w:fill="FFFFFF"/>
            <w:lang w:val="en-US" w:eastAsia="en-US" w:bidi="ar-SA"/>
          </w:rPr>
          <w:t>[1998] 3 S.C.R. 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Purchaser's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Actions were commenced by two of the purchasers of units who had paid deposits but failed to complete (Kwan Yau Hung and Au Kin Cheong et al). The issues concerning the plaintiffs in those Actions have been settled. However, in accordance with the consent orders entered in the Actions some funds from the purchasers' deposits remain in trust with the law firm of Stikeman, Elliott. Those funds are free of any claim by the plaintiffs. The purpose of Metropolitan's Rule 18A applications in those actions is to extinguish Dancorp's claim to the funds and have them paid out to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Present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 matter of convenience, the counterclaim issues in the Principal Action, which the Court of Appeal ruled had not been resolved, are before me pursuant to Rule 18A at the same time as the Foreclosure Proceeding and the Purchasers'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Two mortgages are the subject of the Foreclosure Proceeding. The amount of the first is $16,689,000 and the second $3,250,000. Metropolitan claims that $2,562,532.50 and accrued interest since December 15, 1998 remain due under the mortgages. In support of its claim it has submitted an affidavit of Mr. Simon Anderson, a chartered accountant and partner with Dunwoody, who prepared an accounting of the amounts expended by Metropolitan pursuant to the mortgages and the interest accruing under the terms of the mortgages. The summary of that accounting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282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Construction disbursements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$14,467,111.57</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705"/>
        <w:gridCol w:w="240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Metropolitan interest and fees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3,737,395.60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2614"/>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Unpaid accrued interest on</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Degelder settlement</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268,194.68</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282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Letter of credit fees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97,467.34</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2614"/>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Strata corporation fees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228"/>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Realtech Realty Corporation judgment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188,284.99</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332"/>
        <w:gridCol w:w="177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Payments in respect of lien holdbacks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312,452.24</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705"/>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Original construction budget</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450"/>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Additional</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390,345.51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292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Payments into Court</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184,081.24</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313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Professional fees</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130,903.10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2614"/>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Receiver-Manager's fees and</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disbursements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2,240,264.42</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313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Degelder Settlement</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2,452,560.44</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705"/>
        <w:gridCol w:w="240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 expenses incurred by</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Metropolitan</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38,066.59</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428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GST</w:t>
            </w:r>
          </w:p>
        </w:tc>
        <w:tc>
          <w:tcPr>
            <w:tcW w:w="419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481,668.00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$25,065,795.72</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2196"/>
        <w:gridCol w:w="167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FST rebate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347,106.40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2614"/>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Proceeds of sale received by</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Owen, Bird including</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forfeiture of deposits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21,528,207.80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3346"/>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Rental income</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50,137.50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292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PowerSmart rebates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1,435.00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219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Reimbursement of monies paid</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Court in BCSC Proceeding No.</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A903040 of the New Westminster</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Registry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141,538.60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3450"/>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 income</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468,405.64</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$22,536,830.94</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DEFICIENCY</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$ 2,528,964.78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Anderson's calculation is made as of October 31, 1995. Metropolitan's claim in these proceedings is based on adjustments to that amount. The first adjustment relates to legal fees paid to Owen, Bird, the law firm that represented Metropolitan throughout much of the history of these proceedings. It is common ground that most of those fees are not a proper charge under the mortgages. When Mr. Anderson's October 31, 1995 deficiency figure is adjusted to deduct those legal fees and the interest that was charged on them and adjusted further to account for interest that has accrued since October 31, 1995, the deficiency claimed by Metropolitan as of December 15, 1998 is $2,562,532.50. The calculation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Deficiency amount as at October 31, 1995</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$2,528,964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Adjust for Owen, Bird fees and interest</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(500,288)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 to December 15, 1998</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533,856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$2,562,532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Anderson's affidavit discloses that he was able to reconcile the trust account records of Owen, Bird except for an unreconciled difference of $2,000.74. That amount was not included as an amount owing pursuant to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Dancorp takes issue with three components of Metropolitan's claim for deficiency:</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$14,467,111.57 paid to Degelder as construction disbursements.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$2,240,264.42 paid to Dunwoody for receiver-manager's fees and disbursements.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$2,452,460.44 paid to Degelder to settle the Degelder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Dancorp's position with respect to these claims can be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Metropolitan entered into the December 7 Agreement, Degelder was substantially overpaid. Metropolitan and Dunwoody should have taken this into account when they calculated the amount owed to Degelder, both with respect to Metropolitan's settlement of Degelder's lawsuit and Dunwoody's payment to Degelder for work that it did between December 27, 1990 and March 15, 1991. In addition, Degelder was overpaid by Dunwoody for the work it did between December 27, 1990 and March 15, 1991. A correct accounting of the Project would disclose that Metropolitan has been overpaid under the mortgages by $915,339.17 as of November 30,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evidentiary foundation for Dancorp's position is found in a report prepared by Mr. Evan Stregger (the "Stregger Report"). Mr. Stregger has canvassed in detail the history of the dealings between Degelder, Dancorp, Metropolitan, and Dunwoody. The admission of the Stregger Report as the report of an expert is opposed by Metropolitan on the ground that it is a partisan statement of argument rather than an expert's report capable of assisting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Proceedings in the Principal Action and the Foreclosure Proceeding have been case managed since 1997. Metropolitan seeks relief in both pursuant to Rule 18A. The provisions of Rule 50 of the Supreme Court Rules are relevant as well. The applicable parts of Rule 50 provide:</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 final order of foreclosure or order that a respondent shall, within a redemption period that the court may fix, or forthwith, pay to the petitioner what is due under the mortgage and for costs, and that, in default of payment shall be foreclosed of his equity of redemption,</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summarily or order that an account be taken of and that the registrar certify, what is due to the petitioner or any other person on the date of the hearing of the petition or the accounting and either</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daily amount of interest, or</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daily amount of interest may fluctuate, the method for calculating such interest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from the date of the hearing of the petition or the accounting to the expiration of the period of redemption,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summarily or order an inquiry to determine any issues raised between respondents, including priorities,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for any amount found due, or which may be certified due on an accounting,</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 sale of the mortgaged property,</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further or corollary relief, and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under Rule 52(11).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Rule 52(11) provides that the court may, among other things:</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 trial of the proceeding, either generally or on an issue, and order pleadings to be filed, and give directions for the conduct of the trial and of pre-trial proceedings, and for the disposition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Foreclosure Proceeding Metropolitan seeks to enforce its security over the remaining property subject to the mortgages. Most of the property has been sold and the proceeds used to pay down the principal sum under the mortgages. Only some unallocated parking stalls and the manager's suite in one of the towers remain. Metropolitan seeks orders for sale of those pieces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addition to seeking that the remaining property interests be sold, Metropolitan seeks the usual order in foreclosure proceedings, a six month redemption period, and:</w:t>
      </w:r>
      <w:r>
        <w:rPr>
          <w:rFonts w:ascii="arial" w:eastAsia="arial" w:hAnsi="arial" w:cs="arial"/>
          <w:sz w:val="20"/>
          <w:lang w:val="en-US" w:eastAsia="en-US" w:bidi="ar-SA"/>
        </w:rPr>
        <w:cr/>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Declarations that the assignments by Dancorp of its rights under the presale agreements charge all of Dancorp's interest in the lands and premises to which they relate and charge the deposits made by the purchasers of those units.</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Metropolitan be added as party to one of the Pending Proceedings and that the assignments charge all of Dancorp's interest in the deposits held in trust by Stikeman, Elliott relating to the two Purchaser's Actions and that those deposits be paid out to Metropolitan.</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to pay out the monies remaining in the trust accounts of Owen, Bird from the sale of the units except for monies to be retained to pay that firm's fees and disbursements after taxation and an order extending the time for taxation of those accounts. The terms of this relief are consented to by Owen, Bird.</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for $2,562,532.50 and accrued interest from December 15, 1998 against Dancorp and Mr. McDaniel.</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a solicitor and own client basis in accordance with the terms of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dealing with the resolution of the issues in the Foreclosure Proceeding, I will deal with the issues in the Principal Action remitted to this court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Remitted Issues in the Principal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of Appeal has directed that a number of issues raised by Dancorp's pleadings in its counterclaim against Dunwoody and Metropolitan but not addressed when the counterclaim was tried pursuant to Rule 18A should now be tried. An application by Dancorp to proceed in this fashion was dismissed by me after the trial. However, the same application was allowed in the course of the appeal. This Court and the litigants approached carefully the decision to try the counterclaim by Dancorp against Metropolitan and Dunwoody separately from the remainder of the action in which it arose. Bifurcation of proceedings presents the difficulty that judicial determinations made when dealing with one set of issues may predetermine the outcome of other issues that are, at the time of the initial determination, not in the contemplation of the court or the litigants. To a considerable extent, that is what has happened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intend to reconsider issues that have already been decided in dealing now with the issues remitted by the Court of Appeal. To the extent that some issues relevant to the resolution of the remitted issues have already been decided, they will remain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disposing of the appeal from the dismissal of Dancorp's counterclaim against Metropolitan and Dunwoody, Madam Justice Newbury said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therefore set aside the order of the Court below to the extent that it dismisses Dancorp's counterclaim in its entirety, and order that its counterclaim for the relief listed at p. 32 of Mr. Robert's factum proceed to trial in the usual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relief claimed at p. 32 of Mr. Robert's factum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Metropolitan</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inducing breach of contract;</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wrongful payment of holdback monies;</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fiduciary duty;</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Metropolitan is a mortgagee in possession;</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and</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Dunwoody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fiduciary duty;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contract;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Dunwoody by (sic) removed as Receiver and Receiver Manager of the mortgaged lands and premises;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AGAINST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deal first with the claims against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for Inducing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Dancorp's pleadings in its fifth amended statement of defence and counterclaim define this claim as follows:</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Dancorp says that during the months of October, November and December of 1990 and January, February, March and April of 1991, Metropolitan induced Degelder to breach its contract with Dancorp. particulars of which include but are not limited to:</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Metropolitan agreed to continue to advance certain monies to Degelder notwithstanding that Degelder was in continuous breach of the Construction Contract and that Degelder was not entitled to such advances by virtue of its breach of the Construction Contract. Such advances were objected to by Dancorp;</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Metropolitan agreed to advance holdback monies contrary to the terms of the Construction Contract and contrary to the terms of the Builder's Lien Act, R.S.B.C., Chapter 40;</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Metropolitan agreed to advance money directly to Degelder and agreed that Degelder did not have to comply with the terms of the Construction Contract, including but not limited to time for completion of the Work, disputes and dispute resolution, arbitration, applications for payment, retention of holdback monies, and payment of subcontractors.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Metropolitan agreed to advance money directly to Degelder notwithstanding that Degelder refused to accelerate and would not complete the Work in the time required by the Construction Contract;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Metropolitan agreed to advance and continued to advance money to Degelder for its fee, which fee Degelder was not entitled to receive under the Construction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number of findings of fact made at the 18A trial of the counterclaim bear on the inducing breach of contract issue: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Metropolitan had the right to order acceleration of construction under the contract between Degelder and Dancorp pursuant to the January 12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(Reasons pp. 89 and 93)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Metropolitan had the right pursuant to the mortgages to make payments to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93)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Metropolitan entered into the December 7 Agreement for the purpose of protecting its security and did not, by entering into that agreement, affect Dancorp's rights under any existing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93)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terms of the December 7, Agreement go beyond those that could be imposed by Metropolitan upon Dancorp under their existing contractual arrangements does not amount to a breach by Metropolitan of its contracts with Dancorp.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95)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mortgage commitment letter pursuant to which Metropolitan provided financing to Dancorp, the terms of which by agreement survive the execution of the mortgages, contained the following provision:</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Disbursement of Funds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Conditions precedent to the disbursement of funds shall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the consultant cannot or will not bind Dancorp as owner under the CCDC contract to complete construction so the sales in place will complete on or before December 31, 1990, then the decision shall be referred to Metropolitan who will have the ability to make the decision and it will be binding on Dancorp.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January 12 Agreement amended that paragraph as follows: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Article 9.1(b)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to, again with Mr. John Perkins to make the decision regarding acceleration in the first instance, provided that Metropolitan Trust, if it considers a decision not to accelerate to be in error, shall have the right to override such decision if they think such is necessary to protect the project and their own interest. However, Dancorp shall have the right to protest such decision by Metropolitan and to reserve its rights against Metropolitan in such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 28 of the Mortgages provides the authority to make payments directly to contractors as follows: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Mortgagee may, from time to time and without order or direction of the Mortgagor in that behalf, pay to contractors, sub-contractors, material men, labourers and other persons supplying or having a claim for work, services and/or materials supplied in and about the construction, repairing, altering or replacing of any buildings or other structures or any part thereof on the Lands, any moneys claimed by them for such work, services and materials out of the moneys being advanced by the Mortgagee under this Mortgage, or if the Mortgage moneys have been fully advanced, may pay the same and add all moneys so paid to this Mortgage, but nothing herein contained will bind the Mortgagee to pay or advance any such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By October 1990, the lagging course of construction of the Project clearly provided grounds upon which Metropolitan was entitled to exercise its rights to protect its security under those provisions. The October 26 and December 7 Agreements were a response by Metropolitan to developments on the Project which threatened its security under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Dancorp's pleading is premised on the assumption that Metropolitan was not entitled to depart from the terms of the construction contract between Degelder and Dancorp when exercising its rights under the financing agreements and the mortgage. I can imply no such limitation from the documents which empower Metropolitan to accelerate construction and pay claims for work and services necessary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That is not to say that Metropolitan's actions are unconstrained. They are subject to the constraints imposed by the duty owed by Metropolitan to Dancorp arising from the relationship between them. The nature of that duty and the ambit of the restraints that it places upon Metropolitan are the subject of discussion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Metropolitan had the contractual right to enter into the agreements with Degelder complained of by Dancorp.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elements of the tort of inducing breach of contract are set out in Fridman, The law of Torts in Canada, Vol. 2, 293: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ingredients of the tort are knowledge of the contract, an intention to bring about a breach of the contract, conduct which results in the breach, damage to the plaintiff, and the lack of anything that might justify what the defendant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intention of Metropolitan was to accelerate the completion of the Project in order to prevent collapse of the presale agreements. In my reasons for judgment of September 16, 1994,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early 1990 Metropolitan wanted to accelerate the project to attain completion of both Towers by December 31, 1990. That goal ceased to be economically realistic sometime in April of 1990. It was clear at that point that the completion of Tower II would be delayed. The timely completion of Tower I then became problematic. It was against that factual background that Metropolitan and Degelder entered into the October 26, 1990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90)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whole tenor of the December 7 Agreement is to achieve timely completion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95)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Metropolitan attached great importance to Dancorp's performance of this obligation throughout. It exercised its contractual rights to ensure completion of the whole project and, when that became impossible, of Tower I within time for Dancorp to meet its commitments under the presale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Dirassar and James v. Kelly Douglas </w:t>
      </w:r>
      <w:hyperlink r:id="rId66" w:history="1">
        <w:r>
          <w:rPr>
            <w:rFonts w:ascii="arial" w:eastAsia="arial" w:hAnsi="arial" w:cs="arial"/>
            <w:i/>
            <w:color w:val="0077CC"/>
            <w:sz w:val="20"/>
            <w:u w:val="single"/>
            <w:shd w:val="clear" w:color="auto" w:fill="FFFFFF"/>
            <w:lang w:val="en-US" w:eastAsia="en-US" w:bidi="ar-SA"/>
          </w:rPr>
          <w:t>(1967), 59 D.L.R. (2d) 452</w:t>
        </w:r>
      </w:hyperlink>
      <w:r>
        <w:rPr>
          <w:rFonts w:ascii="arial" w:eastAsia="arial" w:hAnsi="arial" w:cs="arial"/>
          <w:color w:val="000000"/>
          <w:sz w:val="20"/>
          <w:lang w:val="en-US" w:eastAsia="en-US" w:bidi="ar-SA"/>
        </w:rPr>
        <w:t xml:space="preserve"> (B.C.C.A.) a wholesale grocer had extended financing to a developer for the development of a shopping centre. When the developer defaulted on the loan contract, the lender, pursuant to the terms of the lending agreement, acquired the land on which the shopping centre was to be built. As a result, the developer defaulted on an architectural contract for the design of the centre. The architect sued the wholesale grocer for inducing breach of contract. Mr. Justice Maclean observed (p. 488-9):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appellant acted deliberately to injure the respondents. On the contrary, there is every indication that the appellant was concerned only to protect its own legitimate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Those observations apply with equal force to this case. Dancorp has not established, that Metropolitan intended, by entering into the December 7 Agreement, to bring about the breach by Degelder of its contract with Dancorp.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Conduct Which Results in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Both towers were originally to have been substantially completed by October 20, 1990. After the discovery of the design error, the goal became substantial completion by December 11, 1990. Dancorp took the position that the Project could be completed before December 11, 1990 and that no delays had taken place that would justify completion beyond that date. Degelder disagreed and the matter was submitted to arbitration in March of 1990. As a result of the arbitration the date for substantial completion of Tower II was set for February 15, 1991. It was clear at that point that not even acceleration would result in Tower II being completed by December 31, 1990. Metropolitan sought to ensure that Tower I was completed in time to permit the presale contracts relating to that tower to be honoured. This led to the October 26 Agreement to accelerate. On November 9, 1990 Degelder issued a notice of termination. At this time no occupancy permits had been secured for Tower I and the presale agreements were already in jeopardy. These events preceded the December 7 Agreement. The situation that led to the December 7 Agreement resulted from the actions of Degelder and Dancorp -- not Metropolitan. The contractual difficulties between Dancorp and Degelder were already inevitable at the time that Metropolitan entered into the December 7 Agreement. In my reasons for judgment of September 16, 1994,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delayed completion of Tower II did not come about because of a decision of Metropolitan. It became a fait accompli because the parties did not move fast enough to achieve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Dancorp steadfastly resisted acceleration. On September 26, 1990 Dancorp rejected a proposal made by Metropolitan that one of the major subcontractors be paid extra to accelerate completion of the Project in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Degelder's responsibility to ensure that the project is completed by December 11 [1990]. If the subtrades are not preforming [sic] satisfactorily then Degelder should have them removed. Alternatively, if Seymour Drywall wants extra money in order to complete the job again that is the responsibility of Degelder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Lovera, the assistant manager of mortgage investments for Metropolitan, described dealings with Mr. McDaniel in October 1990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proposals made by Dancorp in response to this situation were not helpful. For example, Mr. McDaniel suggested that Degelder be removed from the Project: I cannot think of any response which would have achieved with any greater certainty a failure to complete Tower I before December 31,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amply demonstrates that it was the acrimonious disputes between Degelder and Dancorp that led to the failure to complete the Project on time -- not the eleventh-hour intervention by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Dancorp has not demonstrated that it suffered damages as a result of Metropolitan entering into the December 7 Agreement. It is probable that Metropolitan's intervention minimized rather than augmented Dancorp's damages. If the Tower I presales had not been saved, damages might well have been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Dancorp's claim against Metropolitan for inducing breach of contract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for Wrongful Payment of Holdback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essence of this allegation is that Metropolitan, in order to provide an inducement to Degelder to accelerate progress of the Project, agreed to pay out lien holdback monies that were not payable at law and, that the early payment prejudiced Dancorp's rights under the Builder's Lien Act, R.S.B.C., c. 40. This allegation raises some of the same considerations that apply to the issue of inducing breach of contract. In order to succeed, Dancorp must establish a breach of duty and consequent damage. It has done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nature of the duty owed by Metropolitan to Dancorp is dealt with later in these reasons. That duty is not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Declaration that Metropolitan is a Mortgagee in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question assumes importance when dealing with the duty owed to Dancorp. It is dealt with in that context later in these reasons. Metropolitan was not a mortgagee in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AGAINST DUNWOODY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claims against Dunwoody arise from its actions as receiver appointed by Metropolitan under the terms of the mortgages. Dancorp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breach of contract and seeks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Dunwoody's role as receiver was to complete the Project and sell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breach of fiduciary duty is pleaded, it is clear from the specific allegations raised in Dancorp's statement of defence and counterclaim against Dunwoody, that the gravamen of Dancorp's claim is a failure by Dunwoody to take reasonable care to ensure that its appointment was valid and to exercise reasonable care and skill in performing its duties. Allegations of breach of fiduciary duty in such circumstances do little to advance, and much to obscure, the real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provisions of the mortgages relating to the appointment of a receiver are extensive. They contain this provision:</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mortgagee may from time to time fix the remuneration of such Receiver and direct the payment therof out of the proceeds received with respect to the Lands, and all such remuneration and any and all </w:t>
      </w:r>
      <w:r>
        <w:rPr>
          <w:rFonts w:ascii="arial" w:eastAsia="arial" w:hAnsi="arial" w:cs="arial"/>
          <w:color w:val="000000"/>
          <w:sz w:val="20"/>
          <w:u w:val="single"/>
          <w:lang w:val="en-US" w:eastAsia="en-US" w:bidi="ar-SA"/>
        </w:rPr>
        <w:t>reasonable costs</w:t>
      </w:r>
      <w:r>
        <w:rPr>
          <w:rFonts w:ascii="arial" w:eastAsia="arial" w:hAnsi="arial" w:cs="arial"/>
          <w:color w:val="000000"/>
          <w:sz w:val="20"/>
          <w:lang w:val="en-US" w:eastAsia="en-US" w:bidi="ar-SA"/>
        </w:rPr>
        <w:t xml:space="preserve"> of the Receiver will be added to the debt hereby secured and will bear interest at the rate provided for in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requirement for reasonableness on the part of Dunwoody in the performance of its duties arises both because of the relationship between Dunwoody as receiver and Dancorp as mortgagor and because reasonableness is a precondition to Dancorp's financial obligation under the mortgages to pay the costs incurred in the course of the receivership.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Dunwoody has filed material supporting the reasonableness of its actions and expenditures in completing and marketing the Project. Dancorp's claim arises from its contention that it was incumbent upon Dunwoody to examine the history of payments to Degelder for work performed on the Project under the provisions of the contract between Dancorp and Degelder to determine whether Degelder had been overpaid in the past. Dancorp relies upon the Stregger Report to prove that, if that examination had been undertaken, Dunwoody would have concluded that Degelder was overpaid and would have been in a position to force it to complete the Project without further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nature of the construction contract between Dancorp and Degelder led to much of the difficulty between them. Acrimony plagued the Project in its final stages. It was an unusual type of contract. It lacked precise and well-defined plans and specifications and relied upon a provision that required that specifications normally provided in buildings having the same scope be incorporated if they could be reasonably inferred by the contractor as being a requirement for the building. This led to an enormous backlog of unresolved disputes between Degelder and Dancorp. Mr. Stregger resolves substantially all of those disputes in favour of Dancorp and calculates that Degelder was overpaid as a result. In addition, Mr. Stregger assumes that the delay in completion of the Project which led Metropolitan to accelerate completion was due to Degelder's poor performance and that nothing should be paid to Degelder for acceleration. He deducts deficiency holdbacks in more than double the amount of the cost of correcting the deficiencies. The errors in the methodology of the Stregger Report are the subject of comment later in these reasons. I determine there that the Stregger Report is inadmissible as an expert's report. The Report does not provide a reliable basis upon which to conclude that Dunwoody acted unreasonably in paying Degelder for the work it did on the Project without deduction for amounts said to be owing to Dancorp.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must always be remembered that, in its final stages, the completion of the Project was a salvage operation aimed at saving the presale agreements in a falling market. The background against which the salvage operation took place was a mass of intractable and unresolved disputes between Dancorp and Degelder. Those disputes were never resolved. It is likely uneconomic to do so. Dancorp has shown no interest in pursuing their resolution even though they are the subject of unresolved litigation between it and Degelder. In these circumstances, Dancorp cannot establish that it was incumbent upon Dunwoody to resolve those disputes before paying Degelder for the work that it did in completing the Project. I am satisfied that the actions of Dunwoody were reasonable. It has accounted satisfactorily for the expenditures that it made in completing the Project. The Stregger Report, even if admissible, does not provide a basis for rejecting the material submitted by Dunwoody in support of the reasonableness of its actions in the conduct of the receivership.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Considerable argument was directed toward whether Dunwoody had complied with a direction made by Madam Justice Allan on October 25, 1993 that Dunwoody provide a "... proper account to Dancorp of the administration and collateral and other property of Dancorp within 14 days ...". I note that the direction was given in the course of an appeal from the order of Master Patterson declining to discharge the mortgages and remove Dunwoody as receiver. There was an expectation that matters would be expeditiously resolved. The parties dispute the adequacy of Dunwoody's compliance with the order. There is no need to resolve that dispute. The many issues between the parties have been the subject of prolonged litigation since that time. All of the machinery of the discovery process has been available to the parties. Thousands of documents have been exchanged. I am satisfied that Dancorp's allegations of failure to account are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remainder of Dancorp's claims against Metropolitan and Dunwoody in the Principal Action, which were remitted to this Court by the Court of Appeal,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Duty of a Mortgagee to the Mortgagor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fall of 1994, Metropolitan was on the brink of a six-month trial. The Project was encumbered by liens filed by Degelder and a number of subcontractors. Dancorp's counterclaim against Metropolitan had been dismissed. Degelder's action against Metropolitan and Dancorp's counterclaim against Degelder had not been resolved. A process for quantification of the lien claims other than Degelder's had been underway for some months. Dancorp refused to participate in that process. Metropolitan had been conducting settlement negotiations with Degelder in order to avoid the cost and uncertainties of trial. On October 3, 1994, Metropolitan concluded a settlement with Degelder. In exchange for payment of $2,337,500, Degelder released all of its claims against Metropolitan, removed its lien from the Project, and assumed the responsibility for satisfying all of the claims of the subcontractors and suppliers. This concluded a series of actions by Metropolitan that involved it directly in the completion of the Project: the October 26 Agreement accelerating completion, the December 7 Agreement obligating Metropolitan to pay Degelder directly for completion, and the appointment of Dunwoody as receiver on December 27,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Dancorp contends that when settling with Degelder, Metropolitan exceeded the scope of its powers under the contractual terms of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Additionally, Dancorp contends that Metropolitan's settlement with Degelder breached its duty to Dancorp. It characterises that duty as a duty to act reasonably to avoid injury to Dancorp's interests. It submits that the duty must be implied in the mortgage contracts between Metropolitan and Dancorp or must arise as a duty in tort stemming from the relationship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Scope of the Mortgage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provisions relevant to a consideration of Dancorp's submissions are contained in paragraphs 25 and 28 of both mortgages: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any time or times during the continuance of this security, the Mortgagee may, but shall be under no obligation to, pay: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due under any Builders' Lien which may be claimed or filed against or with respect to the said Lands or Works forming part thereof;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or any part thereof due under any charge upon the said Lands or any Works forming part thereof and which encumbrance or charge has priority over this Mortgage and whether such encumbrance or charge does exist now or does exist hereafter, and all amounts so paid shall be added to the Principal Sum hereby secured and shall bear interest at the same rate, and shall be payable forthwith by the Mortgagor to the Mortgagee, and in default of payment, the monies hereby secured shall become payable forthwith at the option of the Mortgagee. In the event the Mortgagee makes any such payment, the Mortgagee shall be entitled to all the equities and securities of the person or persons so paid.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Mortgagee may, from time to time and without order or direction of the Mortgagor in that behalf, pay to contractors, sub-contractors, material men, labourers and other persons supplying or having a claim for work, services and/or materials supplied in and about the construction, repairing, altering or replacing of any buildings or other structures or any part thereof on the Lands, any moneys claimed by them for such work, services and materials out of the moneys being advanced by the Mortgagee under this Mortgage, or if the Mortgage moneys have been fully advanced, may pay the same and add all moneys so paid to this Mortgage, but nothing herein contained will bind the Mortgagee to pay or advance any such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Dancorp submits that the use of the phrase "the amount due under any Builder's Lien which may be claimed or filed against or with respect to the said Lands or Works ..." in paragraph 25 precludes payment of lien amounts that have not been finally determined to be due. In the circumstances of these mortgages and the ensuing dispute as to the validity of the lien claims, that would have required that the amounts be agreed or litigated. Additionally, Dancorp contends that the requirements of both sub-paragraphs (a) and (b) of paragraph 25 must be satisfied before payment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If liens are filed against property which is the subject of a mortgage that has not been fully advanced, it is in the interests of both the mortgagor and the mortgagee that a contractual mechanism exist permitting the title of the property to be cleared in order to avoid erosion of its economic value. That is clearly the purpose of paragraph 25. It does not exist in a vacuum. It is part of a commercial mortgage arrangement and must be interpreted in a manner consistent with that commercial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Interpreting paragraph 25 to require that both sub-paragraphs be satisfied before payment of claims is likewise inconsistent with the obvious purpose of the paragraph which extends to both builder's liens and other charges that have priority over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paragraph relevant to the settlement between Metropolitan and Degelder is paragraph 28. It provides Metropolitan with a general power to pay claims of contractors, sub-contractors and material men. The fact that the claims that were settled between them were the subject of builder's liens does not prevent recourse by Metropolitan to the powers conferred by this paragraph. Such an interpretation would ignore the commercial purpose and efficacy of the power conferred by the paragraph. On its wording, it is an unrestricted power. It provides the mortgagee with the power to pay claims having a direct bearing on the mortgage security whether or not those claims have matured to secured charges. In the context of the mortgages, it is a broader power than that conferred by paragraph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that Metropolitan's actions in entering into the Degelder settlement were within the scope of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major issue between the parties arising from these provisions of the mortgages is the nature and extent of the duty owed by Metropolitan to Dancorp in the exercise of its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dealing with this issue I intend first to consider the authorities dealing with implying terms into a contract. I conclude that it would be inappropriate to imply a term of objective reasonableness in the circumstances of these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then deal with the question whether the law requires a mortgagee in possession (which Metropolitan was not) to act in an objectively reasonable manner when exercising its powers and, if so, whether that duty should be extended by analogy to mortgagees in other circumstances. I conclude that the nature of the duty of a mortgagee in possession is an open question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then deal with the law that relates to concurrent duties in contract and tort and conclude that the circumstances before me do not give rise to a concurrent duty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then consider the principal cases bearing on the nature of the duty that is to be imposed on a mortgagee in Metropolitan's position and conclude that it is a duty to act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Implied Terms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Presumed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implication of a term into a contract on the basis that the term represents the presumed intention of the parties stems from the English authorities. The "Moorcock" (1889), 14 P.D. 64; Reigate v. Union Manufacturing Co. (Ramsbottom), [1918] 1 K.B. 592; and Shirlaw v. Southern Foundries (1926) Ltd., [1939] 2 K.B. 206, laid down the "officious bystander" tests. In order to satisfy those tests, it must be clear that the parties would have, had they been asked by a bystander at the time they made their contract "what will happen in such a case?" replied with an expression of their common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Olympic Industries Ltd. v. McNeill </w:t>
      </w:r>
      <w:hyperlink r:id="rId67" w:history="1">
        <w:r>
          <w:rPr>
            <w:rFonts w:ascii="arial" w:eastAsia="arial" w:hAnsi="arial" w:cs="arial"/>
            <w:i/>
            <w:color w:val="0077CC"/>
            <w:sz w:val="20"/>
            <w:u w:val="single"/>
            <w:shd w:val="clear" w:color="auto" w:fill="FFFFFF"/>
            <w:lang w:val="en-US" w:eastAsia="en-US" w:bidi="ar-SA"/>
          </w:rPr>
          <w:t>(1993), 86 B.C.L.R. (2d) 273</w:t>
        </w:r>
      </w:hyperlink>
      <w:r>
        <w:rPr>
          <w:rFonts w:ascii="arial" w:eastAsia="arial" w:hAnsi="arial" w:cs="arial"/>
          <w:color w:val="000000"/>
          <w:sz w:val="20"/>
          <w:lang w:val="en-US" w:eastAsia="en-US" w:bidi="ar-SA"/>
        </w:rPr>
        <w:t xml:space="preserve"> (B.C.C.A.) Mr. Justice Finch dealt with the standard to be applied when determining whether a term should be implied in a business contract. That case involved a contract dispute between a commissioned employee and his employer. The employee had taken a series of draws on future commissions and then left his employment. The contract of employment contemplated that excess draws would be deducted from future commissions. There was no express provision dealing with repayment after termination. He was asked to repay the amount by which his draws exceeded his earned commissions. He declined to do so. At trial, the Court found there to be an implied term in the contract governing the defendant's employment that he would repay excess draws even after a termination of employment. On appeal, Mr. Justice Finch determined that no such term could be implied. He expressed the test appropriate to the implication of a term in a contract in language that contemplates both reasonableness and necessity. He said (p. 280):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as to what the parties must have intended as a matter of necessity is a question of fact to be decided in the circumstances of each case. The party who seeks to have a term implied into the contract bears the onus of persuading the court of that necessity. It is not sufficient to show that it would be reasonable or logical to imply such a term, or that the parties would probably have agreed upon such a term if they had put their minds to it, or, that having put their minds to it, chose not to express it. A higher burden of proof must be met, upon the authorities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say (p. 281):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respondent has failed to prove the necessity as a matter of business efficacy of implying a term for repayment of the commission traders deficit upon termination. I would not attempt to lay down any general rule for other such cases. Each case must depend upon its own facts. Where, however, as here the contract is silent on an obligation sought to be imposed by an employer on his former employee, cogent proof of such a mutual intention is required. Such proof has not been shown in this case.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Terms Implied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Pacific National Investments Ltd. v. Victoria (City) </w:t>
      </w:r>
      <w:hyperlink r:id="rId68" w:history="1">
        <w:r>
          <w:rPr>
            <w:rFonts w:ascii="arial" w:eastAsia="arial" w:hAnsi="arial" w:cs="arial"/>
            <w:i/>
            <w:color w:val="0077CC"/>
            <w:sz w:val="20"/>
            <w:u w:val="single"/>
            <w:shd w:val="clear" w:color="auto" w:fill="FFFFFF"/>
            <w:lang w:val="en-US" w:eastAsia="en-US" w:bidi="ar-SA"/>
          </w:rPr>
          <w:t>(1998), 165 D.L.R. (4th) 577</w:t>
        </w:r>
      </w:hyperlink>
      <w:r>
        <w:rPr>
          <w:rFonts w:ascii="arial" w:eastAsia="arial" w:hAnsi="arial" w:cs="arial"/>
          <w:color w:val="000000"/>
          <w:sz w:val="20"/>
          <w:lang w:val="en-US" w:eastAsia="en-US" w:bidi="ar-SA"/>
        </w:rPr>
        <w:t xml:space="preserve"> (B.C.C.A.), a developer sought to have a term preventing adverse rezoning implied in a contract with a city relating to the subdivision and development of land. Part of the land had been developed when a by-law was passed rezoning the undeveloped land to restrict development. The developer was unable to proceed with the development plan underlying his agreement with the city. At trial, the court implied a term not to rezone for a reasonable period of time and gave judgment for the developer. The trial judge found that "such an implied term was required to give the master agreement business efficacy". Mr. Justice Esson, who delivered the judgment of the Court, referred to the limitations imposed upon the implication of terms into a contract by Mr. Justice Finch in Olympic and determined that it was clear that the city would not have agreed to the term restricting rezoning and, accordingly, that it could not be implied to give business efficacy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Having determined that such a term should not be implied on the basis of common intention, Mr. Justice Esson went on to consider whether such a term should be implied as a matter of law. He referred with approval to G.H. Treitel, The Law of Contract, 7th ed., (London: Stevens &amp; Sons, 1987) at p. 163: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there may be cases in which, though no term can be implied in fact, it may be desirable to attach certain "legal incidents" to a contract, or, in other words, to impose a legal duty. This point has sometimes been overlooked, so that it was occasionally held that no terms should be implied in law merely because none could be implied in fact. But the distinction between the two operations is clearly illustrated in Liverpool City Council v. Irwin [[1977] A.C. 239]. The House of Lords there held that it was an implied term of a lease of a maisonette in a Council block that the landlord should take reasonable care to keep the common parts of the block in a reasonable state of repair. The term was clearly not implied in fact: the "officious bystander" test was not satisfied; nor was the implication necessary to give business efficacy to the contract. The implication arose because the nature of the relationship made it desirable to place some obligation on the landlord as to the maintenance of the common parts of the premises. It amounted to the imposition of a legal duty, in spite of the fact that no term could be implied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decided that a term preventing rezoning for a period of time could not be implied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Canadian Pacific Hotels Limited v. Bank of Montreal, </w:t>
      </w:r>
      <w:hyperlink r:id="rId69"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 the Supreme Court of Canada dealt with the question whether a duty existed in law requiring a customer of a bank to scrutinise its account statements with reasonable care and report discrepancies within a reasonable time. The bank sought to have such a duty imposed in order to limit the extent of its liability for forged instruments. The Court refused to impose such a duty. Mr. Justice Le Dain, speaking for a majority of the Court, spoke of three categories of implied terms. The first and second categories both involved presumed intention based either on custom or usage or the "officious bystander" test. The third involved the implication of terms as legal incidents of a particular kind or class of contract. Mr. Justice Le Dain discussed the third category as follows (p. 776):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here, as I see it, is whether the test for such implication is to be reasonableness or necessity. This is an important issue of judicial policy respecting the limits of judicial power to impose obligations or duties on the parties to a contract by implication. It is reflected in the different opinions of the Court of Appeal in Liverpool City Council. Although what was said there was said with reference to implication on the basis of presumed intention under the business efficacy or "officious bystander" tests, I think it applies equally to implication under what I have referred to as the third category. I am, therefore, with great respect, in agreement with the view expressed by the majority in the House of Lords in Liverpool City Council that the test in such a case of implication should also be one of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Justice Le Dain cautioned against the imposition of duties limited to particular classes or categories of bank customers (p. 773).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the question of a concurrent obligation in tort had not been argued in the case, Mr. Justice Le Dain expressed the following opinion (p. 778):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of the opinion, assuming it to be arguable that such a duty could arise in tort, that the principle of concurrent or alternate liability in contract and in tort affirmed in Rafuse cannot extend to the recognition of a duty of care in tort when that same duty of care has been rejected or excluded by the courts as an implied term of a particular class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Justice Le Dain was speaking of the third category of implied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to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express provision in the mortgage contracts between Dancorp and Metropolitan imposing a duty on Metropolitan in the exercise of its powers under the mortgages. If a term is to be implied, it must be implied on the basis that it would have been the common intention of the parties had they turned their minds to it (Mr. Justice Le Dain's first two categories), or on the basis that it is a term that should be implied in law (Mr. Justice Le Dain's third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is no evidence of custom or usage to found the imposition of the duty contended for by Dancorp upon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order to imply a term imposing a duty upon Metropolitan to exercise its powers in an objectively reasonable manner on the basis that that was the parties' presumed intention, it would be necessary to find that Metropolitan would have agreed to bear this obligation had the question been raised at the time the contracts were entered into. It is Dancorp's contention that a term should be implied in the mortgages that, if Dancorp was to default on its mortgage obligation, requiring Metropolitan to advance funds to settle claims arising from the construction of the contemplated improvements on the property, Metropolitan would have agreed to bear the obligation of advancing those funds in an objectively reasonable manner in order that the interests of Dancorp were not injured. It is my view that if Dancorp had sought such an assurance, Metropolitan would likely not have agreed to provide the funds on the basis that it did, if at all. Parties do not go into commercial relationships expecting that disaster will befall the contemplated project and that the lender will have to step in and advance funds beyond the amount bargained for in order to salvage its security. However, the mortgage contract does provide for this eventuality. Paragraph 28 of the mortgages does not fetter the right of the mortgagee. The consequences of such a term for the mortgagee are serious. Such a term would subject the mortgagee to the type of enquiry that Lord Templeman spoke of in Downsview Nominees Ltd. v. First City Corp. Ltd., [1993] A.C. 295 (P.C.), a case which I will discuss in more detail later in these reasons. Although he was speaking of the duties owed by receivers, his comments are equally applicable to mortgagees (p. 316):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defined equitable duties attaching to mortgagees and to receivers and managers appointed by debenture holders are replaced or supplemented by a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result will be confusion and injustice. A receiver and manager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be tempted to sell assets as speedily as possible for the purpose of repaying the mortgage debt, a decision which, whether negligent or not, does not expose him to a suit for damages but may be disadvantageous to the company. A receiver who is brave enough to manage will run the risk of being sued if the financial position of the company deteriorates, whether that deterioration be due to imperfect knowledge or bad advice or insufficient time or other circumstances. There will always be expert witnesses ready to testify with the benefit of hindsight that they would have acted differently and fared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Mr. Justice Finch observed in Olympic, the burden of proof of establishing that a term should be implied into a contract is on the party who seeks to have the term implied. If an officious bystander were to have enquired of Dancorp and Metropolitan at the time the mortgage contracts were entered into whether they intended that Metropolitan would owe to Dancorp an objective duty of reasonable care when exercising its rights under paragraph 28 of the mortgages, it is unlikely that Metropolitan would have agreed to subject itself to such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Before dealing with the third category of implication in relation to the facts of this case, it is necessary to examine three other areas of the law: (1) the duties placed upon mortgagees in possession when selling the property secured by the mortgage; (2) concurrent liability in tort and contract under the tests set out in Kamloops v. Nielsen, </w:t>
      </w:r>
      <w:hyperlink r:id="rId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and subsequent cases, and (3) the duty to be imposed upon mortgagees when exercising powers under the mortgage, other than mortgagees in possession exercising powers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Duties of Mortgagees in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Dancorp seeks to have the duty imposed upon mortgagees exercising a power of sale under a mortgage extended by analogy to mortgagees exercising other powers under the mortgage affecting the interests of the mortgagor.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It seeks that extension both on the basis that it should be implied as a term in the mortgage contracts and that a duty arises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Before dealing with the cases defining the duties owed by mortgagees in possession, I should make it clear that I do not find Metropolitan to have been a mortgagee in possession. Metropolitan placed a receiver-manager in charge of the completion of the Project under terms of the mortgages empowering it to do so. Additionally, both mortgages contain the following specific provision:</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that it is agreed between the Mortgagor and the Mortgagee that the Mortgagee in exercising any of the rights given to the Mortgagee under this Mortgage shall be deemed not to be a mortgagee in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Courts have imposed duties upon mortgagees in possession who exercise powers of sale under the mortgage. In Cuckmere Brick Co. Ltd. v. Mutual Finance Ltd., [1971] 2 All E.R. 633, the Court of Appeal in England considered the nature of the duty owed by a mortgagee to the mortgagor in circumstances in which the mortgagee had sold at public auction a parcel of land which had planning permission for flats without advertising the existence of the permission. All three members of the Court discussed the nature of the duty in the language of tort. Lord Salmon said (p. 643):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defendants contends that the mortgagee's sole obligation to the mortgagor in relation to a sale is to act in good faith; there is no duty of care, and accordingly no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mortgagee in the conduct of the sale can arise. If this contention is correct it follows that, even on the facts found by the learned judge, the defendants should have succeeded. It is impossible to pretend that the state of the authorities on this branch of the law is entirely satisfactory. There are some dicta which suggest that unless a mortgagee acts in bad faith he is safe. His only obligation to the mortgagor is not to cheat him. There are other dicta which suggest that, in addition to the duty to act in good faith, the mortgagee is under a duty to take reasonable care to obtain whatever is the true market value of the mortgaged property at the moment he chooses to sell it: compare, for example, Kennedy v. de Trafford, [1896] 1 Ch 762, on appeal [1897] AC 180, [1895-99] All ER Rep 408, with Tomlin v. Luce (1889), 43 ChD 191 at 194. The proposition that the mortgagee owes both duties, in my judgment, represents the true view of the law. Approaching the matter first of all on principle, it is to be observed that if a sale yields a surplus over the amount owed under the mortgage, the mortgagee holds this surplus in trust for the mortgagor. If the sale shows a deficiency, the mortgagor has to make it good out of his own pocket. The mortgagor is vitally affected by the result of the sale but its preparation and conduct is left entirely in the hand of the mortgagee. The proximity between them could scarcely be closer. Surely they are 'neighbours'. Given that the power of sale is for the benefit of the mortgagee and that he is entitled to choose the moment to sell which suits him, it would be strange indeed if he were under no legal obligation to take reasonable care to obtain what I call the true market value at the date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closely-related question of the nature of the duty owed by a chattel mortgagee when exercising his power of sale under a chattel mortgage was considered by the British Columbia Court of Appeal in J. &amp; W. Investments Ltd. v. Black </w:t>
      </w:r>
      <w:hyperlink r:id="rId71" w:history="1">
        <w:r>
          <w:rPr>
            <w:rFonts w:ascii="arial" w:eastAsia="arial" w:hAnsi="arial" w:cs="arial"/>
            <w:i/>
            <w:color w:val="0077CC"/>
            <w:sz w:val="20"/>
            <w:u w:val="single"/>
            <w:shd w:val="clear" w:color="auto" w:fill="FFFFFF"/>
            <w:lang w:val="en-US" w:eastAsia="en-US" w:bidi="ar-SA"/>
          </w:rPr>
          <w:t>(1963), 38 D.L.R. (2d) 251</w:t>
        </w:r>
      </w:hyperlink>
      <w:r>
        <w:rPr>
          <w:rFonts w:ascii="arial" w:eastAsia="arial" w:hAnsi="arial" w:cs="arial"/>
          <w:color w:val="000000"/>
          <w:sz w:val="20"/>
          <w:lang w:val="en-US" w:eastAsia="en-US" w:bidi="ar-SA"/>
        </w:rPr>
        <w:t xml:space="preserve">. After reviewing the cases dealing with the duty of a mortgagee when exercising a power of sale, Mr. Justice Sheppard concluded that the duty was a subjective duty to act in good faith and to avoid wilful default. J. &amp; W. Investments was followed by the same court in Gulf and Fraser Fisherman's Credit Union v. Calm C. Fish Ltd. et al, </w:t>
      </w:r>
      <w:hyperlink r:id="rId72" w:history="1">
        <w:r>
          <w:rPr>
            <w:rFonts w:ascii="arial" w:eastAsia="arial" w:hAnsi="arial" w:cs="arial"/>
            <w:i/>
            <w:color w:val="0077CC"/>
            <w:sz w:val="20"/>
            <w:u w:val="single"/>
            <w:shd w:val="clear" w:color="auto" w:fill="FFFFFF"/>
            <w:lang w:val="en-US" w:eastAsia="en-US" w:bidi="ar-SA"/>
          </w:rPr>
          <w:t>[1975] 3 W.W.R. 474</w:t>
        </w:r>
      </w:hyperlink>
      <w:r>
        <w:rPr>
          <w:rFonts w:ascii="arial" w:eastAsia="arial" w:hAnsi="arial" w:cs="arial"/>
          <w:color w:val="000000"/>
          <w:sz w:val="20"/>
          <w:lang w:val="en-US" w:eastAsia="en-US" w:bidi="ar-SA"/>
        </w:rPr>
        <w:t xml:space="preserve">. Cuckmere Brick, the most authoritative expression of the requirement for a higher duty, which was decided after J. &amp; W. Investments and before Gulf and Fraser Fisherman's Credit Union, does not seem to have been brought to the attention of the Court. Madam Justice Southin commented in Columbia Trust Co. v. Larsen, </w:t>
      </w:r>
      <w:hyperlink r:id="rId73" w:history="1">
        <w:r>
          <w:rPr>
            <w:rFonts w:ascii="arial" w:eastAsia="arial" w:hAnsi="arial" w:cs="arial"/>
            <w:i/>
            <w:color w:val="0077CC"/>
            <w:sz w:val="20"/>
            <w:u w:val="single"/>
            <w:shd w:val="clear" w:color="auto" w:fill="FFFFFF"/>
            <w:lang w:val="en-US" w:eastAsia="en-US" w:bidi="ar-SA"/>
          </w:rPr>
          <w:t>[1986] B.C.J. No. 667</w:t>
        </w:r>
      </w:hyperlink>
      <w:r>
        <w:rPr>
          <w:rFonts w:ascii="arial" w:eastAsia="arial" w:hAnsi="arial" w:cs="arial"/>
          <w:color w:val="000000"/>
          <w:sz w:val="20"/>
          <w:lang w:val="en-US" w:eastAsia="en-US" w:bidi="ar-SA"/>
        </w:rPr>
        <w:t>, (B.C.C.A.) that the result might have been different if the English Court of Appeal case had been before the Court in Gulf and Fraser Fisherman's Credit Union. She commented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J. &amp; W. Investments Ltd. v. Black is the law of British Columbia, the mortgagee selling under a power of sale is in quite a happy position. If the law is as in Cuckmere Brick Co. v. Mutual Finance, his position is not so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Justice Donald treated the question as an open one in British Columbia in Northland Bank (In Liquidation) v. Kocken, </w:t>
      </w:r>
      <w:hyperlink r:id="rId74" w:history="1">
        <w:r>
          <w:rPr>
            <w:rFonts w:ascii="arial" w:eastAsia="arial" w:hAnsi="arial" w:cs="arial"/>
            <w:i/>
            <w:color w:val="0077CC"/>
            <w:sz w:val="20"/>
            <w:u w:val="single"/>
            <w:shd w:val="clear" w:color="auto" w:fill="FFFFFF"/>
            <w:lang w:val="en-US" w:eastAsia="en-US" w:bidi="ar-SA"/>
          </w:rPr>
          <w:t>[1998] B.C.J. No. 169</w:t>
        </w:r>
      </w:hyperlink>
      <w:r>
        <w:rPr>
          <w:rFonts w:ascii="arial" w:eastAsia="arial" w:hAnsi="arial" w:cs="arial"/>
          <w:color w:val="000000"/>
          <w:sz w:val="20"/>
          <w:lang w:val="en-US" w:eastAsia="en-US" w:bidi="ar-SA"/>
        </w:rPr>
        <w:t>. He said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alternative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raises an issue as to the nature of the duty owed by a lender to a borrower when realizing on security. The question is whether the duty is limited to the exercise of good faith and the avoidance of wilful default in selling the asset: J. &amp; W. Investments Ltd. v. Black </w:t>
      </w:r>
      <w:hyperlink r:id="rId71" w:history="1">
        <w:r>
          <w:rPr>
            <w:rFonts w:ascii="arial" w:eastAsia="arial" w:hAnsi="arial" w:cs="arial"/>
            <w:i/>
            <w:color w:val="0077CC"/>
            <w:sz w:val="20"/>
            <w:u w:val="single"/>
            <w:shd w:val="clear" w:color="auto" w:fill="FFFFFF"/>
            <w:lang w:val="en-US" w:eastAsia="en-US" w:bidi="ar-SA"/>
          </w:rPr>
          <w:t>(1963) 38 D.L.R. (2d) 251</w:t>
        </w:r>
      </w:hyperlink>
      <w:r>
        <w:rPr>
          <w:rFonts w:ascii="arial" w:eastAsia="arial" w:hAnsi="arial" w:cs="arial"/>
          <w:color w:val="000000"/>
          <w:sz w:val="20"/>
          <w:lang w:val="en-US" w:eastAsia="en-US" w:bidi="ar-SA"/>
        </w:rPr>
        <w:t xml:space="preserve"> (B.C.C.A.), a subjective test; or the duty involves an obligation to act reasonably to obtain true market value: Cuckmere Brick Co. v. Mutual Finance, [1971] 2 All E.R. 633 (C.A.), an objective test. The learned trial judge applied the higher test and found no breach of duty. Since I am in substantial agreement with his application of the evidence to the test, I do not find it necessary to settle the controversy. On the facts of this case the defendants were unable to satisfy either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am satisfied that the question of the nature of the duty owed by a mortgagee in possession is an open question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Concurrent Liability in Tort and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Central Trust Co. v. Rafuse, </w:t>
      </w:r>
      <w:hyperlink r:id="rId75"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the Supreme Court of Canada confirmed that concurrent liability in tort could exist in cases where the parties' relationship arose solely as a result of contract. Mr. Justice Le Dain, who delivered the judgment of the Court, described the scope of the duty of care (p. 205):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undertaken by the contract will indicate the nature of the relationship that gives rise to the common law duty of care, but the nature and scope of the duty of care that is asserted as the foundation of the tortious liability must not depend on specific obligations or duties created by the express terms of the contract. It is in that sense that the common law duty of care must be independent of the contract. The distinction, in so far as the terms of the contract are concerned, is broadly speaking, between what is to be done and how it is to be done. A claim cannot be said to be in tort if it depends for the nature and scope of the asserted duty of care on the manner in which an obligation or duty has been expressly and specifically defined by a contract. Where the common law duty of care is co-extensive with that which arises as an implied term of the contract it obviously does not depend on the terms of the contract, and there is nothing flowing from the contractual intention which should preclude reliance on a concurrent or alternative liability in tort. The same is also true of reliance on a common law duty of care that falls short of a specific obligation or duty imposed by the express terms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Ryan v. Victoria (City), </w:t>
      </w:r>
      <w:hyperlink r:id="rId7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Mr. Justice Major, who delivered the judgment of the court, commented on the restatement in Kamloops v. Nielsen, </w:t>
      </w:r>
      <w:hyperlink r:id="rId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of the two-step test established by the House of Lords in Anns v. Merton London Borough Council, [1978] A.C. 728. He said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step of the Anns/Kamloops test presents a relatively low threshold. In order to establish a prima facie duty of care, it must be shown that a relationship of "proximity" existed between the parties such that it was reasonably foreseeable that a careless act by the Railways could result in injury to the appellant.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step of the Anns/Kamloops test requires that it be determined whether any factors exist which should eliminate or limit the duty found under the first branch of the test. This approach recognizes that while the test of "proximity" may be met, liability does not necessarily follow. The existence of a duty of care must be considered in light of all relevant circumstances, including any applicable statutes or regulations. Thus, a legislative exemption from liability can negate a duty of care in circumstances where that duty would otherwise arise. The same holds true for immunities created by the courts. A policy decision is made in such cases to prevent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regulating certain relationships or relieving certain injuries, notwithstanding a finding of proximity between the parties. This may reflect the need to shield specific activities from judicial control, or the wish to prevent the "floodgates of litigation" from opening into areas of potentially unlimited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relationship between Metropolitan and Dancorp -- and likely between any mortgage lender and the borrower who has pledged his or her property -- establishes a relationship of proximity under the first part of the Anns/Kamloops test. Mr. Justice Le Dain's comments in Canadian Pacific Hotels barring the recognition of the duty of care in tort when the same duty has been rejected as an implied term of a particular type of contract must, I respectfully suggest, be taken to refer to the negation of a duty of care referred to by Mr. Justice Major in Ryan v. Victoria, when he spoke of the second step of the Anns/Kamloops test: the immunities created by the courts stemming from policy decisions to prevent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regulating certain relationships notwithstanding a finding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Downsview Nominees and Yorkshire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Downsview Nominees Ltd. v. First City Corp. Ltd., (supra) the Judicial Committee of the Privy Council considered the question of duty in the context of the exercise of powers under a debenture by the holder of a first debenture in a manner detrimental to the interests of the holder of a second debenture charging the same enterprise. The facts of the case are analogous to the case before me in that it was the exercise of the debenture holder's powers, not sale of the property secured by the debenture, that was under examination. Lord Templeman, who delivered the opinion of the Judicial Committee on appeal from the Court of Appeal of New Zealand, said (p. 312):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centuries ago equity evolved principles for the enforcement of mortgages and the protection of borrowers. The most basic principles were, first, that a mortgage is security for the repayment of a debt and, secondly, that a security for repayment of a debt is only a mortgage. From these principles flowed two rules, first, that powers conferred on a mortgagee must be exercised in good faith for the purposes of obtaining repayment and secondly that, subject to the first rule, powers conferred on a mortgagee may be exercised although the consequences may be disadvantageous to the borrower. These principles and rules apply also to a receiver and manager appointed by the mortgagee.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discuss the nature of the duty owed by a mortgagee in more detail (p. 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duty of care said to be owed by a mortgagee to subsequent encumbrancers and the mortgagor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inconsistent with the right of the mortgagee and the duties which the courts applying equitable principles have imposed on the mortgagee. If a mortgagee enters into possession he is liable to account for rent on the basis of wilful default; he must keep mortgage premises in repair; he is liable for waste. Those duties were imposed to ensure that a mortgagee is diligent in discharging his mortgage and returning the property to the mortgagor. If a mortgagee exercises his power of sale in good faith for the purpose of protecting his security, he is not liable to the mortgagor even though he might have obtained a higher price and even though the terms may be regarded as disadvantageous to the mortgagor. Cuckmere Brick Co Ltd. v. Mutual Finance Ltd. [1971] Ch. 949 is Court of Appeal authority for the proposition that, if the mortgagee decides to sell, he must take reasonable care to obtain a proper price but is no authority for any wider proposition. A receiver exercising his power of sale also owes the same specific duties as the mortgagee. But that apart, the general duty of a receiver and manager appointed by a debenture holder, as defined by Jenkins L.J. in Re. B. Johnson &amp; Co. (Builders) Ltd. [1955] Ch. 634 at 661, leaves no room for the imposition of a general duty to use reasonable care in dealing with the assets of the company. The duties imposed by equity on a mortgagee and on a receiver and manager would be quite unnecessary if there existed a general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take reasonable care in the exercise of powers and to take reasonable care in dealing with the assets of the mortgagor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English Court of Appeal considered the matter of the mortgagee's duty to the mortgagor in Yorkshire Bank v. Hall [1999] All E.R. 879. That Court affirmed the principles stated in Downsview as follows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head 1 the Bank relied on principles stated by the Privy Council in the well-known cases of China and South Sea Bank v. Tan Soon Gin [1990] 1 AC 536 and Downsview Nominees v. First City Corporation [1993] AC 295 and by the House of Lords in National Bank of Greece v. Pinios Shipping [1990] 1 AC 637. Those cases together establish or reaffirm that a mortgagee's duty to the mortgagor or to a surety depend partly on the express terms on which the transaction was agreed and partly on duties (some general and some particular) which equity imposes for the protection of the mortgagor and the surety. The mortgagee's duty is not a duty imposed under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nor are contractual duties to be implied. The general duty (owed both to subsequent encumbrancers and to the mortgagor) is for the mortgagee to use his powers only for proper purposes, and to act in good faith (Downsview at page 317). The specific duties arise if the mortgagee exercises his express or statutory powers (Downsview at page 315). If he exercises his power to take possession, he becomes liable to account on a strict basis (which is why mortgagees and debenture holders operate by appointing receivers where they can). If he exercises his power of sale, he must take reasonable care to obtain a proper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Considerations Relevant to the Implication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House of Lords in Liverpool City Council, authoritatively stated the considerations that underlie the implication of a term into a contract as a matter of law. That statement of the principles to be applied was approved by the Supreme Court of Canada in Canadian Pacific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One of the requirements imposed upon the implication of terms at law by the analysis approved in Canadian Pacific Hotels is that such implication must be "necessary". I note that in Machtinger v. HOJ Industries Ltd., </w:t>
      </w:r>
      <w:r>
        <w:rPr>
          <w:rFonts w:ascii="arial" w:eastAsia="arial" w:hAnsi="arial" w:cs="arial"/>
          <w:i/>
          <w:color w:val="000000"/>
          <w:sz w:val="20"/>
          <w:lang w:val="en-US" w:eastAsia="en-US" w:bidi="ar-SA"/>
        </w:rPr>
        <w:t>[1992] 1 S.C.R. 986</w:t>
      </w:r>
      <w:r>
        <w:rPr>
          <w:rFonts w:ascii="arial" w:eastAsia="arial" w:hAnsi="arial" w:cs="arial"/>
          <w:color w:val="000000"/>
          <w:sz w:val="20"/>
          <w:lang w:val="en-US" w:eastAsia="en-US" w:bidi="ar-SA"/>
        </w:rPr>
        <w:t>, a majority of the Supreme Court of Canada found it unnecessary to revisit the law as stated in Canadian Pacific Hotels. In Machtinger, Madam Justice McLachlin, who was not joined by the other members of the Court, added some comments on the meaning of the term "necessity" as it relates to the implication of terms as a matter of law as a necessary incident of a particular kind or class of contract. She commented (p. 13)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"necessity" adopted by the House of Lords in Liverpool City Council is not whether the term is "necessary" for the very existence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Madam Justice McLachlin adopted what she referred to as a "practical view of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House of Lords, in Liverpool City Council, also required that terms be implied only if to fail to do so would render the contract, in the words adopted by Lord Justice Salmon, "futile, inefficacious and absurd". Lord Wilberforce adopted the same words. The same test is implicit in the speeches of Lord Edmund-Davies and Lord Cross of Chelsea.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monies to be advanced under the mortgage contracts between Dancorp and Metropolitan were for the construction of two condominium towers on the lands charged by the mortgages. Paragraph 28, pursuant to which the Degelder claim was settled, confers upon Metropolitan an unrestricted right to pay the claims of persons who have provided labour or materials to the construction of buildings on the lands. The implication of a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view of the existing duty to act in good faith imposed by equity, would be inconsistent with the existing duty and unnecessary in the context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a matter of commercial reality, the assignment of mortgages, under which the assignee had exercised powers contained in the mortgage, would be unnecessarily complicated if the assignee could be called to account for breach by the assignor of an objective duty to act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many, if not most, circumstances where the mortgage relationship breaks down, the mortgagee's powers will be exercised in a litigious climate. That was the case here. Judgments about the exercise of the mortgage powers will often be made under the press of urgent circumstances. That also was the case here. The mortgagee is required to act in good faith. That is a subjective duty that does not expose him or her to the after-the-fact review that is common when the duty is one of objective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trite to observe that the duties that the law places upon persons influence their behaviour. The imposition of a duty higher than the duty of good faith already imposed by equity will inhibit the exercise of powers under mortgage instruments. It will slow the pace of commercial response to unexpected events. It will tilt the commercial balance in mortgage relationships in favour of the mortgagor. It will extract an economic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breakdown of mortgage relationships and the subsequent foreclosure proceedings results in economic distress to which the courts are sympathetic. The sympathetic mortgagor and the unsympathetic mortgagee have become commonplace cultural stereotypes. If it could be confidently expected that the imposition of a tort duty on the exercise of a mortgagee's powers under a mortgage would reduce the prominence of that stereotype that would, at least, weigh on the side of a policy decision to impose such a duty. However, in my view it would be likely to produce more protracted litigation, higher mortgage costs and slower commercial reaction to the often-upsetting events that produce mortgage foreclosure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mortgage relationship that characterises current commercial practice has been relatively unchanged for many years. It has not involved the imposition of a tort duty on mortgagees. I cannot conclude that a change is "necessary", even in the practical sense used by Madam Justice McLachlin in Machtinger, to avoid rendering existing practice "inefficacious, futile and absurd".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can see no basis on the authorities upon which an implied term may be imposed upon Metropolitan governing its actions in exercising its powers under the mortgage. Equity already requires that it exercise those powers in good faith and avoid wilful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Stregger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Stregger Report is a massive document. The author, Mr. Evan Stregger, is an eminently qualified quantity surveyor. He has conducted an exhaustive review of the documentation associated with the Project and, in his Report, expresses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analysis and quantification, conducted as described above, has led me to conclude that Degelder Construction Co. Ltd. was overpaid by $317,623.99 prior to October 3, 1994 the date of the Metropolitan/Degelder settlement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also concluded that the information to reach this conclusion existed prior to October 3, 1994 and as such this analysis could have and should have been done prior to the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overpayment, including interest and also including the return of bonuses paid to Metropolitan on the overpayments plus interest, leads me to conclude that Dancorp Developments Ltd. is owed the sum of $915,339.17.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[Stregger Report p. 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Report sets out the scope of the review which the author was retained to perform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scope of my work in this matter is as set out in part 1 above and essentially to answer the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was payable to Degelder, in accordance with the mortgage documents and the contract agreement between Degelder and Dancorp?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That statement of the scope of the review invites the observation that the task set for Mr. Stregger goes beyond his expertise as a quantity surveyor. The question of the amount payable to Degelder is, in the submission of Dancorp, one of the issues before the Court. The manner in which the task is defined, unless it were to be contained by very detailed and careful assumptions provided by the instructing counsel, is an invitation for the expert to try the case and provide his or her opinion upon the ultimate issue. Matters that begin badly often go badly.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significance of the Stregger Report to the Foreclosure Proceeding is that the deficiency arises because of the monies paid by Metropolitan to settle the Degelder claim and by Dunwoody to Degelder to complete the Project. If those monies should not have been paid, that would provide the basis for a contention by Dancorp that Metropolitan and Dunwoody acted unreasonably or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Metropolitan takes issue with a number of aspects of Mr. Stregger's methodology. Of particular concern is one of the underlying premises of the Report: if an expenditure cannot be justified on the basis of the construction contract between Dancorp and Degelder, it is not an expenditure that can properly be added to the balance due under the mortgages. Mr. Stregger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by Mr. E. McDaniel that he was not involved or included in the discussions which led up to the December 7, 1990 agreement and that Dancorp was not signatory to the agreement. He has also advised me that he did not receive a copy of the agreement until December 31, 1990.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Dancorp was still in control of the project at the time the agreement was signed, it is my opinion that the December 7, 1990 agreement could not, without the consent and agreement of Dancorp, properly alter the terms of the construction agreement between Dancorp and Degelder. As Metropolitan had not as of December 7, 1990 taken control of the project or appointed a receiver to do so it is my opinion that the December 7, 1990 agreement is a separate agreement solely between Metropolitan and Degelder.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[Stregger report p. 22]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Unfortunately, Mr. Stregger frequently strays into 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also mixes the role of expert witness, eyewitness, and advocate. He makes the following observation when dealing with a comment made by another witness in an affidavit concerning the necessity of accelerating work on the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from the above, it is the opinion of Mr. Lara-Faure that until September of 1990 the work could have been completed by the deadlines. Although my involvement on the project at that time was related only to the remedial program, it was my observation the work was essentially on schedule in August of 1990 and that nothing arose that would hold up or delay the work. However, progress clearly began to slow down in late August and appeared to effectively stop in the early part of September and it was not truly underway until late October, after the October 26, 1990 acceleration agreement. I would therefore concur with Mr. Lara-Faure's statement. In my opinion and experience, acceleration costs to compensate for a deliberate slowdown is not a cost borne by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Metropolitan Trust by holding out the offer of a costly acceleration program, interfered with the contract and the normal progression of the work. As with the possibility of Metropolitan agreeing to a costly acceleration program Degelder needed to demonstrate that the work could not be completed without acceleration. It is my opinion that Degelder met this need by nearly stopping work in September and October of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[Stregger Report p. 76]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methodology adopted by Mr. Stregger throughout shows a bias toward reduction of the amount owing pursuant to the mortgages. Metropolitan took issue with the methodology in a number of specific instances.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Progress Claim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Stregger concludes that Degelder should have received nothing in respect of this progress claim notwithstanding that Degelder had obtained judgment for the amount of the claim ($430,961) against Metropolitan. Mr. Stregger deducted a completion holdback negotiated between the purchasers and Metropolitan in the amount of ($881,000). Much of the work to which the completion holdback related was later completed. No allowance was made by Mr. Stregger to reflect this. I am satisfied that there was no basis for any deduction from progress Claim 21. The combination of the reduction of progress claim 21 to zero and an allowance for interest on that claim and a charge for interest on the completion holdback, in combination, results in a reduction of the amount owed to Degelder of $814,243.71.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Progress Claim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Stregger reduces the amount of this claim by creating a deficiency holdback that is double the amount of the actual deficiencies. While that is an accepted practice in the industry to provide an incentive to the contractor to remedy deficiencies, it is not an acceptable method for measuring the proper amount owing to the contractor. It is equally inappropriate to fail to make an allowance for the deficiencies which were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Change Order and Acceleration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Stregger reviews the documentation provided by Degelder in the course of establishing change order and acceleration claims to the satisfaction of Metropolitan's project inspector and, if he is not satisfied that Degelder has established its claim with documentation, reduces the claim to zero. He reduces Degelder's claims by approximately $650,000 on this basis. He does not assess the value of the work actually performed. Mr. Smith, a quantity surveyor whose evidence is relied upon by Metropolitan, confirms that the work was performed by Degelder.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Cascade Lien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Two subcontractors on the Project, Cascade Windows Ltd. and Cascade Glass Ltd., filed liens against the Project. Metropolitan paid $195,519.20 (the amount of the liens plus 10%) into court to secure their removal. Metropolitan deducted this amount from progress draws certified as owing to Degelder. Degelder sought to recover this amount from Metropolitan in proceedings before me in June 1994. I determined that Metropolitan had the right,pursuant to the December 7 Agreement, to deduct these monies from the progress draws and that Degelder was not entitled to those funds until it had satisfied the lien holders and secured the discharge of the liens. Degelder did so and established its entitlement to payment of $195,519.20 by Metropolitan. A consent dismissal order was filed in September 1994 dismissing the lien claims. Mr. Stregger erroneously reduced the amount owing to Degelder by the amount of the liens ($177,774) on the following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Affidavit of Mr. Michael Degelder dated September 22, 1994 included herein at Tab 16, and note on Page 5 that there has been a consent dismissal order dismissing the claims of Cascade Windows and Cascade Glass. It is my understanding that under a consent dismissal order, the claim ceases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[Stregger Report p. 54]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Seymour Delay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Metropolitan paid Seymour Building Systems Ltd. $75,000 in respect of a delay claim advanced by that subcontractor. That payment was agreed upon at the time of the October 26 Agreement. The portion of the Agreement that relates to that payment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effect acceleration, you have advised that the delay claim of Seymour Building Systems Ltd. ("Seymour') must be settled and that it is not feasible to replace Seymour as a subcontractor within the required time constraints.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Stregger reduces the amount of the mortgage deficiency by $75,000 on the basis that this amount should not have been paid. He says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note that Metropolitan did not make this payment to Seymour until January 21, 1991, after they were aware of substantial deficiencies in the work and after the terms of the agreement had been amended on December 7, 1990. It is my opinion that the payment to Seymour was improper in that it was for alleged delay costs, not acceleration. In my opinion the full amount of this payment should be credited to the project as quantified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[Stregger report p. 82]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its submissions, Metropolitan characterises Mr. Stregger's treatment of construction change orders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Degelder's change order claims were subjected [by Mr. Stregger] to the entire panoply of technical arguments under the Construction Agreement to justify a rejection of the Degelder claims (lack of evidentiary support in the form of invoices, etc., lack of pricing, failure to obtain Consultant's approval, etc.). At the slightest suggestion of any failure to abide by Mr. Stregger's interpretation of the Construction Agreement, Mr. Stregger determined that these claims were not valid. In fact, none of Degelder's claims were found to be valid.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contrast, all of Dancorp's claims were treated as entirely valid irrespective of whether Dancorp itself had complied with the requirements of the Construction Agreement. As noted above, Mr. Stregger even treated the work needed to reslope the balconies (which had been approved as a change order by the Consultant) as deficiency work and does not hesitate to overrule the Consultant when that is advantageous to Dancorp.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my view, the substance of that characterisation is accurate. The reduction in the amount owing to Degelder as a result of the change order analysis is in excess of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addition to the matters already mentioned, Mr. Stregger finds a host of miscellaneous reasons to reduce the amount of the Degelder claim and to invalidate the expenditures made by the receiver and by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Sengbusch v. Priest </w:t>
      </w:r>
      <w:hyperlink r:id="rId77" w:history="1">
        <w:r>
          <w:rPr>
            <w:rFonts w:ascii="arial" w:eastAsia="arial" w:hAnsi="arial" w:cs="arial"/>
            <w:i/>
            <w:color w:val="0077CC"/>
            <w:sz w:val="20"/>
            <w:u w:val="single"/>
            <w:shd w:val="clear" w:color="auto" w:fill="FFFFFF"/>
            <w:lang w:val="en-US" w:eastAsia="en-US" w:bidi="ar-SA"/>
          </w:rPr>
          <w:t>(1987), 14 B.C.L.R. (2d) 26</w:t>
        </w:r>
      </w:hyperlink>
      <w:r>
        <w:rPr>
          <w:rFonts w:ascii="arial" w:eastAsia="arial" w:hAnsi="arial" w:cs="arial"/>
          <w:color w:val="000000"/>
          <w:sz w:val="20"/>
          <w:lang w:val="en-US" w:eastAsia="en-US" w:bidi="ar-SA"/>
        </w:rPr>
        <w:t xml:space="preserve"> (B.C.S.C.) Chief Justice McEachern, (now C.J.B.C.) set forth some of the general rules that govern the admissibility of the reports of experts. He said at p.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appropriate for the court to enforce reasonable limits upon the admissibility of opinion evidence. Too often, as in this case, persons with special training or experience are retained to construct scenarios or advance arguments in the form of an opinion when, with proper assistance from counsel, the court is able to analyze the evidence and reach a proper conclusion on commonplace problems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unnecessary, however, for experts to perform the court's function or for counsel to adduce arguments in the guise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Emil Anderson Const. Co. v. B.C. Ry. Co. </w:t>
      </w:r>
      <w:hyperlink r:id="rId78" w:history="1">
        <w:r>
          <w:rPr>
            <w:rFonts w:ascii="arial" w:eastAsia="arial" w:hAnsi="arial" w:cs="arial"/>
            <w:i/>
            <w:color w:val="0077CC"/>
            <w:sz w:val="20"/>
            <w:u w:val="single"/>
            <w:shd w:val="clear" w:color="auto" w:fill="FFFFFF"/>
            <w:lang w:val="en-US" w:eastAsia="en-US" w:bidi="ar-SA"/>
          </w:rPr>
          <w:t>(1987) 17 B.C.L.R. (2d) 357</w:t>
        </w:r>
      </w:hyperlink>
      <w:r>
        <w:rPr>
          <w:rFonts w:ascii="arial" w:eastAsia="arial" w:hAnsi="arial" w:cs="arial"/>
          <w:color w:val="000000"/>
          <w:sz w:val="20"/>
          <w:lang w:val="en-US" w:eastAsia="en-US" w:bidi="ar-SA"/>
        </w:rPr>
        <w:t xml:space="preserve"> (B.C.S.C.) Mr. Justice Macdonald refused to admit into evidence two reports which exhibited some of the same flaws as the Stregger Report. He characterised the reports as follows (p. 359);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the Codville and Dixon reports purport to be an "assessment of claims" submitted by the plaintiff. While the claims so assessed are those presented after the conclusion of the work (November 1983) and do not reflect substantial modifications and reductions made in the course of this litigation, each of those reports is essentially the view of its author on the validity and value of the numerous claims of the plaintiff in this action. Therein lies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Mr. Justice Spencer excluded a report for similar reasons in Quintette Coal Ltd v. Bow Valley Resource Services Ltd. </w:t>
      </w:r>
      <w:hyperlink r:id="rId79" w:history="1">
        <w:r>
          <w:rPr>
            <w:rFonts w:ascii="arial" w:eastAsia="arial" w:hAnsi="arial" w:cs="arial"/>
            <w:i/>
            <w:color w:val="0077CC"/>
            <w:sz w:val="20"/>
            <w:u w:val="single"/>
            <w:shd w:val="clear" w:color="auto" w:fill="FFFFFF"/>
            <w:lang w:val="en-US" w:eastAsia="en-US" w:bidi="ar-SA"/>
          </w:rPr>
          <w:t>(1988), 29 B.C.L.R. (2d) 127</w:t>
        </w:r>
      </w:hyperlink>
      <w:r>
        <w:rPr>
          <w:rFonts w:ascii="arial" w:eastAsia="arial" w:hAnsi="arial" w:cs="arial"/>
          <w:color w:val="000000"/>
          <w:sz w:val="20"/>
          <w:lang w:val="en-US" w:eastAsia="en-US" w:bidi="ar-SA"/>
        </w:rPr>
        <w:t xml:space="preserve"> (B.C.S.C.). The report before him dealt with the assessment and quantification of a delay and acceleration claim. He commented on the role of experts as follows (p. 129):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at present is too voluminous and too full of objectionable material to make it feasible to go through it and rule on it page by page. So I confine myself to restating those things which an expert may and may not do, as I understand the principles of law involved. I do not purport to restate them exhaustively but only for the purposes of this witness's evidence at this point in the trial. There may be other specific matters to which the expert may or may not testify which will become relevant later on, and counsel may raise them then. For the time being I state Mr. Rennie's role as follows: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give evidence of the proper method to be adopted in assessing a delay and acceleration claim as a matter of industry practice, and may testify to any exceptions to that method which ought in his opinion to be made for the purposes of this case.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express his opinion about the sort of effect that is generally caused by the delay of one branch of a construction project upon other related branches of the same project, where that is beyond the common experience of the court.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give factual evidence about construction techniques and practice based on his knowledge and experience.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interpret, in the form of an opinion, the requirements of a technical drawing or specification, but he may not give an opinion which amounts to a legal interpretation of the contract in issue.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rival experts have presented or are expected to present differing opinions, he may descend to argument to show why his opinion should be accepted in preference to the others', but the argument should be restricted to the technical reasons why he says his opinion is preferable.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not make conclusive findings of fact on issues disputed between the parties, but he may state certain facts as the hypothesis upon which he reaches an opinion or, refer to matters which are already put in evidence. In each case he should make clear what hypothesis or evidence he relies upon. It will be for the court to decide eventually whether that hypothesis is made out or whether the appropriate facts are found from the evidence.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not assess the value of justifiability of the plaintiff's claim.</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not assign blame to any party, but he may give his opinion as to cause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the course of his Report, Mr. Stregger gives opinions on the legal interpretation of contracts, makes findings of fact, assesses the value of Degelder's claim and assigns blame for delays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authorities also provide instances of expert reports being excluded because of lack of objectivity on the part of the expert. In B. v. Plint </w:t>
      </w:r>
      <w:hyperlink r:id="rId80" w:history="1">
        <w:r>
          <w:rPr>
            <w:rFonts w:ascii="arial" w:eastAsia="arial" w:hAnsi="arial" w:cs="arial"/>
            <w:i/>
            <w:color w:val="0077CC"/>
            <w:sz w:val="20"/>
            <w:u w:val="single"/>
            <w:shd w:val="clear" w:color="auto" w:fill="FFFFFF"/>
            <w:lang w:val="en-US" w:eastAsia="en-US" w:bidi="ar-SA"/>
          </w:rPr>
          <w:t>(1998) 56 B.C.L.R. (3d) 214</w:t>
        </w:r>
      </w:hyperlink>
      <w:r>
        <w:rPr>
          <w:rFonts w:ascii="arial" w:eastAsia="arial" w:hAnsi="arial" w:cs="arial"/>
          <w:color w:val="000000"/>
          <w:sz w:val="20"/>
          <w:lang w:val="en-US" w:eastAsia="en-US" w:bidi="ar-SA"/>
        </w:rPr>
        <w:t>, a residential school sexual assault case, Mr. Justice Brenner (now C.J.S.C.), refused to admit the report of a historian who had prepared it as a brief for the Royal Commission on Aboriginal People. He said (p. 218):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there is also a serious question as to whether Dr. Milloy's report has the objectivity the courts insist be displayed by expert witnesses who are called to testify with respect to matters the trier of fact is unlikely to form a correct judgment about if unassisted by persons with special knowledge. Because of that reliance it is important that the expert evidence be balanced and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Stregger report is not an objective analysis. It is partisan argument given the form of expert opinion. It transgresses many of the rules laid down by the authorities to prevent improper opinion being placed in evidence. The Report is not admissible in evidence. Even if it were to be admitted, it would not provide a reliable basis upon which I could conclude that Metropolitan or Dunwoody acted unreasonably or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Settlement Between Metropolitan and Degelder and Payments Made to Degelder for Work Done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Dancorp disputes Metropolitan's right to recover the payments to Degelder for work done on the Project on the basis that Metropolitan is not entitled to recover under the terms of the mortgages monies expended to complete the Project unless the expenditures were compelled by the terms of the construction contract between Dancorp and Degelder. That contract was dated May 25, 1989 and specified a maximum cost of the Project of $13,400,000 and a fixed contract fee payable to Degelder of $530,000.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Metropolitan contends that it is entitled to add the costs that it incurred to accelerate and complete construction onto the amounts owing under the mortgages. It relies upon an agreement dated January 12, 1990 (the "January 12 Agreement") and paragraph 28 of the mortgages to support its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discovery that the construction failed to comply with earthquake standards because of a design error imposed additional costs. The strain on the relationship between Dancorp and Degelder and later Metropolitan arose from the unexpected design error. In the January 12 Agreement, Dancorp agreed that Metropolitan could order acceleration of construction of the Project if it deemed it necessary to "protect the project and their own interest". Throughout most of 1990, Dancorp resisted acceleration. On October 26, 1990, Metropolitan exercised its rights under the January 12 Agreement and ordered acceleration of construction. Increasing acrimony between Dancorp and Degelder and a threat by Degelder to stop work on the Project precipitated the December 7 Agreement between Metropolitan and Degelder pursuant to which Metropolitan would pay Degelder directly to complete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events leading up to the December 7 Agreement were described by Mr. Lovera, the Assistant Manager, Mortgage Investments for Metropolitan: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meeting of November 26, 1990 was held at the offices of Owen, Bird [then counsel for Metropolitan] and was attended by several representatives of major subcontractors, Mr. McDaniel, Mr. Stregger of Costex, Mr. Degelder and various other people. As a result of the very hostile and aggressive attitudes and feelings expressed by Degelder representatives and the subtrades, I became very concerned that unless an arrangement satisfactory to Degelder and to the major subcontractors was entered into, Degelder would act upon the Second Termination Notice, and the subcontractors would cease all work on the Project at a time when no occupancy permits had been issued by the District of Port Coquitlam. Indeed it was apparent from the subtrades' comments that many of them may have ceased work regardless of Degelder's actions. I do not recall any intervention by Mr. McDaniel at that meeting, nor do I recall any attempt by Mr. McDaniel to secure some form of arrangement which would have encouraged completion of at least some of the units prior to December 1,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my reasons for judgment dismissing Dancorp's counterclaim against Metropolitan on September 16, 1994, </w:t>
      </w:r>
      <w:hyperlink r:id="rId64" w:history="1">
        <w:r>
          <w:rPr>
            <w:rFonts w:ascii="arial" w:eastAsia="arial" w:hAnsi="arial" w:cs="arial"/>
            <w:i/>
            <w:color w:val="0077CC"/>
            <w:sz w:val="20"/>
            <w:u w:val="single"/>
            <w:shd w:val="clear" w:color="auto" w:fill="FFFFFF"/>
            <w:lang w:val="en-US" w:eastAsia="en-US" w:bidi="ar-SA"/>
          </w:rPr>
          <w:t>[1994] B.C.J. No. 2051</w:t>
        </w:r>
      </w:hyperlink>
      <w:r>
        <w:rPr>
          <w:rFonts w:ascii="arial" w:eastAsia="arial" w:hAnsi="arial" w:cs="arial"/>
          <w:color w:val="000000"/>
          <w:sz w:val="20"/>
          <w:lang w:val="en-US" w:eastAsia="en-US" w:bidi="ar-SA"/>
        </w:rPr>
        <w:t>, I found that the whole tenor of the December 7 Agreement was to achieve timely completion of the project. Metropolitan had the authority under the January 12 Agreement to accelerate construction and had the power under the mortgages to make direct payments in relation to the Project. As I have found earlier, paragraph 28 of both mortgages provided the power to make those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Events quickly overtook the December 7 Agreement. Dunwoody was placed in charge of the Project as receiver on December 27, 1990. Payments were made to Degelder to compensate it for ongoing work under the supervision of the receiver. Degelder withdrew from the Project on March 15, 1991 and commenced an action against Metropolitan (inter alia) to recover monies which it claimed under the terms of the December 7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Degelder advanced a claim against Metropolitan for $4,500,841.86.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Metropolitan settled the Degelder claim in September 1994 after the dismissal of Dancorp's counterclaim against Metropolitan. Under the terms of the settlement, Metropolitan paid Degelder $2,452,560.44 and Degelder agreed to assume responsibility for settling the claims of the subcontractors who had filed builders liens.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After considerable negotiation, Metropolitan took the following position in respect of settlement of the Degelder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2091"/>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Degelder Claim</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Plus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Metropolitan's position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 at February</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 of</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 at September 9, 1994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18, 1994</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Degelder</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Claim</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19"/>
        <w:gridCol w:w="1569"/>
        <w:gridCol w:w="313"/>
        <w:gridCol w:w="51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21st Progress</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430,961.00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Degelder had obtained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draw</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150,836.30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judgment against Metropolitan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this amount in June,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19"/>
        <w:gridCol w:w="1569"/>
        <w:gridCol w:w="313"/>
        <w:gridCol w:w="51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22nd Progress</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375,323.00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Project Inspector only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draw</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127,609.78</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approved $159,412 and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rest of the claim is denied.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19"/>
        <w:gridCol w:w="1569"/>
        <w:gridCol w:w="313"/>
        <w:gridCol w:w="51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 done</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146,058.92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Project Inspector only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between March</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49,660.02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approved $18,655 and the rest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15-25, 1991</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 claim is denied.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523"/>
        <w:gridCol w:w="1568"/>
        <w:gridCol w:w="313"/>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Cascade Lien</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195,519.20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Degelder was entitled to this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Holdback</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72,342.08</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upon satisfying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lien claims in accordance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with my reasons for judgment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June 16, 1994.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732"/>
        <w:gridCol w:w="1568"/>
        <w:gridCol w:w="313"/>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 lien</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9,629.50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Payment of $9,629.50 is not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Holdbacks</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3,466.62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denied provided that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liens are discharged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Metropolitan released.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19"/>
        <w:gridCol w:w="1569"/>
        <w:gridCol w:w="313"/>
        <w:gridCol w:w="51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Builder's Lien</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662,600.95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Metropolitan's computation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holdback</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198,780.28</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holdback to which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Degelder was entitled was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$654,638.06.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732"/>
        <w:gridCol w:w="1568"/>
        <w:gridCol w:w="313"/>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67,452.00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Quantification of $67,452 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Holdbacks</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24,282.72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accepted provided all claims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are settled.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732"/>
        <w:gridCol w:w="1568"/>
        <w:gridCol w:w="313"/>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122,456.20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liability accepted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Allocation</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34,695.92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Fund</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523"/>
        <w:gridCol w:w="1568"/>
        <w:gridCol w:w="313"/>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144,278.25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liability accepted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Allocation</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43,283.48</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Fund Overrun</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523"/>
        <w:gridCol w:w="1568"/>
        <w:gridCol w:w="313"/>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Acceleration</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225,576.80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liability accepted beyond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78,951.86</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 and will argue that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Degelder was not entitled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full payment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19"/>
        <w:gridCol w:w="1569"/>
        <w:gridCol w:w="313"/>
        <w:gridCol w:w="51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Seymour Delay</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164,104.00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liability accepted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Claim</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57,436.38</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523"/>
        <w:gridCol w:w="1568"/>
        <w:gridCol w:w="313"/>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 Fee</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201,323.43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liability accepted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Mark-up</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70,463.18</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19"/>
        <w:gridCol w:w="1569"/>
        <w:gridCol w:w="313"/>
        <w:gridCol w:w="51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Change Orders</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625,000.00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liability accepted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218,750.00</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5"/>
        <w:gridCol w:w="2510"/>
        <w:gridCol w:w="313"/>
        <w:gridCol w:w="51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$3,370,283.25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 least $1,845,893 plus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$1,130,558.62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$353,992 in interest under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Court Order Interest 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up to Sept. 9, 1994.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portions of Degelder's claim not disputed by Metropolitan and court order interest on that amount totalled $2,199,885 as of September 9,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Given the risks and expense of litigation, I cannot find that settlement of Degelder's claims against it for the sum of $2,452,560 was an act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Balance Due Under the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general, Dancorp disputes Mr. Anderson's calculation of the balance due under the mortgages on the basis that the Stregger Report establishes that no monies were owing to Degelder and that, had that been recognised by Metropolitan, many of the expenditures for which it now claims would not have been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have found the Stregger Report to be inadmissible and, in any case, not capable of supporting the view put forward by Dancorp.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mortgages contain broad powers to pay expenses and add them to the amount owing pursuant to the mortgages. Paragraph 18 of the mortgages reads: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Mortgagee may pay all costs, charges and expenses which may be incurred in taking, recovering and keeping possession of the Lands or inspecting the same and generally in any other proceedings taken to realize the monies hereby secured or in protecting the security for the said monies, together with a proper allowance for the time and services of any person appointed by the Mortgagee and all solicitors' (as between solicitor and client) and agents' charges or commissions for or in respect of the collection of overdue interest, principal, insurance premiums, taxes and/or any other monies whatsoever payable by the Mortgagor hereunder whether any action or other judicial proceedings to enforce such payment has been taken or not; and all payments, costs, charges and expenses made or incurred in pursuance of he foregoing shall be forthwith payable to the Mortgagee and shall be a charge on the Lands and shall be added to the Principal Sum and bear interest at the aforesaid rate and, in default of payment, the powers of sale hereinbefore given may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Paragraph 31 of the mortgages provides authority to appoint a receiver. I found, in my reasons for judgment delivered September 16, 1994 that appointment of Dunwoody as receiver was a valid exercise by Metropolitan of the powers created by this provision. That paragraph contains powers to add expenditures incurred in the course of the receivership to the amount due under the mortgages: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Mortgagee ... may appoint a Receiver or Manager ... of the said Lands ... . The Mortgagor will be solely responsible for the acts, defaults, costs and remuneration of the Receiver and the Mortgagee will bear no liability therefor and the Receiver will, from the date of appointment, be an agent of the Mortgagor ... In the event of the appointment of a receiver herein, the following provisions will have effect: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Mortgagee may from time to time fix the remuneration of such Receiver and direct the payment thereof out of the proceeds received with respect to the Lands, all such remuneration and any and all reasonable costs of the Receiver will be added to the debt hereby secured and will bear interest at the rate provided for in the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ANY RECEIVER appointed hereunder will, in the discretion of the Mortgagee, be vested with all or any of the powers and discretions of the Mortgagee hereunder and with all or any of the powers of the Mortgagor including without limiting the generality of the foregoing, the power to: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complete or cause to be completed the construction of any improvements on the Lands either in accordance with the plans and specifications submitted to the Mortgagee at the time the Mortgagee approved the lending of the mortgage monies to the Mortgagor or in accordance with such other plans and specifications as the Mortgagee in its sole discretion may approve and all expenses of whatsoever notice incurred in going into possession and building or completing any improvements will bear interest at the rate of interest provided for in this Mortgage from the time of such payments until paid and such expenses and interest will be payable on demand to the Mortgagee and will be a charge upon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All of the elements of the claim advanced by Metropolitan for the balance due under the mortgages represent expenses properly added to the mortgages pursuant to their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Anderson's accounting and the affidavit evidence in support of Metropolitan's claim for the balance due under the mortgages satisfactorily establishes the amount claimed. Metropolitan is to account to Dancorp for the balance remaining in the sundry account used to deal with ongoing expenses relating to the Project and for the small balance remaining in the general account referred to in the affidavit of Ms. Jennifer Rorison.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Appropriateness of Resolution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issues remitted by the Court of Appeal are clearly suitable for 18A determination. The orders sought in the Purchaser's Actions flow from the relief granted in the Foreclosure Proceeding. Dancorp takes issue with the appropriateness of resolution pursuant to Rule 18A of the issues in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Because of the conclusion I have reached with respect to the nature of the duty of a mortgagee when exercising the powers that Metropolitan exercised in this instance, I am satisfied that the issues in the Foreclosure Proceeding are capable of resolution under Rule 18A. The evidence placed before the Court in the Foreclosure Proceeding can lead to no other conclusion than that Metropolitan acted in good faith in taking the actions that it did. At best, even if the Stregger Report were admissible and reliable, it would be capable of establishing only a suspicion about Metropolitan's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Principal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remaining claims by Dancorp against Metropolitan and Dunwoody in Dancorp's fifth amended statement of defence and counterclaim in the Principal Action, remitted to this court by the Court of Appeal,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Purchaser's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Metropolitan is to be added as defendant in action #C960706. The monies held in trust by the law firm of Stikeman, Elliott in the two purchaser's actions to the credit of the defendants in those actions are to be paid out to Metropolitan free and clear of any claims by Dancorp. Metropolitan is to account to Dancorp for those monies in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Metropolitan is to have conduct of sale of the manager's suite and the unallocated parking stalls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Dunwoody is released from any further obligation to account pursuant to the order of Madam Justice Allan made October 25,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Metropolitan is to have judgment against Dancorp and Mr. McDaniel for any deficiency under the mortgages subject to adjustments to reflect the sale of the remaining property interests, account balances, security deposits, balance of the proceeds of sale held by the law firm of Owen, Bird after payment of its fees, and proceeds from the Purchaser's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Metropolitan is entitled to a declaration that the two assignments of purchase agreements by Dancorp are securities charging Dancorp's interest in the presale agreements and the purchaser's deposits.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Metropolitan shall be at liberty to commence proceedings to tax Owen, Bird's accounts under the Legal Profession Act, </w:t>
      </w:r>
      <w:hyperlink r:id="rId59" w:history="1">
        <w:r>
          <w:rPr>
            <w:rFonts w:ascii="arial" w:eastAsia="arial" w:hAnsi="arial" w:cs="arial"/>
            <w:i/>
            <w:color w:val="0077CC"/>
            <w:sz w:val="20"/>
            <w:u w:val="single"/>
            <w:shd w:val="clear" w:color="auto" w:fill="FFFFFF"/>
            <w:lang w:val="en-US" w:eastAsia="en-US" w:bidi="ar-SA"/>
          </w:rPr>
          <w:t>R.S.B.C. 1996, c. 255</w:t>
        </w:r>
      </w:hyperlink>
      <w:r>
        <w:rPr>
          <w:rFonts w:ascii="arial" w:eastAsia="arial" w:hAnsi="arial" w:cs="arial"/>
          <w:color w:val="000000"/>
          <w:sz w:val="20"/>
          <w:lang w:val="en-US" w:eastAsia="en-US" w:bidi="ar-SA"/>
        </w:rPr>
        <w:t xml:space="preserve"> within 12 months after the date of these reasons for judgment. The balance of the relief claimed in Metropolitan's notice of motion with respect to the Owen,Bird accounts is allowed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amendments sought by Metropolitan to its notice of motion are allowed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Metropolitan is entitled to the additional relief claimed in the amendments to the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parties may apply with respect to costs. In the absence of an application, Metropolitan is entitled to its costs in the Principal Action and the Purchaser's Actions on scale 3, and in the Foreclosure Proceeding as costs between solicitor and own client in accordance with the terms of the mortgages. Dunwoody is entitled to its costs in the Principal Action on scale 3.</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165a</w:t>
      </w:r>
      <w:r>
        <w:rPr>
          <w:rFonts w:ascii="arial" w:eastAsia="arial" w:hAnsi="arial" w:cs="arial"/>
          <w:color w:val="000000"/>
          <w:sz w:val="20"/>
          <w:lang w:val="en-US" w:eastAsia="en-US" w:bidi="ar-SA"/>
        </w:rPr>
        <w:t xml:space="preserve">  The parties may apply with respect to the terms of the order necessary to give effect to this judgment and with respect to any accounting matters which cannot be resolved between counsel. </w:t>
      </w:r>
      <w:r>
        <w:rPr>
          <w:rFonts w:ascii="arial" w:eastAsia="arial" w:hAnsi="arial" w:cs="arial"/>
          <w:color w:val="000000"/>
          <w:sz w:val="18"/>
          <w:lang w:val="en-US" w:eastAsia="en-US" w:bidi="ar-SA"/>
        </w:rPr>
        <w:t>[The Court did not number this paragraph. Quicklaw has assigned the number 165a.]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Demarinis v. Skowronek, [2012] B.C.J. No. 1813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 and July 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M110392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1813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2012 BCSC 1281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38 M.V.R. (6th) 281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221 A.C.W.S. (3d) 762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2012 CarswellBC 2654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Anna Demarinis, Plaintiff, and Wieslaw Skowronek,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Stopping — Evidence and proof — Determination of liability for motor vehicle accident — Plaintiff was 100 per cent liable — Parties collided at four-way stop in residential area — Central issue was who arrived at stop line and stopped first — Determination that defendant saw truck stopped in front of plaintiff's vehicle and allowed it to proceed through intersection before him, while he was stopped, meant that he then became dominant driver and had right-of-way.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motor vehicle accident. The parties collided at a four-way stop in a residential area. Traffic at the intersection was controlled by stop signs and stop lines. The defendant believed that there was a truck stopped in front of the plaintiff's vehicle when the defendant came to a stop, whereas the plaintiff denied the existence of the truck. The central issue was who arrived at the stop line and stopped first.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3"/>
            <w:bookmarkEnd w:id="30"/>
            <w:r>
              <w:rPr>
                <w:rFonts w:ascii="arial" w:eastAsia="arial" w:hAnsi="arial" w:cs="arial"/>
                <w:color w:val="000000"/>
                <w:sz w:val="20"/>
                <w:lang w:val="en-US" w:eastAsia="en-US" w:bidi="ar-SA"/>
              </w:rPr>
              <w:t>HELD: The plaintiff was 100 per cent liable for the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suggested that the defendant's recollection was accurate. The determination that the defendant saw the truck and allowed it to proceed through the intersection before him, while he was stopped, meant that he then became the dominant driver and had the right-of-way. The plaintiff's car could not have posed an immediate hazard, as the engineering evidence clearly established that it was still stopped when the defendant began to move forward and enter the intersection. Although the defendant never looked in the direction of the plaintiff's car after the truck passed through the intersection, his failure to do so did not contribute to the accident. He was not required to continue to monitor the plaintiff's car as he entered the intersection. He could not have avoided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3"/>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9" w:history="1">
        <w:r>
          <w:rPr>
            <w:rFonts w:ascii="arial" w:eastAsia="arial" w:hAnsi="arial" w:cs="arial"/>
            <w:i/>
            <w:color w:val="0077CC"/>
            <w:sz w:val="20"/>
            <w:u w:val="single"/>
            <w:shd w:val="clear" w:color="auto" w:fill="FFFFFF"/>
            <w:lang w:val="en-US" w:eastAsia="en-US" w:bidi="ar-SA"/>
          </w:rPr>
          <w:t>RSBC 1996, CHAPTER 318, s. 119</w:t>
        </w:r>
      </w:hyperlink>
      <w:r>
        <w:rPr>
          <w:rFonts w:ascii="arial" w:eastAsia="arial" w:hAnsi="arial" w:cs="arial"/>
          <w:color w:val="000000"/>
          <w:sz w:val="20"/>
          <w:lang w:val="en-US" w:eastAsia="en-US" w:bidi="ar-SA"/>
        </w:rPr>
        <w:t>, s. 119, s. 173 C s. 175, s. 175(1), s. 175(1)(a), s.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Rule 9-7, Rule 9-7(2)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3"/>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M. 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Nick Hopewell.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3"/>
      <w:bookmarkEnd w:id="33"/>
      <w:r>
        <w:pict>
          <v:line id="_x0000_s1048"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P.G. VOITH J."/>
            <w:bookmarkEnd w:id="34"/>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arise out of an application brought by the plaintiff, Ms. Demarinis, under Rule 9-7(2). This action arises out of a motor vehicle accident involving the parties which occurred at a four-way stop on January 29, 2009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agreed to sever the issue of liability from quantum and to determine the issue of liability on a summary trial. The only issue which arises on this application pertains to the responsibility, if any, of each party for the Accident. Both parties agree that this matter can and should be decided under Rule 9-7 and, to their credit, have worked diligently and cooperatively to achieve that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Having said this, I retain a residual discretion to determine whether the matter can be justly determined in the manner proposed: </w:t>
      </w:r>
      <w:r>
        <w:rPr>
          <w:rFonts w:ascii="arial" w:eastAsia="arial" w:hAnsi="arial" w:cs="arial"/>
          <w:i/>
          <w:color w:val="000000"/>
          <w:sz w:val="20"/>
          <w:lang w:val="en-US" w:eastAsia="en-US" w:bidi="ar-SA"/>
        </w:rPr>
        <w:t>Noramco Capital Corp. v. Lee</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(1998), 110 B.C.A.C. 229</w:t>
        </w:r>
      </w:hyperlink>
      <w:r>
        <w:rPr>
          <w:rFonts w:ascii="arial" w:eastAsia="arial" w:hAnsi="arial" w:cs="arial"/>
          <w:color w:val="000000"/>
          <w:sz w:val="20"/>
          <w:lang w:val="en-US" w:eastAsia="en-US" w:bidi="ar-SA"/>
        </w:rPr>
        <w:t xml:space="preserve"> at para. 4. In this case, my review of the application record initially prevented me from addressing a central issue -- a matter which I will return to. Accordingly, I wrote to counsel and thereafter arranged to have them lead evidence in relation to that particular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evidence before me, together with the brief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I heard, takes various forms. The parties have:</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filed a Notice to Admit and a Reply to that Notice;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agreed that the evidence provided by each party at their respective Examinations for Discovery may be treated as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at trial; and</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filed two expert reports. The defendant, Mr. Skowronek, served a collision reconstruction report from Mr. Heinrich, an engineer, dated January 3, 2012. The plaintiff, in turn, filed a rebuttal report from Mr. Sdoutz, who is also an engineer, dated February 8, 2012. The parties did not challenge the expertise of either individual or the admissibility of their reports. By consent, neither expert was cross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from these sources can be concisely summarized into three categories.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Setting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the plaintiff was driving eastbound on Charles Street in her silver 1998 Honda CRV. The defendant was driving southbound on Slocan Street in a blue 1996 GMC Safari van. The Accident occurred in a residential neighborhood on asphalt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scene of the Accident, Slocan Street runs north-south with single undivided lanes of travel in each direction. Charles Street runs east-west with single undivided lanes of travel in each direction. Traffic at the intersection was controlled by stop signs and stop lines in all four directions. The width of Charles Street at the intersection was narrowed by curb extensions along its north and south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Because of these curb extensions and the wide boulevards between the sidewalks along Charles Street, the stop line and sign for southbound traffic on Slocan Street was 10.7 meters north of Charles Street's northern curbs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stop line and sign for eastbound traffic was 5.4 meters west of Slocan Street's western curbs (almost exactly half the distance to the intersection where the lateral curbs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What this means in simple terms is that a driver, in this case the defendant, who was proceeding southbound on Slocan Street and who stopped at the Charles Street intersection would have stopped a full 10.7 meters, or almost 35 feet, away from the intersection. Conversely, the plaintiff's stop line was only 5.4 meters from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Uncontradicted Engineering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two experts agree on the point at which the parties' vehicles collided and on where the vehicles came to rest. They agree on the acceleration rates of the two vehicles and that the impact speed range of the plaintiff's vehicle was 19 to 23 km/h and for the defendant's vehicle was 22 to 25 km/h. Thus, the vehicles were traveling at similar speeds when they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Importantly, the experts also agree that from its stop line the defendant's vehicle traveled for 4.3 to 4.8 seconds to reach the point of impact and that from its stop line the plaintiff's vehicle traveled for 2.7 to 3.3 seconds to reach the point of impact. Still further, the point of impact for the defendant's vehicle was 14.8 m south of the Slocan Street stop line and for the plaintiff's vehicle was 8.8 m east of the Clark Street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These two pieces of information establish that the defendant's vehicle had left its stop line 1-2 seconds before the plaintiff's vehicle began to move, and that it had traveled some 6 meters further from its stop line than had the plaintiff's vehicle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engineering evidence is premised on both parties having come to a full stop behind their stop lines. This premise is consistent with the evidence given by each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While agreeing on almost all matters of substance, the plaintiff's expert, Mr. Sdoutz, opines that Mr. Heinrich has incorrectly defined the "borders" of the intersection as commencing at the respective stop lines of each vehicle. Mr. Sdoutz, instead, employed the definition of "intersection" found in s. 119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"Act"), to ground his analysis. That definition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"intersection" means the area embraced within the prolongation or connection of the lateral curb lines, or if none, then the lateral boundary lines of the roadways of the 2 highways that join one another at or approximately at right angles, or the area within which vehicles travelling on different highways joining at any other angle may come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Sdoutz argues that ascertaining who entered the intersection first requires using an extension of the connecting lateral curb lines, which in this case means "the northern curbs of Charles Street on either side of the intersection, and the western curbs of Slocan Street on either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Using these terms of reference, Mr. Sdoutz then goes on to consider not which vehicle left its respective stop line first, but rather which vehicle entered the "intersection" first. Mr. Sdoutz concludes that both vehicles entered the "intersection" at almost exactly the same time (there is perhaps 0.6 to 0.7 seconds difference between the two vehicles) and had traveled almost the same distance (there is about 0.7 meters in difference between the two vehicles) within the intersection at the point of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Relevant Evidence of the Parties as to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parties agree or admit:</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Accident occurred between 6:30 p.m. and 7:30 p.m., the roads were wet, and it was dark out though the street lights were on;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basic geography of the area, including the direction in which each of Charles Street and Slocan Street run, and the fact that the intersection was governed by a four-way stop;</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each was familiar with the intersection. In particular, the plaintiff, though uncertain whether she could see the stop sign for southbound traffic, was aware of the presence of that stop sign. At the same time, the defendant knew that his stop sign and stop line were set back from the intersection;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witnesses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discovery evidence established that: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been traveling eastbound on Charles Street for about three blocks. She did not see any vehicles in front of her that were proceeding eastbound on Charles Street prior to the impact. In particular, she did not see a red truck. Prior to approaching the intersection at Slocan Street she did not see any other vehicles go through the intersection;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approached the intersection "slowly" and came to a complete stop at the stop sign and stop line. She then looked left and right and, seeing no vehicles, proceeded through the intersection by "slowly crossing" and applying gas;</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stopped at the stop sign there was nothing obscuring her vision to the right, left, or straight ahead; and</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she proceeded through the intersection she was looking straight ahead. She only became aware of the defendant "after he hit me". She did not see the defendant's vehicle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discovery evidence established that: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aware both that he had to be "extra cautious" as he came to a stop because the stop line was set back some distance from the intersection and that vehicles traveling east on Charles Street might have a difficult time seeing his vehicle because the stop line was set back from the intersection;</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nothing, from his stop line, which obstructed his view to the right of his vehicle or to the corner of the intersection from where the plaintiff was traveling;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only saw the plaintiff's vehicle a "split second" prior to the Accident. He accepted that he never saw the plaintiff until she was past her stop line and well into the intersection;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account of the circumstances prior to the collision was: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137 Q The night of the accident, then, can you recall proceeding slowly away from that stop sign?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The night of the accident, I stop. There was a red truck on intersection proceeding towards east on Charles. I let it go. And I proceed through intersection.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138 Q Did you check for any vehicles behind the red truck?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Is a truck. So I let go the truck. I look to the left, clear intersection, and I proceed.</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his description of the collision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163 Q Okay. Can you -- Can you describe for me in your own words how the accident took place, how the accident happened.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stop on intersection. I let a red truck go. I proceed to the intersec -- or I look left, straight.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let the red truck go. I look left. I check. And I proceed intersection, yeah. And when I was like right in the intersection, yeah, I see car going right into me, so I tried to swerve to the left. It was too late to stop, yeah. And that's what happen. And then I stop.</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accepted that he could not recall if he ever looked right, the direction from which the plaintiff's vehicle entered the intersection, before he left his stop line. This is an issue of some significance and I will return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Each party asserts, for different reasons, that the other is wholly at fault for the Accident. Alternatively, each argues that, at worst, they are only partly to blame for the Accident. The central issue before me is which party arrived at his or her respective stop line and came to a full stop first. This issue determines which of the two vehicles was dominant and which servient, and consequently which had the right of way. That determination, in turn, gives rise to several legal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argues that the liability of the parties should be determined by considering which party entered the "intersection" first rather than by considering which left its stop line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relies on the definition of "intersection" that I have referred to and further relies on ss. 173 and 175 of the Act,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 signs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173(1) Except as provided in section 175, if 2 vehicles approach or enter an intersection from different highways at approximately the same time and there are no yield sign the driver of a vehicle must yield the right of way to the vehicle that is on the right of the vehicle that he or she is driving.</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175, if 2 vehicles approach or enter an intersection from different highways at approximately the same time and there is a yield sign, the driver of a vehicle facing the sign must yield the right of way to all other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Entering through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175(1) If a vehicle that is about to enter a through highway has stopped in compliance with section 186,</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driver of the vehicle must yield the right of way to traffic that has </w:t>
      </w:r>
      <w:r>
        <w:rPr>
          <w:rFonts w:ascii="arial" w:eastAsia="arial" w:hAnsi="arial" w:cs="arial"/>
          <w:color w:val="000000"/>
          <w:sz w:val="20"/>
          <w:u w:val="single"/>
          <w:lang w:val="en-US" w:eastAsia="en-US" w:bidi="ar-SA"/>
        </w:rPr>
        <w:t>entered the intersection</w:t>
      </w:r>
      <w:r>
        <w:rPr>
          <w:rFonts w:ascii="arial" w:eastAsia="arial" w:hAnsi="arial" w:cs="arial"/>
          <w:color w:val="000000"/>
          <w:sz w:val="20"/>
          <w:lang w:val="en-US" w:eastAsia="en-US" w:bidi="ar-SA"/>
        </w:rPr>
        <w:t xml:space="preserve"> on the through highway or is approaching so closely on it that it constitutes an immediate hazard, and</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186 of the Act is also relevant, and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Stopping at intersections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Except when a peace officer directs otherwise, if there is a stop sign at an intersection, a driver of a vehicle must stop</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at s. 119 of the Act, a "through highway" is defined as "a highway or part of a highway at the entrances to which stop signs are erected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argues that since both parties entered the "intersection" almost simultaneously, because the plaintiff was to the right of the defendant, she had the right-of-way. Accordingly, the defendant had a corresponding obligation to yield the right-of-way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Surprisingly, neither party was able to identify any case law which arose from circumstances similar to those in this case. The plaintiff argues, however, that the excerpts from the ICBC publication "Road Sense for Drivers, British Columbia Driving Guide", which includes the following guidance for "four-way stops", is of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four-way stops</w:t>
      </w:r>
      <w:r>
        <w:rPr>
          <w:rFonts w:ascii="arial" w:eastAsia="arial" w:hAnsi="arial" w:cs="arial"/>
          <w:color w:val="000000"/>
          <w:sz w:val="20"/>
          <w:lang w:val="en-US" w:eastAsia="en-US" w:bidi="ar-SA"/>
        </w:rPr>
        <w:t xml:space="preserve"> -- when there are stop signs at all corners: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vehicle to arrive at the intersection and come to a complete stop should go first.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two vehicles arrive at the same time, the one on the right should go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doing so, the plaintiff accepts that the Road Sense Guide does not contain "rules of law", but submits that the Guide, in combination with other considerations, can inform the standard of care which is relevant in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do not consider that the Guide advances the proposition that the plaintiff advocates. The foregoing language from the Guide, and in particular the words, "the first vehicle to arrive at the intersection and come to a complete stop should go first", presupposes that the four stop signs at an intersection will be placed at the same distance from the intersection at issue. The excerpt from the Guide also treats the words "intersection" and "stop sign" synonymously. Were it otherwise, there would be no need for a vehicle to stop at the intersection. Instead, more properly or more precisely, the vehicle would be required to stop at the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Similarly, I do not accept the premise which underlies the plaintiffs interpretation of ss. 173 and 175 of the Act. That interpretation suggests that the operative or governing consideration in weighing which of two parties has the right-of-way is which party arrives at the "intersection" in question first, rather than which party or vehicle had arrived at the stop line in advance of the "intersection", fully stopped, and then proceeded to move forward first. In most instances, these two considerations or factors will overlap, as the vast majority of stop signs at a four-way stop are be placed equidistantly from the intersection, or so near so that the difference does not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case, it is the unusual or aberrant nature of the placement of the stop sign on the north side of Slocan Street that gives rise to the peculiar circumstances that are present. The unusual degree to which that stop sign was set back from the intersection allowed the defendant to leave his stop line well before the plaintiff left hers, but for the two vehicles to arrive at the "intersection" almost simultaneously.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pre-eminence which the plaintiff ascribes to the question of which vehicle arrives at an "intersection" first, would enable a party who had failed to properly stop at a stop sign and who by virtue of that failure arrived in an "intersection" in advance of another party to argue that they had the right-of-way. The plaintiff's analysis ignores the question of whether the plaintiff arrived at her stop sign first, whether she stopped fully, and whether she left that stop sign before the defendant left his stop sign. It, incorrectly, shifts the critical point in time away from what occurred at each parties' stop sign or stop line to the point in time a few seconds later when each party entered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simple thesis advanced by the defendant is that he was the dominant driver and had the right of way. If the facts in support of this thesis are made out, various legal consequences flow. The defendant's position is premised on two key claims:</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had stopped at his stop sign to allow a red truck, which was going east on Charles Street, to go through the intersection. This red truck, of necessity, would have been in front of and would have preceded the plaintiff's vehicle through the intersection;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left his stop line, as I have said, one to two seconds before the plaintiff's vehicle began to move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Various factual difficulties arose from the first of these assertions. The plaintiff unequivocally denies that there was a red truck in front of her, or anywhere else for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initially believed that this factual conflict might be less significant than it appeared. This belief stemmed from a lack of clarity in the defendant's discovery evidence about the positioning of the red truck that he said he saw. A careful review of the defendant's responses to questions 137, 138, and 163 of his discovery and referred to earlier at paras. 20(d) and 20(e) of these Reasons, leaves some uncertainty about whether the red truck he says he saw was already in the intersection as he approached Charles Street or, alternatively, whether it was still stopped behind its own stop line as the defendant pulled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the former were true, it would leave open the possibility that the plaintiff's car was already stopped behind its stop line before the defendant stopped and would also leave open the possibility that the defendant, after he had stopped, started through the intersection improperly and without allowing the plaintiff to proceed first. It would accordingly make the presence or absence of the red truck and the conflict in the evidence of the parties less relevant or, at minimum, lead to a different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the latter interpretation of the defendant's evidence is correct then, indeed, it would have been he who had the right-of-way to proceed through the intersection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order to address this ambiguity, I asked that each of the parties provide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and describe what transpired from the point they approached their respective stop signs to the point when the collision occurred. The defendant testified that the red truck was still behind its stop line after he had pulled to a stop. The plaintiff, conversely, again unequivocally denied the presence or existence of a red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said that both parties agreed that this action should be resolved by way of summary trial. Neither party asserted that the other was not honest. Instead the matter really turns on the accuracy of the parties' respective recollections. I am satisfied, on the balance of probabilities, that the defendant's recollection is accurate,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First, the plaintiff, in addition to asserting that there was no red truck in front of her, said that after she stopped she looked both left and right before moving forward again. She said this on discovery. She repeated this before me. She simply has to be mistaken in this recollection. The engineering evidence establishes that the defendant left his stop line first. Other evidence establishes that the plaintiff's view of the direction from which the defendant moved forward was not obstructed. Had the plaintiff in fact looked to her left, she would have seen the defendant. The frailty and unreliability of her evidence on this issue cast some doubt on her memory as it relates to the red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Second, the defendant's evidence went beyond simply seeing the red truck first stop and then move forward through the intersection. He testified that after the collision, and after he had gotten out of his vehicle, he observed that the red truck had stopped. He further testified that he waved to the driver of the red truck to come back. He said that he then went to the plaintiff to see if she required assistance and that, in the interim, the red truck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This evidence is both more detailed and of a different ilk than the plaintiff's evidence. It involves not only an observation, but also some positive conduct on the part of the defendant which supports his recollection. In </w:t>
      </w:r>
      <w:r>
        <w:rPr>
          <w:rFonts w:ascii="arial" w:eastAsia="arial" w:hAnsi="arial" w:cs="arial"/>
          <w:i/>
          <w:color w:val="000000"/>
          <w:sz w:val="20"/>
          <w:lang w:val="en-US" w:eastAsia="en-US" w:bidi="ar-SA"/>
        </w:rPr>
        <w:t>Wiltshire v. Anger</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[1992] B.C.J. No. 1834</w:t>
        </w:r>
      </w:hyperlink>
      <w:r>
        <w:rPr>
          <w:rFonts w:ascii="arial" w:eastAsia="arial" w:hAnsi="arial" w:cs="arial"/>
          <w:color w:val="000000"/>
          <w:sz w:val="20"/>
          <w:lang w:val="en-US" w:eastAsia="en-US" w:bidi="ar-SA"/>
        </w:rPr>
        <w:t>, also a four-way stop case, Mr. Justice Oliver referred to the post-impact conduct of the plaintiff in concluding that the defendant was solely responsible for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weighing the evidence of the Plaintiff, I am impressed by the fact that it was the Plaintiff who insisted (after hearing a suggestion at the scene that he had himself proceeded across the intersection without stopping), that the vehicles not be moved from their post-collision locations, and that the police should be called to attend at the scene. It was also the Plaintiff who insisted that the ICBC adjuster should attend at the scene to examine the physical evidence. I believe the Plaintiffs conduct in that regard to be more consistent with that of an innocent traffic accident victim then with that of one who has caused or materially contributed to the collision in the manner suggested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Third, and somewhat less importantly, the plaintiff did not really address this issue or the accuracy of her recollection and her case was argued, to some extent, as though her recollection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determination that the defendant saw the red truck stop and allowed it to proceed through the intersection before him, while he was stopped, of necessity means that he then became the dominant driver. The plaintiff, as the servient driver, was required to yield the right-of-way. This flows from and is consistent with the language of s. 175(1)(a)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Counsel for the defendant addressed, at some length, the concept of "immediate hazard", which is found in the language of s. 175(1)(a) of the Act. In </w:t>
      </w:r>
      <w:r>
        <w:rPr>
          <w:rFonts w:ascii="arial" w:eastAsia="arial" w:hAnsi="arial" w:cs="arial"/>
          <w:i/>
          <w:color w:val="000000"/>
          <w:sz w:val="20"/>
          <w:lang w:val="en-US" w:eastAsia="en-US" w:bidi="ar-SA"/>
        </w:rPr>
        <w:t>Rothenbusch v. Van Boeyen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2010 BCSC 1518</w:t>
        </w:r>
      </w:hyperlink>
      <w:r>
        <w:rPr>
          <w:rFonts w:ascii="arial" w:eastAsia="arial" w:hAnsi="arial" w:cs="arial"/>
          <w:color w:val="000000"/>
          <w:sz w:val="20"/>
          <w:lang w:val="en-US" w:eastAsia="en-US" w:bidi="ar-SA"/>
        </w:rPr>
        <w:t xml:space="preserve"> at paras. 136-152, Madam Justice Ker, thoroughly and with reference to numerous authorities, dealt both with what constitutes an "immediate hazard" and with when that determination is to be made. The following passages are particularly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[139] At 413-14, Tysoe J.A. clarified that the point in time, or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to assess whether the through driver poses an immediate hazard, is the moment before the left-turning driver commences to make the turn. By analogy, the same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applies to the circumstances covered by s. 175; that is, the moment immediately before the driver intending to enter a through highway proceeds to do so: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Hynna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The question of immediate hazard and right of way, however, is to be assessed temporally in the moment before the driver proposing to make the left hand turn at issue commences to make it: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pp. 413-414. If an approaching car does not present an immediate hazard when the manoeuvre is commenced but later creates one by unreasonable conduct such as speeding, the approaching driver will be held responsible for the ensuing collision: </w:t>
      </w:r>
      <w:r>
        <w:rPr>
          <w:rFonts w:ascii="arial" w:eastAsia="arial" w:hAnsi="arial" w:cs="arial"/>
          <w:i/>
          <w:color w:val="000000"/>
          <w:sz w:val="20"/>
          <w:lang w:val="en-US" w:eastAsia="en-US" w:bidi="ar-SA"/>
        </w:rPr>
        <w:t>Devidi v. Lam</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[1998] B.C.J. No. 912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 similar and equally thorough discussion is found in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in particular, at para. 60. Recently,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Mr. Justice Groberman, for the court, said: "[t]he words 'immediate hazard' appear in both ss. 174-175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are used to determine when the vehicle may lawfully enter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Based on the foregoing analysis, the defendant was free to enter the intersection after he let the red truck pass. He had the right-of-way. The plaintiff's vehicle did not and could not have posed an immediate hazard. The engineering evidence clearly establishes that the plaintiff's car was still stopped when the defendant began to move forward and enter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 also says that his having the lawful right to enter the intersection under s. 175(1) of the Act ends the analysis. This claim is premised on the well-settled proposition that drivers are entitled to assume that other drivers will obey and observe the law unless there is reason to believe otherwise: </w:t>
      </w:r>
      <w:r>
        <w:rPr>
          <w:rFonts w:ascii="arial" w:eastAsia="arial" w:hAnsi="arial" w:cs="arial"/>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(1994), 45 B.C.A.C. 62</w:t>
        </w:r>
      </w:hyperlink>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4 M.V.R. (3d) 278</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(1996), 71 B.C.A.C. 97</w:t>
        </w:r>
      </w:hyperlink>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 B.C.L.R. (3d) 273</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Notwithstanding the accuracy of this proposition in the abstract, a more searching analysis is required. This is so for two reasons. First, a driver must comply with not only those statutory provisions which guide the assessment of fault in a particular case, but also with their common law duty of care.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Groberman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at 326, </w:t>
      </w:r>
      <w:hyperlink r:id="rId100" w:history="1">
        <w:r>
          <w:rPr>
            <w:rFonts w:ascii="arial" w:eastAsia="arial" w:hAnsi="arial" w:cs="arial"/>
            <w:i/>
            <w:color w:val="0077CC"/>
            <w:sz w:val="20"/>
            <w:u w:val="single"/>
            <w:shd w:val="clear" w:color="auto" w:fill="FFFFFF"/>
            <w:lang w:val="en-US" w:eastAsia="en-US" w:bidi="ar-SA"/>
          </w:rPr>
          <w:t>9 B.C.A.C. 112</w:t>
        </w:r>
      </w:hyperlink>
      <w:r>
        <w:rPr>
          <w:rFonts w:ascii="arial" w:eastAsia="arial" w:hAnsi="arial" w:cs="arial"/>
          <w:color w:val="000000"/>
          <w:sz w:val="20"/>
          <w:lang w:val="en-US" w:eastAsia="en-US" w:bidi="ar-SA"/>
        </w:rPr>
        <w:t xml:space="preserve">, this Court considered liability for an accident that occurred when a vehicle turning left on a four-lane road was in collision with a vehicle proceeding in the opposite direction, in the outside lane. While the Court was considering what is now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rather than s. 175, it is my view that the opinion expressed by Lambert J.A. has some relevance to this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care is more a matter of the ordinary duty of a reasonably careful driver and not a duty, in my view, imposed specifically by s. 176 [now s. 174]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To the extent that there is a need to refer to a section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for this proposition, one can turn to s. 144, which requires drivers to drive with "due care and attention" and to have "reasonable consideration for other persons using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case the evidence suggests, and I find, that after the red truck passed through the intersection the defendant never looked to his right or in the direction of the plaintiff's car. In his responses to questions 138 and 163 of his discovery, the defendant clearly indicates that he only looked to his left and forward. Elsewhere in the transcript, and in his evidence before me, he either said that he could not recall looking to his right or that it was his "habit" to do so. I consider that the earlier and more precise answers in his transcript are correct. I am reinforced in this conclusion by the fact that he never saw or observed the plaintiff's vehicle until just before it struck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accept, as the plaintiff argues, that the defendant ought to have looked in both directions before he left his stop line even if he was the dominant driver and even if he had the right-of-way. I consider that this would reflect the standard expected of a reasonably careful driver. I do not accept that the general entitlement to assume that other drivers will obey the rules of the road extends so far as to have obviated the need for the defendant to simply look to his right before he entered the intersection. I am fortified in this conclusion by the particular circumstances that were present. The defendant admitted that the unusual configuration of the intersection meant that he had to be "extra cautious". It was dark. The road was wet. All of this would speak to the need for a reasonable, and likely enhanced, level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Thus, I would be prepared to accept and find that the defendant fell short of the standard of care required of him. But to what end? If the defendant had looked to his right, as he ought to have, he would have observed the plaintiff's car stopped behind its stop line. His lack of care, prior to his leaving his stop line and entering the intersection, did not in any way contribute to the Accident. For the defendant to incur some liability there would have to have been an ongoing obligation on him to continue to observe or monitor the plaintiff's vehicle as he entered the intersection so as to ensure that the plaintiff did not enter the intersection before she was permitted to. I consider that this goes too far. It effectively removes any content from the right of a driver to presume that others will obey the law. It is also inconsistent with the level of care expected of a driver.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Groberman J.A. observed,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driver like the defendant, who is in a dominant position, will not typically be found to be liable for an accident. Drivers are generally entitled to assume that others will obey the rules of the road. Further, though defensive driving and courteous operation of motor vehicles are to be encouraged, they do not necessarily represent the standard of care for the purposes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driver will not be held to have breached the standard of care simply because he or she failed to take extraordinary steps to avoid an accident or to show exceptional proficiency in the operation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This leads to a second and related issue that arises from the well-known and often referred to case of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where Mr. Justice Cartwright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was no evidence before me which established that the defendant had sufficient opportunity to avoid the Accident had he exercised reasonable care. I have said there was no obligation on him to continue to observe or monitor the plaintiff's vehicle as he moved forward from his stop line. He first observed or noticed the plaintiff's vehicle when it was too late for him to take any evasive step. It is worth observing that the plaintiff never observed the defendant's vehicle until the two cars had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Based on the foregoing considerations and circumstances, I have concluded that the plaintiff is 100%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Unless the parties wish to make further submissions on costs I would award the defendant the costs of this application and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Durand v. Bolt, [2007] B.C.J. No. 701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11 - 15, 2006 (Prince George)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11 - 12, 2006 (Vancouver).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November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0422432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B.C.L.R. (4th) 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355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692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Margo Elaine Durand, Plaintiff, and Jody Lyn Bolt and Raymond Joseph Schwing,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4"/>
      <w:bookmarkEnd w:id="35"/>
      <w:r>
        <w:rPr>
          <w:rFonts w:ascii="arial" w:eastAsia="arial" w:hAnsi="arial" w:cs="arial"/>
          <w:b/>
          <w:color w:val="000000"/>
          <w:sz w:val="20"/>
          <w:lang w:val="en-US" w:eastAsia="en-US" w:bidi="ar-SA"/>
        </w:rPr>
        <w:t>Tort law — Causation — Causal connection — Action commenced by Durand for damages for injuries suffered as a result of a motor vehicle accident — Liability was admitted — Third party Insurance Corporation of British Columbia denied that the accident was the cause of the plaintiff's most serious present health difficulties (thoracic outlet syndrome) and opposed the amount of compensation sought — Plaintiff was entitled to damages in the total sum of $163,000 — Evidence of past problems with shoulder and neck soreness did not remotely approach the debilitating level of pain and suffering which she presently endured as a consequence of the TOS which was caused by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4"/>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commenced by Durand for damages for injuries suffered as a result of a motor vehicle accident -- Plaintiff was injured when the defendants' vehicle went through a stop sign and "T-boned" the plaintiff's vehicle in an intersection -- While liability for the accident was admitted, the third party Insurance Corporation of British Columbia denied that the accident was the cause of the plaintiff's most serious present health difficulties and opposed the amount of compensation sought -- Important to the matters in issue was the uncontested fact that when the plaintiff's vehicle was hit her seatbelt tightened and the driver's side airbag deployed causing her left arm to go backward behind her shoulder and hit the door post -- Plaintiff testified that her arm was "sort of locked behind me" -- She also testified that she felt instant unbearable pain in her shoulder and arm that was intense and "got worse and worse" -- Plaintiff submitted that the accident was the cause of thoracic outlet syndrome ("TOS") from which her medical experts said she suffered -- Third party submitted that the plaintiff suffered from work-related ulnar entrapment syndrome rather than TOS and that the shoulder related difficulties were not caused by the accident -- Alternatively, the third party submitted that if the plaintiff did suffer from TOS, it originated spontaneously before the accident, was no active at the time of the accident and spontaneously returned after the plaintiff had fully recovered from the whiplash injuries she suffered in the accident -- HELD: Plaintiff was entitled to damages in the total sum of $163,000 -- While there was evidence that plaintiff suffered to some extent from neck and shoulder soreness before the accident that related to the type of work she did and the stresses in her life, it did not remotely approach the debilitating level of pain and suffering which she presently endured as a consequence of the TOS which was caused by the accident and the past, present and future effect that TOS had and would continue to have upon her lifestyle and ability to work -- Plaintiff was awarded $75,000 for pain, suffering and loss of enjoyment of life -- Damages for past income loss assessed at $7,000 -- Future loss of earning capacity was assessed in the amount of $80,000 -- Plaintiff was awarded $1,000 for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 w:name="Counsel_4"/>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Byl.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R.M. 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2" style="position:absolute;z-index:2517657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B.M. DAVIES J."/>
            <w:bookmarkEnd w:id="39"/>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judgment concerns an assessment of the damages suffered by the plaintiff, Margo Durand, as a consequence of a motor vehicle accident (the "accident") in Prince George, British Columbia on August 29,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injured in the accident when the defendants' vehicle went through a stop sign and "T-boned" the plaintiff's vehicle in an intersection. Although liability for the accident and the plaintiff's injuries has been admitted, the third party has denied that the accident was the cause of the plaintiff's most serious present health difficulties and opposes the amount of compensation she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Important to the matters now in issue is the uncontested fact that when the plaintiff's vehicle was hit her seat belt tightened and the driver's side airbag deployed causing her left arm to go backward behind her shoulder and hit the door post. Ms. Durand, testified that: "I brought ... tried to turn around and bring my arm down. It was sort of locked behind me". She also testified that she felt instant unbearable pain in her shoulder and arm that was intense and "got worse and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submits that the motor vehicle accident was the cause of thoracic outlet syndrome ("TOS") from which her medical experts say she now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party submits that Ms. Durand now suffers from work related ulnar entrapment syndrome ("UES") rather than TOS and that the shoulder related difficulties now experienced by her were not caused by the accident. In the alternative, the third party submits that if the plaintiff does suffer from TOS, it originated spontaneously before the accident, was not active at the time of the accident and spontaneously returned after Ms. Durand had fully recovered from the whiplash injuries that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central medical and legal issues in this case are therefore: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suffer from TOS?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accident the cause of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determination of those issues will obviously impact greatly upon the damage award to which the plaintiff is entitled for non-pecuniary loss, past and future wage loss and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AND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Durand was 45 years old at the time of the accident and is now 50. She was married at the time of the accident but separated from her husband in September of 2005. Her marriage to Mr. Durand was Ms. Durand's second long term relationship. Before their separation, she and Mr. Durand raised five children in a "blended family" into which she had brought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Durand worked as a bartender and taxi driver after leaving school but did not work outside the home after her children were born. She also did not work outside the home after her marriage to Mr. Durand until 1999. In 1999, however, she began to work as a janitor in Quesnel where the family resided. She took that job due to problems in her ongoing relationship with Mr. Durand in order to be able to financially leave the relationship if it did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janitorial work that Ms. Durand undertook in 1999 was for Ms. Connie Trudeau who has a contract for the cleaning of some of the Canfor Limited office and mill facilities in Quesnel. Ms. Trudeau has been Ms. Durand's only employer since 1999. Ms. Durand is not only Ms. Trudeau's key employee but also a good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Durand's medical history prior to the accident is irrelevant to the issues in this case with the exception of visits to Dr. Zradicka, a chiropractor, who saw Ms. Durand three times in late January and early February, 1998. He also saw her twice in March 2001 and once in 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Those attendances are material because Dr. Zradicka's clinical records indicate that in 1998 Ms. Durand complained of soreness in the area of the mid thoracic spine, her neck and shoulders. After the three treatments in 1998 she did not return until three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she did return to see Dr. Zradicka in March of 2001, she complained of her hands "going to sleep at night" and after one treatment reported "still tingling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did not, however, return for further treatment until September of 2001 when she complained of a sore back at the T11 to L2 level, sore shoulders and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Durand did not report any of her attendances upon Dr. Zradicka to her family physician, Dr. Sears, and also did not make any complaints about "tingling" sensations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Durand's complaints, medical treatment and progress following the accident can be gleaned from the clinical records of those medical personnel who saw her, her work records and her own testimony. In summarizing her medical history after the accident, I will focus on those complaints that are relevant to the continuing issues in this litigation and most particularly upon evidence concerning her neck, left arm and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establishes that:</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on August 29, 2002, Ms. Durand was driven from Prince George to her home in Quesnel. That evening she went to the hospital in Quesnel complaining of pain in her left arm, left shoulder and neck.</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4, 2002, Ms. Durand saw her family physician, Dr. Sear, for the first time after the accident. Dr. Sear's notes reflect complaints of pain in her left arm and shoulder and that lateral flexion in her neck was approximately one-half of normal.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18, 2002, Ms. Durand again visited Dr. Sear complaining of pain in her left arm "when she uses it" as well as in her mid-upper back. Clinically Dr, Sear observed that lateral flexion in her neck was still approximately one-half of normal.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19, 2002, Ms. Durand attended upon her chiropractor, Dr. Zradicka, complaining of problems with, among other things, her neck and left shoulder, as well as headaches.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21, 2002, Ms. Durand returned to work but testified that her back was very painful. She then attended for three further chiropractic treatments by Dr. Zradicka over a one week period, complaining mostly of shoulder and back pain. Her last attendance upon Dr. Zradicka was on September 27, 2002. His clinical notes for that date record that he manipulated her back and shoulders.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Durand testified that after returning to work her back was the primary focus of her pain but also testified that "My shoulder always bothered me, but it didn't hurt a lot, unless I used it".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22, 2002, Ms. Durand again visited Dr. Sears complaining of lower back pain and was referred to physiotherapy.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Durand testified that in October and November of 2002 her shoulder would ache and her arm would feel heavy and her fingers started tingling.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completing physiotherapy for her back, in December 2002, Ms. Durand went on a holiday in Mexico where she went "boogey-boarding", rode a horse and went shopping and generally enjoyed herself. She returned to Quesnel just before Christmas that year and then went back to work again in January of 2003. She testified that when she came back to Canada her back pain was gone and she thought that everything was fine. She also testified, however, that after returning to work she would continue to have pain in her shoulder after a days' work but on her off days she would be fine if she did not do anything strenuous.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22, 2003, Dr. Sears signed an ICBC form CL19 that reported: Ms. Durand's last visit had been October 22, 2002 when she had "postural back ache"; she was "now asymptiomatic- moves well and is pain free-had 12 plus physio visits"; she was "back to work September 22, 2002"; and had "no present problems performing actions of work (janitorial) and daily living."</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Durand testified that between January and June 2003, she experienced gradually worsening symptoms in her left shoulder and arm that were aggravated by such actions as reaching overhead, wiping, sweeping and mopping. She testified that she did not return to Dr. Sears because she "kept thinking it was going to go away".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 2003, Ms. Durand again went to see Dr. Sears. His notes of that date state that she complained that she had had pain in her left arm since the accident that was aggravated by work that goes away when she has a day off. Dr. Sears prescribed massage therapy.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notes of Ms. Erika Lynds, the massage therapist who then began working with Ms. Durand, show that Ms. Durand attended 27 massage therapy sessions between June 10, 2003 and January 29, 2004. Almost all of those notes related to Ms. Lynds' efforts to relieve pain in Ms. Durand's left arm and shoulder. Ms. Lynds' notes also indicate that on the first visit she was concerned about possible "scalene anticus syndrome" and on September 8, 2003, and January 29, 2004 she noted the possibility of "brachial plexus syndrome", both of which syndromes are associated with TOS. On January 29, 2004, Ms. Lynds suggested discontinuation of massage treatment until a more in depth assessment of Ms. Durand's cervical spine could be performed.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4, 2004, Ms. Durand first saw legal counsel about her health concerns related to the aftermath of the accident.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then she has been seen not only by Dr. Sears who continues to treat her as her family doctor, but also by: Dr. Rhonda Shuckett, a specialist in Rheumatology (seen April 23, 2004) Dr. Anthony Salvian, a specialist in Vascular Surgery, (seen July 7, 2004); and Dr. Andrew Travlos, a specialist in Physical Medicine and Rehabilitation Medicine (seen May 21, 2005), all of whom have diagnosed Ms. Durand as suffering from TOS. She has also had: an MRI (April 23, 2004); a CT Scan (September 9, 2004); physiotherapy treatments; and, a botox injection by Dr. Daly (April 18, 2006) that did not relieve her shoulder pain as hoped and that was itself extremely painful.</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Ms. Durand was also seen by Dr. Ian Munro, a specialist in Thoracic and Cardiac Surgery (seen April 5, 2006) for an independent medical examination at the instance of the third party. Dr. Munro has opined that Ms. Durand suffers from work related UES, not TOS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Durand's symptoms continue. She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like you to take a few moments here to describe to the court your present condition. And by present, maybe not at this exact second, but in or about the last month or two, how have things been for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uncomfortable all the time. I have nagging headaches, this pinching that I feel my neck is stiff, like it's just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feel like there's a clamp on there, and my shoulder always aching.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it something that is affected by the types of activities that you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are the types -- types of activities that seem to you to be the worst for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Working. What I do at work.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Only because that's when I'm using my arm the most.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Can you describe for the court what a good day would be and a bad day would be? Let's start with a good day here in the past few months, what's a good 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really have a good day. I'll -- I'm always uncomfortable. I just now live with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 it's, you know, bearable is a good 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bad day would be the days when I have to break down and take a painkiller, because I'm in an awful lot of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is that pain always in the same area of your body?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Do you still get, as of today, as of now, this - this tingling sensation that you've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already described?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she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I recall your answer, you said, "It's hard to imagine working at this or at any job for any length of time." Do you remember saying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is it not true that you've worked pretty well non-stop, after a brief period off work, since the accident, for close to four years?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because I -- I have to. I don't have a choice.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is it that hard to imagine to carry on working, for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is. It's definitely, because my injury is getting worse. The pain I'm feeling is a lot worse now than it was a year ago, and it's definitely a lot worse than it was two years ago, or right -- or four years ago after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the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getting worse. It's not getting better.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ma'am, if the pain is continuing to worsen, how can you increase your hours over the same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period of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have a choice. I have to -- I have a son to support, and I don't want to live -- stay in a unhappy marriage just because I can't afford to live on my 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 has there been a significant change in the last year? And if so, how?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Change in what?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 would you like a moment?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I'm fine.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Has there been a significant change in your -- in your symptoms, your pain, the discomfort you're feeling, in -- within the last year?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after I work all these hours, I go home and I put heat on, I take painkillers, and I suffer. I'm not going out and swimming or playing ball or doing -- or golfing or anything else that would be fun. I don't do that. I go home and I suffer because I've worked these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Durand was not further cross-examined as to the extent of her injuries or her present condition. Instead, cross-examination focused on: the reports of Dr. Zradica concerning her treatments in 1998 and 2001; her enjoyment of her trip to Mexico three months after the accident and her ability to undertake and enjoy various physical activities there; her return to work within three and one-half weeks of the accident; her having undertaken more work since the accident than before; and, the statements attributed to her by Dr. Munro that the "pinching" or "clamping" that she feels in her neck started "several months" after the accident and that the pain in her left shoulder started "at least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I have stated, the central medical and legal issues in this case are:</w:t>
      </w:r>
      <w:r>
        <w:rPr>
          <w:rFonts w:ascii="arial" w:eastAsia="arial" w:hAnsi="arial" w:cs="arial"/>
          <w:sz w:val="20"/>
          <w:lang w:val="en-US" w:eastAsia="en-US" w:bidi="ar-SA"/>
        </w:rPr>
        <w:cr/>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suffer from TOS? and</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accident the cause of TOS?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ISSUE 1: Does the plaintiff suffer from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Drs. Shuckett, Salvian and Travlos have all diagnosed Ms. Durand as suffering from TOS while, as noted, it is Dr. Munro's opinion that she suffers from work related 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testimony, Dr. Shuckett described TOS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Thoracic outlet syndrome, the thoracic outlet is basically in the trapezius, on the top of the shoulder between the neck and the shoulder, and in that area there is an outflow of the subclavian artery, which is the main artery to the arm and hand, as well as the brachial plexus, which is a network of nerves, and there is an upper and a lower trunk of the brachial plexus. And thoracic outlet syndrome either due to muscle spasm, which is the commonest cause, or due to fibromuscular bands, which are like elastic bands that form in the scalene anticus muscle, you actually get impingement and compression of the brachial plexus or the nerves to the arm, and less often to the artery to the 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most common presentation is proximal or shoulder girdle area pain, arm pain, and numbness. Most classically, the numbness is in the lower plexus, in the ulnar nerve distribution, affecting the ring and pinkie fingers of the hand, sometimes the middle finger, sometimes all fingers, and sometimes you'll get atypical involvement of the upper plexus. But the patient basically complains of upper extremity or arm and hand pain, fatigability, and tingling or numbness in, classically but not always, the ulnar nerve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evidence was not cross-examined upon and is, in my view, consistent with the evidence of Dr. Travlos and Dr Salvian but not with that of Dr.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Munro stated in his report and maintained in his testimony that Ms. Durand suffered only from UES. In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fourth test, the hold up test, gave tingling in the tips of the little, ring and middle fingers. The involvement of the middle finger is not seen in TOS but may occur in 10 - 20% of people who have ulnar entrapment syndrome and it should be noted that the elevated bent elbow position and hold up test is not specific for TOS but may reproduce the symptoms in cases of ulnar entrapment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reply, Dr. Salvian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statement by Dr. Munro is incorrect.</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experience with hundreds of patients with thoracic outlet syndrome that many complain of symptoms into the third as well as the fourth and fifth fingers. The lower aspect of the brachial plexus (C8-T1), in my experience, is most frequently experienced in thoracic outlet syndrome but the C7 nerve root is in such close approximation in the brachial plexus that it is not uncommon for the patient to complain of compression partially of this nerve as well into the third finger.</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ulnar nerve </w:t>
      </w:r>
      <w:r>
        <w:rPr>
          <w:rFonts w:ascii="arial" w:eastAsia="arial" w:hAnsi="arial" w:cs="arial"/>
          <w:color w:val="000000"/>
          <w:sz w:val="20"/>
          <w:u w:val="single"/>
          <w:lang w:val="en-US" w:eastAsia="en-US" w:bidi="ar-SA"/>
        </w:rPr>
        <w:t>never</w:t>
      </w:r>
      <w:r>
        <w:rPr>
          <w:rFonts w:ascii="arial" w:eastAsia="arial" w:hAnsi="arial" w:cs="arial"/>
          <w:color w:val="000000"/>
          <w:sz w:val="20"/>
          <w:lang w:val="en-US" w:eastAsia="en-US" w:bidi="ar-SA"/>
        </w:rPr>
        <w:t xml:space="preserve"> involves the tip of the third finger. I have included plate 84 and plate 85 "</w:t>
      </w:r>
      <w:r>
        <w:rPr>
          <w:rFonts w:ascii="arial" w:eastAsia="arial" w:hAnsi="arial" w:cs="arial"/>
          <w:i/>
          <w:color w:val="000000"/>
          <w:sz w:val="20"/>
          <w:lang w:val="en-US" w:eastAsia="en-US" w:bidi="ar-SA"/>
        </w:rPr>
        <w:t>Distribution of Cutaneous Nerves to the Palm and Dorsum of the Hand</w:t>
      </w:r>
      <w:r>
        <w:rPr>
          <w:rFonts w:ascii="arial" w:eastAsia="arial" w:hAnsi="arial" w:cs="arial"/>
          <w:color w:val="000000"/>
          <w:sz w:val="20"/>
          <w:lang w:val="en-US" w:eastAsia="en-US" w:bidi="ar-SA"/>
        </w:rPr>
        <w:t>" showing variations in pattern of cutaneous nerves to the dorsum of the hand from Grant's Textbook of Anatomy. As you can see, the classic distribution of ulnar sensation in the hand is the small finger plus the medial half of the fourth finger and occasionally into the proximal base of the third fingers but never under any of these diagrams is the tip of the third finger involved.</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Munro has placed great emphasis on the fact that the third finger is involved. He states that this categorically rules out thoracic outlet syndrome. In fact, experienced neurologists will tell you that there is significant overlap and that patients often have a little difficulty describing exactly where their symptoms are. The important fact here is that Ms. Durand had negative testing for ulnar entrapment syndrome by Dr. Munro's own physical examination and had positive testing for thoracic outlet syndrome (the elevated arm stress test). Furthermore, she had negative nerve conduction studies for ulnar entrapment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Travlos also testified that there should be no middle finger involvement in the case of 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confronted in cross-examination with the proposition there is no involvement of the tip of the third finger in cases of UES, Dr. Munro gave no evidence to either satisfactorily explain or contradict Dr. Salvian's or Dr. Travlos'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concluded that where the expert opinions of Dr. Munro are contrary to those of Drs. Schuckett, Travlos or Salvian, I must prefer their opinions. I reach that conclusion not only because of the consistency of the medical opinions of Drs. Schuckett, Travlos and Salvian, but also because of Dr. Munro</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combative and evasive in answering questions on cross-examination;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performed four or five thoracic outlet decompression surgeries as compared to Dr. Salvian who has undertaken approximately 180 such surgeries;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offered no independent source of authority for his opinions and relied only upon his own experience for some of his most contentious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considering the entirety of the evidence in this case, I have determined that the plaintiff has established that she now suffers from TOS.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ISSUE 2: Was the accident the cause of the plaintiff's TOS and other injuries from which she still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her report Dr. Schuckett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discussed the causal relationship between my diagnoses and the MVA in the section above. All of the diagnoses 1-4 are highly in keeping with causality stemming from the 2002 MVA. These are the sorts of injuries which are encountered in the setting of an MVA. Unilateral neck strain, or cervical strain, shoulder pain and limitation and thoracic outlet syndrome, or brachial plexus injury, are well-described as an aftermath of automobile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no other antecedent symptoms to suggest any predisposing risk to development of these problems. There is no other historical evidence of an underlying cause of the diagnoses which I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Travlos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focus of Ms. Durand's symptoms today is around the left side of her neck and shoulder. The physical examination shows that she has a number of entities, all of which are contributing to her symptoms. Firstly, she definitely has evidence of mechanical neck pain, such that loading of the posterior elements of the neck definitely brings on her symptoms. Coupled with this is evidence of soft tissue pain in the neck in that stretching of the left side of the neck aggravates all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Durand did have an MRT scan of her neck done at MRI Vancouver on April 23, 2004. This showed the presence of degenerative disease at the C5-6 level, with neural foraminal narrowing on both sides. Such changes take many years to develop and are not a result of the accident. Findings such as this are a commonplace phenomenon as patients grow older and are not unexpected or surprising. The complete absence of any symptoms in this area in the past would indicate that this was not a symptomatic area of concern. It is my opinion that Ms. Durand's neck symptoms arose following the accident in an area of underlying susceptibility to injury. </w:t>
      </w:r>
      <w:r>
        <w:rPr>
          <w:rFonts w:ascii="arial" w:eastAsia="arial" w:hAnsi="arial" w:cs="arial"/>
          <w:color w:val="000000"/>
          <w:sz w:val="20"/>
          <w:u w:val="single"/>
          <w:lang w:val="en-US" w:eastAsia="en-US" w:bidi="ar-SA"/>
        </w:rPr>
        <w:t>It is improbable and unlikely that these symptoms would have arisen in the absence of the accident and the subsequent need for treatments</w:t>
      </w:r>
      <w:r>
        <w:rPr>
          <w:rFonts w:ascii="arial" w:eastAsia="arial" w:hAnsi="arial" w:cs="arial"/>
          <w:color w:val="000000"/>
          <w:sz w:val="20"/>
          <w:lang w:val="en-US" w:eastAsia="en-US" w:bidi="ar-SA"/>
        </w:rPr>
        <w:t>. I say the latter because it seems that the neck symptoms did improve and were not a major concern for a while until the middle of her massage therapy treatments, at which point the neck symptoms became an increasing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Durand also has symptoms consistent with thoracic outlet obstruction and physical findings to go along with this. It is clear that she injured the left shoulder and upper extremity with the accident. </w:t>
      </w:r>
      <w:r>
        <w:rPr>
          <w:rFonts w:ascii="arial" w:eastAsia="arial" w:hAnsi="arial" w:cs="arial"/>
          <w:color w:val="000000"/>
          <w:sz w:val="20"/>
          <w:u w:val="single"/>
          <w:lang w:val="en-US" w:eastAsia="en-US" w:bidi="ar-SA"/>
        </w:rPr>
        <w:t>It is my opinion that the symptoms in the arm are a direct result of the accident of August 29, 2002</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main focus in the arm only arose once all the other symptoms had settled down. On completion of her physiotherapy in December of 2002 she was indeed doing well, but did not return back to work right away. It was on her return to work that the symptoms became more noticeable once again, which is typically the pattern of presentation with this problem. The ongoing nature of the radiating hand symptoms and the shoulder pains are intrinsically </w:t>
      </w:r>
      <w:r>
        <w:rPr>
          <w:rFonts w:ascii="arial" w:eastAsia="arial" w:hAnsi="arial" w:cs="arial"/>
          <w:color w:val="000000"/>
          <w:sz w:val="20"/>
          <w:u w:val="single"/>
          <w:lang w:val="en-US" w:eastAsia="en-US" w:bidi="ar-SA"/>
        </w:rPr>
        <w:t>tied in to the thoracic outlet symptoms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last area of contribution of symptoms to the shoulder is the shoulder itself. Ms. Durand definitely has evidence of a rotator cuff and bicipital tendonitis that is ongoing. The MRI scan done on April 23, 2004 of the shoulder did show some subacromial bursal fluid, which is in keeping with this diagnosis. One does not have to have a complete rupture of the tendon or other such abnormality to have symptoms in the area. Certainly the clinical diagnosis is apparent and the MRI confirms this. It is my opinion (and I am in agreement with Dr. Shuckett) that the shoulder impingement symptoms are a direct result of the accident, specifically given the fact that she was doing her usual job and activities prior to the accident and did not have any such symptoms. Although the MRI scan does show hypertrophy of the acromioclavicular joint, there are no associated symptoms to go along with this and this was not an entity in the pains that that she has today, nor was she symptomatic on stressing of this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report of July 7, 2006, Dr. Salvian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findings of Dr. Travlos and Dr. Munro confirm my opinion that this patient has secondary post traumatic thoracic syndrome related to the motor vehicle accident of August 29,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I have noted above, however, In addition to those opinions, and of some significance to the question of causation in this case are the clinical records of Ms. Durand's chiropractor, Dr. Zradicka, who saw her three times in late January and early February 1998 as well as twice in March 2001 and once in 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Those attendances are material because Dr. Zradicka's records indicate that Ms. Durand complained of soreness in the area of the mid thoracic spine, her neck and shoulders. As I have previously noted, after three treatments in 1998 she did not return until three years later. When she returned in March of 2001 she complained of her hands "going to sleep at night" and after one treatment still complained "still tingling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third party relies on those visits to Dr. Zradicka as evidentiary support for the proposition that Ms. Durand suffered a spontaneous occurrence of TOS before the accident. It submits that the failure of Ms. Durand to complain to Dr. Sears between January and June of 2003 about shoulder or arm pain also support that conclusion. In addition, it relies upon Ms. Durand's self-reports to Dr. Munro on April 25, 2006 that she thought that the "pinching pain" at the base of her neck started "several months" after the accident and that the pain in the front of her left shoulder started "at least months" after the accident. The third party accordingly submits that the evidence establishes that Ms. Durand suffered from pre-existing spontaneous TOS that again arose spontaneously well after the accident and that causation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Schuckett testified under cross-examination that TOS had occurred spontaneously (that is, without precipitating trauma) in perhaps 20% of the cases she had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in his report of August 10, 2004, Dr. Salvian suggested that Ms. Durand "may have had some degree of previous thoracic outlet syndrome of a spontaneous onset, which had resolved for 2-3 years prior to the motor vehicle accident" and also said that she "may have had some underlying tendency to develop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Travlos also testified that TOS could appear spontaneously and that if both arms fell to sleep at night it could be indicative of the existence of TOS. Most significantly, however, he also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the description in the records there of hands falling asleep is extremely unusual for a patient of thoracic outlet syndrome to complain of. If they complain of numbness, they are much more specific. They talk about numbness in, you know, one or two fingers, or two or three fingers. It's extremely rare for them to say, "I only complain cause my hands fall asleep'."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stated at p. 466: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114"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Snell v. Farell,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490 (H.L.),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More recently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S.C.J. No. 7</w:t>
        </w:r>
      </w:hyperlink>
      <w:r>
        <w:rPr>
          <w:rFonts w:ascii="arial" w:eastAsia="arial" w:hAnsi="arial" w:cs="arial"/>
          <w:color w:val="000000"/>
          <w:sz w:val="20"/>
          <w:lang w:val="en-US" w:eastAsia="en-US" w:bidi="ar-SA"/>
        </w:rPr>
        <w:t>, the Supreme Court of Canada revisited the issue of causation and stated at paragraph 19 to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Court of Appeal erred in suggesting that, where there is more than one potential cause of an injury, the "material contribution" test must be used. To accept this conclusion is to do away with the "but for" test altogether, given that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Court of Appeal's reasons in this regard are endorsed, the only conclusion that could be drawn is that the default test for cause-in-fact is now the material contribution test. This is inconsistent with this Court's judgments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Walker Estate v. York-Finch General Hospital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2001 SCC 23</w:t>
        </w:r>
      </w:hyperlink>
      <w:r>
        <w:rPr>
          <w:rFonts w:ascii="arial" w:eastAsia="arial" w:hAnsi="arial" w:cs="arial"/>
          <w:color w:val="000000"/>
          <w:sz w:val="20"/>
          <w:lang w:val="en-US" w:eastAsia="en-US" w:bidi="ar-SA"/>
        </w:rPr>
        <w:t xml:space="preserve"> at paras. 87- 88,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at para.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These two requirements are helpful in defining the situations in which an exception to the "but for" approach ought to be permitted. Without dealing exhaustively with the jurisprudence, a few examples may assist in demonstrating the twin principles just asserted.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One situation requiring an exception to the "but for" test is the situation where it is impossible to say which of two tortious sources caused the injury, as where two shots are carelessly fired at the victim, but it is impossible to say which shot injured him: </w:t>
      </w:r>
      <w:r>
        <w:rPr>
          <w:rFonts w:ascii="arial" w:eastAsia="arial" w:hAnsi="arial" w:cs="arial"/>
          <w:i/>
          <w:color w:val="000000"/>
          <w:sz w:val="20"/>
          <w:lang w:val="en-US" w:eastAsia="en-US" w:bidi="ar-SA"/>
        </w:rPr>
        <w:t>Cook v. Lewis</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[1951] S.C.R. 830</w:t>
        </w:r>
      </w:hyperlink>
      <w:r>
        <w:rPr>
          <w:rFonts w:ascii="arial" w:eastAsia="arial" w:hAnsi="arial" w:cs="arial"/>
          <w:color w:val="000000"/>
          <w:sz w:val="20"/>
          <w:lang w:val="en-US" w:eastAsia="en-US" w:bidi="ar-SA"/>
        </w:rPr>
        <w:t>. Provided that it is established that each of the defendants carelessly or negligently created an unreasonable risk of that type of injury that the plaintiff in fact suffered (i.e. carelessly or negligently fired a shot that could have caused the injury), a material contribution test may be appropriately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 second situation requiring an exception to the "but for" test may be where it is impossible to prove what a particular person in the causal chain would have done had the defendant not committed a negligent act or omission, thus breaking the "but for" chain of causation. For example, although there was no need to rely on the "material contribution" test in </w:t>
      </w:r>
      <w:r>
        <w:rPr>
          <w:rFonts w:ascii="arial" w:eastAsia="arial" w:hAnsi="arial" w:cs="arial"/>
          <w:i/>
          <w:color w:val="000000"/>
          <w:sz w:val="20"/>
          <w:lang w:val="en-US" w:eastAsia="en-US" w:bidi="ar-SA"/>
        </w:rPr>
        <w:t>Walker Estate v. York-Finch General Hospital</w:t>
      </w:r>
      <w:r>
        <w:rPr>
          <w:rFonts w:ascii="arial" w:eastAsia="arial" w:hAnsi="arial" w:cs="arial"/>
          <w:color w:val="000000"/>
          <w:sz w:val="20"/>
          <w:lang w:val="en-US" w:eastAsia="en-US" w:bidi="ar-SA"/>
        </w:rPr>
        <w:t>, this Court indicated that it could be used where it was impossible to prove that the donor whose tainted blood infected the plaintiff would not have given blood if the defendant had properly warned him against donating blood. Once again, the impossibility of establishing causation and the element of injury-related risk created by the defendant are central.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this case, the Court of Appeal erred in failing to recognize that the basic test for causation remains the "but for" test. It further erred in applying the material contribution test in circumstances where its use was neither necessary nor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This is not a case where the "but for test" must be displaced by the "material contribution test". The evidence must establish on a balance probabilities that the plaintiff's injuries (and in this case, more specifically, her present suffering from TOS)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established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causation need not be determined with scientific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satisfied that the evidence of Drs. Shuckett, Salvian and Travlos under cross-examination raises only the possibility that Ms. Durand may have suffered a spontaneous pre-accident onset of TOS since all of those doctors testified that the symptoms reported by Dr. Zradicka are too vague to form the basis of a diagnosis of either pre-existing or spontaneous 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totality of the medical evidence as well as the evidence of Ms. Durand at trial also convinces me that there was no long delay in the onset of shoulder and arm pain. In that regard I note that Ms. Durand complained of or was treated for either left arm or left shoulder pain, or both, on August 29, 2002, September 4, 2002, September 18, 2002, September 19, 2002, September 24, 2002 and September 27, 2002. I also accept Ms. Durand's evidence that between January and June 2003 she experienced gradually worsening symptoms in her left shoulder and arm that were aggravated by such actions as reaching overhead, wiping, sweeping and mopping. I further accept her testimony that she did not return to Dr. Sears until June 2, 2003 because she "kept thinking it was going to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on a balance of probabilities that Ms. Durand's present injuries were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ISSUE 3: What award of damages will appropriately compensate the plaintiff for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I have noted above, Ms. Durand seeks damages for her non-pecuniary loss arising from her past and future pain and suffering, damages for her past and future wage loss and damages for the costs of her future care resulting from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Ms. Durand has submitted that an appropriate award for the pain, suffering and loss of enjoyment of life that Ms. Durand has suffered and will continue to suffer is in the range of $80,000 to $100,000. In making that submission he relies upon the following cases: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Dembowski v. Streliev</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[1998] B.C.J. No. 1693</w:t>
        </w:r>
      </w:hyperlink>
      <w:r>
        <w:rPr>
          <w:rFonts w:ascii="arial" w:eastAsia="arial" w:hAnsi="arial" w:cs="arial"/>
          <w:color w:val="000000"/>
          <w:sz w:val="20"/>
          <w:lang w:val="en-US" w:eastAsia="en-US" w:bidi="ar-SA"/>
        </w:rPr>
        <w:t xml:space="preserve"> (4 July 1998), Rossland 4479 (B.C.S.C.) (Williamson J.) in which the plaintiff suffered from thoracic outlet syndrome that was of a "moderate to mild form" as well as a fractured lumbar vertebra and was awarded non-pecuniary damages of $60,000.00.</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Heartt v. Royal</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 xml:space="preserve"> (Dorgan J.) in which the plaintiff was initially diagnosed with a minor concussion and whiplash but then also developed a sensation of numbness and tingling in her right arm and fingers, low back pain and decreased tolerance for lifting and standing for prolonged periods of time. She was awarded $60,000.00.</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Schellack v. Barr</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2001 BCSC 1323</w:t>
        </w:r>
      </w:hyperlink>
      <w:r>
        <w:rPr>
          <w:rFonts w:ascii="arial" w:eastAsia="arial" w:hAnsi="arial" w:cs="arial"/>
          <w:color w:val="000000"/>
          <w:sz w:val="20"/>
          <w:lang w:val="en-US" w:eastAsia="en-US" w:bidi="ar-SA"/>
        </w:rPr>
        <w:t xml:space="preserve"> (Martinson J.) in which the plaintiff sustained injuries in two motor vehicle accidents. The injuries were soft tissue in nature but she also suffered from post traumatic stress disorder and developed a chronic pain complex syndrome. Martinson J. awarded $80,000 for non-pecuniary damages.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Brown v. Ryan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2000 BCSC 680</w:t>
        </w:r>
      </w:hyperlink>
      <w:r>
        <w:rPr>
          <w:rFonts w:ascii="arial" w:eastAsia="arial" w:hAnsi="arial" w:cs="arial"/>
          <w:color w:val="000000"/>
          <w:sz w:val="20"/>
          <w:lang w:val="en-US" w:eastAsia="en-US" w:bidi="ar-SA"/>
        </w:rPr>
        <w:t xml:space="preserve"> (Quijano J.) in which the plaintiff sustained soft tissue injuries but continued to have, pain and muscle spasms in her mid and low back on an ongoing basis. She also developed fibromyalgia. Quijano J. awarded non-pecuniary damages of $80,000.</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Foran v. Nguyen</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(Sinclair Prowse J.) in which the plaintiff sustained multiple soft tissue injuries, particularly in the area of her cervical spine. She also developed chronic headaches, chronic neck pain and upper back and right side pain and had difficulty dealing with regular housekeeping duties and was awarded $90,000 for pain and suffering.</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Kuhne v. Minifie</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2001 BCSC 46</w:t>
        </w:r>
      </w:hyperlink>
      <w:r>
        <w:rPr>
          <w:rFonts w:ascii="arial" w:eastAsia="arial" w:hAnsi="arial" w:cs="arial"/>
          <w:color w:val="000000"/>
          <w:sz w:val="20"/>
          <w:lang w:val="en-US" w:eastAsia="en-US" w:bidi="ar-SA"/>
        </w:rPr>
        <w:t xml:space="preserve"> (Loo J.) in which the plaintiff sustained soft tissue injuries in a "T-bone" type impact. She missed six months of work and suffered from chronic pain which developed into fibromyalgia. Loo J. awarded $91,000 for pain and suffering.</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Jones v. Barnes,</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2000 BCSC 878</w:t>
        </w:r>
      </w:hyperlink>
      <w:r>
        <w:rPr>
          <w:rFonts w:ascii="arial" w:eastAsia="arial" w:hAnsi="arial" w:cs="arial"/>
          <w:color w:val="000000"/>
          <w:sz w:val="20"/>
          <w:lang w:val="en-US" w:eastAsia="en-US" w:bidi="ar-SA"/>
        </w:rPr>
        <w:t xml:space="preserve"> (Ralph J.) in which the plaintiff sustained multiple soft tissue injuries in a motor vehicle accident. He also suffered from severe headaches, muscle pain and chronic pain. Ralph J. awarded $100,000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Byl also submits that those awards (except the recent award in </w:t>
      </w:r>
      <w:r>
        <w:rPr>
          <w:rFonts w:ascii="arial" w:eastAsia="arial" w:hAnsi="arial" w:cs="arial"/>
          <w:b/>
          <w:i/>
          <w:color w:val="000000"/>
          <w:sz w:val="20"/>
          <w:lang w:val="en-US" w:eastAsia="en-US" w:bidi="ar-SA"/>
        </w:rPr>
        <w:t>Foran v. Nguyen</w:t>
      </w:r>
      <w:r>
        <w:rPr>
          <w:rFonts w:ascii="arial" w:eastAsia="arial" w:hAnsi="arial" w:cs="arial"/>
          <w:color w:val="000000"/>
          <w:sz w:val="20"/>
          <w:lang w:val="en-US" w:eastAsia="en-US" w:bidi="ar-SA"/>
        </w:rPr>
        <w:t>) should be adjusted upwards by approximately 10 to 15 per cent to account for inflation from the time the older awards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the third party has submitted that Ms. Durand should, at most, be awarded from $10,000 to $25,000 for her non-pecuniary losses. He relies primarily upon:</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Coles v. Tung</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2004 BCSC 1714</w:t>
        </w:r>
      </w:hyperlink>
      <w:r>
        <w:rPr>
          <w:rFonts w:ascii="arial" w:eastAsia="arial" w:hAnsi="arial" w:cs="arial"/>
          <w:color w:val="000000"/>
          <w:sz w:val="20"/>
          <w:lang w:val="en-US" w:eastAsia="en-US" w:bidi="ar-SA"/>
        </w:rPr>
        <w:t xml:space="preserve"> (Goepel J.) in which the plaintiff was awarded $10,000 in non-pecuniary damages for injuries to his back and shoulder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lasted approximately one year. Goepel J. also determined that the plaintiff's suffering was primarily the consequence of pre-existing conditions.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Manering v. Imanian</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2006 BCSC 323</w:t>
        </w:r>
      </w:hyperlink>
      <w:r>
        <w:rPr>
          <w:rFonts w:ascii="arial" w:eastAsia="arial" w:hAnsi="arial" w:cs="arial"/>
          <w:color w:val="000000"/>
          <w:sz w:val="20"/>
          <w:lang w:val="en-US" w:eastAsia="en-US" w:bidi="ar-SA"/>
        </w:rPr>
        <w:t xml:space="preserve"> (Martinson J.) in which the plaintiff was awarded $22,000 for non-pecuniary damages to her neck, shoulders and upper back as well as pain in her right upper arm and headaches. She also suffered from significant pre-accident health issues and failed to disclose relevant health issues both at examination for discovery and in her examination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Stewart also submitted on behalf of the third party that any award of damages which is based upon a finding that Ms. Durand suffers from TOS should result in an award in a range of no more than $50,000 to $60,000 that should also be reduced by one half to reflect Ms. Durand's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previously concluded that Ms. Durand suffers from TOS, not UES, and that the TOS from which she suffers was caused by the accident. I have also concluded that there was no long delay in the onset of her shoulder and arm pain. Further, I also do not find that her present condition is the result of the exacerbation of pre-existing conditions unrelated to the accident that should result in any significant diminution of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 am satisfied that while Ms. Durand did suffer to some extent from neck and shoulder soreness before the accident that related to the type of work she did and the stresses in her life, it did not remotely approach the debilitating level of pain and suffering which she now endures as a consequence of the TOS caused by the accident and the past, present and future effect that TOS has had and will continue to have upon her lifestyle and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those circumstances, the cases relied upon by the third party are of little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assessing the appropriate award for Ms. Durand's pain and suffering and loss of enjoyment of life, it must, as counsel for the third party stressed, be noted that notwithstanding her injuries and the pain caused by them Ms. Durand has not only been able to continue to work but has in fact increased the number of hours which she now works as compared to her pre-accident work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must, however, be noted that during the period of time between the accident and the trial Ms. Durand's socio-economic circumstances were in flux. Her marriage was troubled to the point that she had determined that she had to leave the relationship notwithstanding its financial security and her fear that she would have difficulty in obtaining spousal support. It is not surprising in those circumstances that Ms. Durand availed herself of as much work as she could physically endure to build her financial resources to become as financially independent as possible. I am satisfied that had she been able to undertake even more work she would have done so. She was, however, prevented by the disabling effects of her injuries from pursuing more or different employment. Ms. Durand was, in fact, fortunate to have an understanding employer in Ms. Trudeau who would allow her to work shifts and hours and do types of work that other employers would not likely have accommodated.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stressed this issue of Ms. Durand's work history not only because it was relied upon by the third party as evidence that all of Ms. Durand's damages claims should be assessed in light of her increasing workload but also because I am satisfied that Ms. Durand's life and her ability to enjoy that life after the accident became focused almost exclusively on her need to work and her ability to work. Other pursuits fell by the wayside as economics and the effects of work on her health came to dominate her existence and well being. That situation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Mr. Byl's submissions that Ms. Durand should be assessed as a stoic, uncomplaining and hard working woman who has done her best to cope with the problems brought on by the accident. I find that she now has difficulty carrying grocery bags, cannot carry things with her left hand, has difficulty doing laundry because of the distances she must travel in her apartment carrying laundry, has difficulty performing small motions such as wringing things out and removing lids from jars, and that it is difficult for her to wash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accept Ms. Durand's testimony that she is uncomfortable all the time, has nagging headaches and that her shoulder is always aching. I also find that her work related activities have had to be modified so that she no longer wipes surfaces in a wide arc, must sweep and mop in short motions and can do little of a strenuous nature with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also note once more, her testimony in cross-examination relating to her present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after I work all these hours, I go home and I put heat on, I take painkillers, and I suffer. I'm not going out and swimming or playing ball or doing -- or golfing or anything else that would be fun. I don't do that. I go home and I suffer because I've worked these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Further, Ms. Durand's prognosis in not good. Dr. Salvian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Ms. Durand has significant symptoms of neck pain and ongoing secondary thoracic outlet syndrome which has been present since the motor vehicle accident of August 29, 2002 (two years). One would like to try the conservative therapy but it is unlikely there will be significant improvement unless she can avoid repetitive use of the arm overhead or heavy lifting with the arm. She is, I think, going to be significantly disabled forever doing that type of activity. In other words, at home she is going to need to avoid doing activities such as vacuuming, washing windows or painting. At work she will not be able to do any activity that require [sic] repetitive use of the arm overhead, heavy lifting with the arm or prolonged repetitive activities such as keyboarding or driving. She is certainly at risk of further exacerbations of the thoracic outlet syndrome should she have any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considering the totality of the evidence, the submissions of counsel and the authorities to which I have been referred, I have determined that an award of $75,000 will suitably compensate Ms. Durand for her pain, suffering and loss of enjoyment of life as a consequence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I have discussed above, Ms. Durand has been able to earn more money since the accident than she regularly did before. While the reasons for that were, in my view, largely driven by her changing social and economic circumstances, the fact remains that in such a case the determination of the extent to which she might have earned more "but for" the accident is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establishes that Ms. Durand earned the following amounts from her employment with Ms. Trudeau in the year before the accident (2001) and the years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 $8,863</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79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 $10,728</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 $11,993</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2004 - $16,382</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2005 - $17,362</w:t>
            </w:r>
          </w:p>
        </w:tc>
        <w:tc>
          <w:tcPr>
            <w:tcW w:w="77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Also, in 2006 before this trial in September she had earned $12,180 and the pattern of her work which should have continued thereafter would likely have resulted in total earnings in 2006 of approximately $18,200.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addition, the third party relies on Ms. Trudeau's evidence that she has allowed Ms. Durand to work all possible extra hours available to Ms. Trudeau under her contract with Canfor that are not needed by Ms. Trudeau herself. Mr. Stewart submits that in those full employment circumstances Ms Durand has suffered no real loss of past income as a consequence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Stewart submits that the total proven past wage loss suffered by Ms. Durand was $646.05 based upon a loss of 65 hours of work immediately following the accident at her then pay rate of $11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Byl has submitted that the damages suffered by Ms. Durand as a consequence of the accident include a component of lost opportunity to pursue employment in addition to her work with Ms. Trudeau. He submits that such opportunity was denied to Ms. Durand due to her physical limitations caused by the accident and the tiredness which she experiences in doing her work for Ms. Trudeau, all of which preclude her from pursuing additional work or self employment as a private house cleaner.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satisfied that there is evidentiary support for Ms. Durand's loss of opportunity claims but I am also satisfied that Mr. Byl has over-estimated both the amount of extra work she could have accomplished if she had not been hurt in the accident and the amount of money she would likely have earned from that additional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Ms. Durand's evidence that there were opportunities of which she could have availed herself including private housekeeping (at a rate of $15.00 per hour) or working as a waitress was not contradicted, I am satisfied that Mr. Byl's extrapolations of a loss of 600 hours per year (based on a 40 hour week less the time spent working for Ms. Trudeau) at a rate of $15.00 per hour totalling approximately $9,000 per year do not adequately reflect the difficulty of obtaining such additional part time work while maintaining the work schedule with Ms. Trudeau. Further, I am not satisfied that, even if fully healthy, Ms. Durand would have undertaken the risk of a private housekeeping venture in place of her work with Ms. Trudeau. It is even less likely that she would have returned to working as a waitress given the length of time she had been out of that occupation. In addition, as conceded by her counsel, while she was planning to do so earlier, Ms. Durand did not leave her husband until October 1, 2005. I am not satisfied that those plans would have matured at an earlier date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the evidence as a whole establishes that a more realistic assessment of Ms. Durand's total past loss of income earning capacity in the four years between August of 2002 and the start of this trial is $7,000 inclusive of the $646.05 she lost in the first month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Many of the same considerations applicable to my assessment of Ms. Durand's past income earning capacity also bear upon the assessment of her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determined that future income loss based upon an alleged lost opportunity of $9,000 per year as submitted on Ms. Durand's behalf by Mr. Byl is not wholly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also, however, do not accept the third party's submissions that Ms. Durand's loss of future earning capacity should be based upon the equivalent of a loss of approximately one year's salary of approximately $18,000. Nor do I accept Mr. Stewart's analysis that Ms. Durand's loss of future capacity should be based upon an assessment of her having lost 10 percent of her capacity to work over a 10 year period resulting in a loss of approximately $20,000. The evidence does not support such limited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that the accident has caused Ms. Durand a very real loss of future earning capacity arising from her inability to now pursue other employment opportunities to supplement her ongoing income or to pursue employment opportunities with someone other than her very protective and accommodating employer Ms. Trudeau.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Ms. Durand filed expert actuarial evidence allowing for the calculation of the present value of the loss of an income stream or annual income over varying numbers of years and in different circumstances from the date of trial until Ms. Durand reaches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Those examples included examples of situations where Ms. Durand would suffer an income stream loss for all of the years to retirement at 65; where she would face a loss of income stream until age 60 before deciding to retire without reference to her injuries and one example of a composite loss based upon both a reduced income to age 60 and a forced early retirement due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Byl submitted that in all of the circumstances, including the prospect that Ms. Durand will be forced into an early retirement, an appropriate award for her loss of future earning capacity would be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Huddart J.A. stated at p. 160: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(September 20, 1994), Doc. Vancouver B905414 (B.C.S.C.) at para. 121,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(September 24, 1997), Doc. Vancouver CA019456 (BC.C.A.).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Finch J. They include:</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the court is to asses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(B.C.C.A.).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(March 6, 1995), Doc. CA018742, CA018743 (B.C.C.A.); </w:t>
      </w:r>
      <w:r>
        <w:rPr>
          <w:rFonts w:ascii="arial" w:eastAsia="arial" w:hAnsi="arial" w:cs="arial"/>
          <w:i/>
          <w:color w:val="000000"/>
          <w:sz w:val="20"/>
          <w:lang w:val="en-US" w:eastAsia="en-US" w:bidi="ar-SA"/>
        </w:rPr>
        <w:t>Parypa v. Wickware,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evidence establishes that there is a real and substantial possibility that Ms. Durand's future income earning capacity will continue to be affected by her injuries suffered in the accident that have not resolved for now more than four years. She has, however, been working all of those years and I find that it is unlikely, in all of the circumstances, that she will retire early. She will, however, likely continue to be unable to work more than part time and her employment opportunities remain seriously compromised when the factors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approved by Huddart J.A. in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xml:space="preserve"> are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Taking into account the totality of the evidence, I am satisfied that Ms. Durand will continue to suffer a loss of income of at least $6,000 per year until at least the age of 65 as a consequence of the injuries suffered by her in the accident. The present value of such a loss to age 65 would be approximately $72,000.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Although such a calculation is helpful in assessing the present value of such a potential loss, it remains merely a calculation and does not also address all of the negative and positive contingencies that must be factored into an award for loss of future earning capacity as well as the considerations addressed in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Having considered all of those factors in this case, I have concluded that the appropriate award for Ms. Durand's loss of future earning capacity is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Travlos opined in his May 12, 2005 report that Ms. Durand will require future treatment including physiotherapy and stretching and that if her symptoms persist she may require pain ablation with the use of freezing into the subacromial bursa or injections into the scalene muscles on the left side of her neck with botox.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Byl has submitted that in those circumstances an appropriate award for Ms. Durand's cost of future care is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Counsel for the third party has submitted that no future care award should be made because botox injections are experimental and according to Dr. Schuckett are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satisfied that in all of the circumstances especially given Ms. Durand's need for ongoing physiotherapy and pain management, that an award of future care costs in the amount of $1,000 is conservative.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Durand will be awarded the total sum of $163,000 for the injuries she has suffered as a consequence of the accident based upon the following specific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3451"/>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4"/>
        <w:gridCol w:w="3241"/>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4183"/>
        <w:gridCol w:w="115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346"/>
        <w:gridCol w:w="198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Unless there are matters of which I am unaware, Ms. Durand will be entitled to her costs throughout on Scale 3 of Appendix B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that was in effect at all times during the conduct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Fox (Guardian ad litem of) v. Edwards, [2001] B.C.J. No. 370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3 and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S0007022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326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Kylie Amanda Fox, an infant, by her Guardian ad litem, Tammy Fox-Charlie, plaintiff, and Michael Edwards, Rodney Robert Jones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5"/>
      <w:bookmarkEnd w:id="4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Dangerous situations or imminent danger — Damage awards — Injury and death — Burns.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 w:name="Case Summary_5"/>
            <w:bookmarkEnd w:id="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Fox for damages for personal injuries. While Fox, who was eight years old, was in the passenger cab of a pick-up truck in the care and control of her father, Edwards, an explosion and flash fire occurred. While the cause of the explosion was unknown, it was most likely caused by a partially loaded aerosol can coming into contact with the terminals of a 12-volt battery. Both items were in a cardboard box sitting on the floor in front of the passenger seat. The box had been placed there by Edwards the night before. Fox suffered second and third degree burns to 20 per cent of her body including her face, neck, back, right arm and right leg. Fox was left with permanent scarring. She also experienced emotional trauma, depression and a loss of self-esteem due to teasing from other children regarding her scars. Fox argued that Edwards was negligent in placing the unprotected battery and the pressurized aerosol can on the floor of the passenger compartment and leaving it there while unsupervised children had access to it. Edwards argued that his conduct was reasonable in light of the knowledge he had and that he had no reason to suspect danger. The parties agreed on damages except for non-pecuniary damages and a claim with respect to the care and attention provided by Fox's mother.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 w:name="Holdings of Court_4"/>
            <w:bookmarkEnd w:id="4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aerosol can containing an inflammable substance was an obvious source of danger such that an ordinary, reasonably careful parent, knowing that the can was under pressure, would not have left it where it could easily be disturbed. The danger presented by the aerosol can was compounded by leaving the battery next to it. It was foreseeable that leaving those objects lying on the floor of the unlocked truck, where children could easily go, unattended, could result in some form of injury. Edwards failed in his duty to take reasonable care not to expose Fox to an unreasonable risk of foreseeable harm. Fox was entitled to an award of $85,000 for non-pecuniary damages for pain, suffering, disfigurement and loss of enjoyment of life. An award calculated at the rate of $500 per month for a period of 12 months was appropriate in respect of the mother's services.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3" w:name="Counsel_5"/>
      <w:bookmarkEnd w:id="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G.D. Taylor, for the plaintiff. J.C. Lee, for the defendants, Michael Edwards and Rodney Robert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6" style="position:absolute;z-index:2517667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DROST J."/>
            <w:bookmarkEnd w:id="45"/>
            <w:r>
              <w:rPr>
                <w:rFonts w:ascii="arial" w:eastAsia="arial" w:hAnsi="arial" w:cs="arial"/>
                <w:b/>
                <w:color w:val="000000"/>
                <w:sz w:val="30"/>
                <w:lang w:val="en-US" w:eastAsia="en-US" w:bidi="ar-SA"/>
              </w:rPr>
              <w:t>DROST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she suffered on June 3, 1995, when an explosion and flash fire occurred in the passenger cab of a pickup truck ("the truck") owned by the defendant Rodney Robert Jones. The truck was in the care and control of the defendant Michael Edwards with Jones knowledge and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deny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quantum of damages claimed by the plaintiff is also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facts are not seriously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June 3, 1995, the plaintiff ("Kylie"), who was then eight years old, was enjoying an access visit with her father, the defendant Michael Edwards, at his home on Nicomen Island in the Fraser River near Chilliwack B.C. When she arrived on the island the previous evening, she was picked up by at the band office by Mr. Edward's girl friend (now his wife), Teresa Kelly, and driven in the truck to Mr. Edward's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Kylie got into the truck that evening, there was a cardboard box sitting on the floor in front of the passenger seat. It contained several items that had been taken that day from Mr. Edward's boat, including an aerosol can of carburettor cleaner. There was also a 12-volt marine battery sitting on the floor, adjacent to the box, that had also been taken from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direct examination, Kylie testified that when she got into the truck that evening Ms. Kelly warned her to be careful of the box because there were things in it that could explode. However, under cross-examination Kylie agreed that she could not recall exactly what Teresa had said to her at that time, and she adopted the following evidence she had given on her examination for discovery:</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when [Teresa] picked you up in the truck, was there a -- what was in the truck on the floor?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box and it had a whole bunch of cleaners and stuff in it and a battery. Or the battery was beside it.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Exhibit A, this aerosol can, did you see something like that in the box when you got into that truck, when Teresa picked you up?</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can't remember.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did Teresa say when she picked you up about this box on the floor?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just said to put my feet up and not to touch it.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she tell you why?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Kelly confirmed that the box containing the can of carburettor cleaner and the battery were in the truck when she picked up Kylie. She said that she told Kylie to watch her feet, or words to that effect, but said nothing about the possibility of an explosion. She testified, and I accept, that had she been aware of the possibility of an explosion she would not have let Kylie get into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box containing the aerosol can and the battery were left in the unlocked cab of the truck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next day, when Kylie and her older cousin were playing in the water, they were called by Mr. Edwards and told to get ready to go with him to see his new (to him) boat. Having no towels, the two youngsters ran around in order to dry off. That developed into a game of tag and, to avoid being caught by her cousin, the plaintiff got into the front passenger seat of the truck and locked the door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Then, Kylie testified, she swung around on the seat in order to look out the back window and see what her cousin was doing. She can recall being on her knees on the seat, with her feet hanging over the front of the seat. Suddenly, she said, she felt a great heat envelop her. On the evidence, I find that the aerosol can exploded and the escaping carburettor cleaner vapourized, resulting in a flash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Fortunately, Kylie had the presence of mind to unlock the door and scramble out of the truck. She suffered severe burns, however, which I will discuss in more detail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Richard Bekker, Chief of the North Fraser Volunteer Fire Department was called to the scene of the fire. When he examined the truck he saw the 12-volt battery, still lying on the floor on the passenger side, and an empty aerosol can marked "Carburettor Cleaner" lying beside it. The can was empty and its bottom was bulged out. Chief Bekker examined the can and observed that two holes had been burned through it. When he held the can close to the battery he saw that the two holes lined up precisely with the battery posts, which were exposed.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Because Mr. Edwards home is located on a reserve, the fire department has no jurisdiction and no further investigation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Unfortunately, what remained of the aerosol can was destroyed. After the fire Mr. Edwards cleaned up the mess and in a fit of rage he threw it away. He testified that he did not know that it could be important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no one can be certain as to what caused the explosion, on the evidence I find it most likely that the partially loaded aerosol can somehow came into contact with both terminals of the battery simultaneously. An electric current then passed through the aerosol can causing it to explode. Its contents then vapourized and the flash fire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parent, or other person responsible for a young child, has a duty to take reasonable care not to expose the child to unreasonable risk of foreseeable harm. The test to be applied in determining whether that duty has been discharged is an "objective" one in the sense that the parent is expected to do, or not to do, that which, according to community standards at the time, the ordinary reasonably careful parent would do, or not do, in the same circumstances. But the test is also a "subjective" one to the extent that the reasonable parent must be put in the position in which the defendant parent found himself or herself, and given only that knowledge which the defendant parent had, when deciding what the reasonable parent would have understood or believed and, as a consequence, have done or not done. An error of judgment alone will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Arnold v. Teno </w:t>
      </w:r>
      <w:hyperlink r:id="rId144"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and LaPlante v. LaPlante </w:t>
      </w:r>
      <w:hyperlink r:id="rId145" w:history="1">
        <w:r>
          <w:rPr>
            <w:rFonts w:ascii="arial" w:eastAsia="arial" w:hAnsi="arial" w:cs="arial"/>
            <w:i/>
            <w:color w:val="0077CC"/>
            <w:sz w:val="20"/>
            <w:u w:val="single"/>
            <w:shd w:val="clear" w:color="auto" w:fill="FFFFFF"/>
            <w:lang w:val="en-US" w:eastAsia="en-US" w:bidi="ar-SA"/>
          </w:rPr>
          <w:t>[1995] B.C.J. No. 1303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says that Mr. Edwards was negligent in placing the unprotected battery and the pressurized aerosol can on the floor of the passenger compartment and in leaving them there overnight. She further submits that what occurred was foreseeable and could easily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Edwards, on the other hand, submits that his actions did not fall short of the applicable standard of care and were "one of the options that a reasonably prudent parent would choose." He says that his conduct was reasonable in light of the knowledge that he had at the time, and that he had no reason to suspect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Edwards has two explanations for leaving the aerosol can, containing what he knew was a flammable substance, sitting in a cardboard box next to a battery that he admitted was unsecured and unprotected. One was that he was afraid the battery would be stolen if he left it in the back of the truck. The second was that, because he was planning to go to his boat the next day, it was reasonable to leave those things in the truck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also claims, without any supporting evidence, that such articles are customarily transported in the cabs of pickup trucks and may also be found, in proximity to each other, under sinks in kitchens or bathrooms, in basements and garages, or in "other places to which children of the age of the Plaintiff regularly have unsupervised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Edwards further submits (again without any supporting evidence) that batteries and cans of carburettor cleaner are "found in significant numbers in every household" and cannot be considered inherently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may be argued that an aerosol can of carburettor cleaner is, in and of itself, not inherently dangerous; I express no opinion on that point. But in my opinion, it is clearly unsafe to leave such a thing lying in close proximity to a 12-volt battery that has both of its terminals exposed in an unlocked vehicle to which children of the plaintiff's age had ready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Edwards also submits that if his actions did fall short of the requisite standard of care he is nonetheless not liable because he did not cause the harm in law and could not have prevented it. He submits that what occurred was a "freak" accident; one that was not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Several cases dealing with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injuries suffered by children and damage caused by children were referred to by counsel. Those cited by the plaintiff in which the doctrine of res ipsa loquitur was applied, are no longer of much help in light of the decision of the Supreme Court of Canada, in Fontaine v. British Columbia (Official Administrator), </w:t>
      </w:r>
      <w:hyperlink r:id="rId146"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There it was held that, whatever value res ipsa loquitur may have once provided, the law will now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Not surprisingly, none of the other authorities cited were of direct assistance because the factual circumstances of this case are unusual, if not unique. However, I found the principles enunciated in some of those cases to be helpful, especially those expressed by several of the members of the House of Lords in the frequently cited decision in Hughes v. Lord Advocate (1963), 1 All E.R. 705.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that case, employees of the Post Office opened a manhole in a roadway in order to gain access to a telephone cable. They erected a shelter tent over the manhole and placed paraffin warning lamps at each of its four corners. When tea-time arrived, they removed their ladder from the manhole and left it beside the tent. Then, after pulling a tarpaulin cover over the entrance to the shelter they went away, leaving the site unattended. The appellant, an eight year old boy and his ten year old companion came upon the scene and, being curious, took one of the lamps and the ladder into the tent to explore. Somehow, the appellant tripped over the lamp; it fell into the manhole and an explosion followed. The appellant was thrown into the manhole and suffered severe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evidence at trial, it was found that the explosion was caused by paraffin escaping from the lamp, forming into a vapour and being ignited by the flame. Although, on the basis of the expert evidence, that particular development was not reasonably foreseeable, there being no other feasible explanation, it was accepted as having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was argued that the appellant could not recover because the damage he suffered was of a kind not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Lord Reid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injuries were mainly caused by burns, and it cannot be said that injuries from burns were unforeseeable....No doubt it was not to be expected that the injuries would be as serious as those which the appellant in fact sustained. But a defender is liable, although the damage may be a good deal greater in extent than was foreseeable. He can only escape liability if the damage can be regarded as differing in kind from what was foreseeable....The cause of the accident was a known source off danger, the lamp, but it behaved in an unpredictable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Lord Jenkins observed that the post office employees had brought onto the public roadway apparatus (the lamps) "capable of constituting a source of danger to passers-by and in particular to small, and almost certainly, inquisitive children". He held that they were under of duty of care to those passers-by,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remaining question appears to be whether the occurrence of an explosion such as did in fact take place in the manhole was a happening which should reasonably have been foreseen by the Post Office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true that the duty of care expected in cases of this sort is confined to reasonably foreseeable dangers, but it does not necessarily follow that liability is escaped because the danger actually materializing is not identical with the danger reasonably foreseen and guarded against. Each case must depend on its own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Lord Morris of Borth-Y-Gest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 that an explosion as such would not have been contemplated does not alter the fact that it could reasonably have been foreseen that a boy, who played in and about the canvass shelter and played with the things that were thereabouts, might get hurt and might in some way burn himself. That is just what happened. The pursuer did burn himself, though his burns were more grave than would have been expected. The fact that the features or developments of an accident may not reasonably have been foreseen does not mean that the accident itself was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Lord Pearce expressed a similar conclusion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defenders are...liable for all the foreseeable consequences of their neglect. When an accident is of a different type and kind from anything that a defender could have foreseen he is not liable for it (see The Wagon Mound...). But to demand too great precision in the test of foreseeablity would be unfair to the pursuer since the facets of misadventure are innumerable....The accident was but a variant of the foreseeable. It was, to quote the words of Denning, L.J. in Roe v. Ministry of Health "within the risk created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Assuming that the explosion occurred in the manner I have determined, what caused the can and the battery to come into contact with each other remains a mystery. It may be that when Kylie swung around on the seat to look out the back window her feet hit the can and knocked it onto the battery, but that is only speculation. When asked, she said that she has no recollection of that happening, and I believe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Whatever the cause, the can had to come into contact with both terminals of the battery at precisely the same instant! Clearly, that was a most unlikely occurrence. But the truck was left unlocked, and the possibility of the children getting into it, and perhaps playing in it, was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an aerosol can containing an inflammable substance is an obvious source of danger. That being the case, in my opinion an ordinary, reasonably careful parent, knowing that the can was under pressure would not have left it in the box in the floor in front of the passenger seat, where it could easily be disturbed. The danger the aerosol can presented was compounded by leaving, the battery adjacent to it. The unprotected battery was not only a source of electricity, capable of exploding and igniting the pressurized contents of the can, it was also capable of causing injury by itself if both of its exposed terminals were touched.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it to have been foreseeable that leaving those objects lying on the floor of the unlocked truck, where children could easily go, unattended, could result in some form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the House of Lords held in Hughes v. Lord Advocate, the fact that the accident that actually materialized was itself an "unexpected manifestation" of the danger, does not alter the fact that some form of injury was foreseeable. In my view, the accident that did occur was, in the words of Lord Denning, "within the risk created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Mr. Edwards failed in his duty to take reasonable care not to expose Kylie to unreasonable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no claim for future loss and I understand that the parties have been able to reach agreement as to the amount of Kylie's special damages. Accordingly, the only issues left to be resolved are:</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non-pecuniary damages to which Kylie is entitled; and</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if any, to be awarded under an "in trust" claim advanced with respect to the care and attention provided for Kylie by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 dispute that the fire resulted in second and third degree burns to Kylie's face, neck, back, right arm, right leg, and right foot, extending, in all, over 14% to 20% (the extent differs from one report to another) of her total body surface. Nor is it disputed that her injuries have resulted in some permanent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Kylie also experienced emotional trauma as a consequence of the accident, and her general enjoyment of life has been adversely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Following the fire, Kylie was taken immediately to the Mission Memorial Hospital where she was found to have suffered 2nd and 3rd degree burns to her trunk and extremities. After assessment and stabilization, she was transferred by ambulance to the Vancouver General Hospital. There, a physical examination revealed that she was in "moderate distress" suffering from 2nd degree burns to the right side of her face and indeterminate thickness burns on her right arm, shoulder, right leg and on her back. It was noted at that time that several areas of Kylie's body had been spared because she was wearing a wet bathing suit when the fire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Kylie was then admitted to the Burn Unit where, over the next six weeks she received "routine burn wound care" consisting of daily burn baths and the application of special dressings. When it became evident that some of her burns were "full thickness" she had to twice undergo operations for debridement and skin grafting.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Vancouver General Hospital Discharge Summary, dated July 5, 1995. It is recorded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did well in hospital, with excellent take of her skin grafts. The donor sites healed well. Her only complication in hospital was a urinary tract infection which was treated with oral antibiotics.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was discharged home with all of her wounds closed and with her donor sites healed. She will be followed up weekly in the Burn Unit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 report letter dated October 24, 1997, Dr. Charles Snelling, a specialist in plastic and reconstructive surgery, advised that he first saw Kylie at the Burn Follow-up Clinic on July 12, 1995. On August 14, 1995 he observed a thick band of scar tissue over the Achilles tendon on her right ankle which required "further" Jobst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 letter to Dr. T. Konkin, Kylie's family doctor, dated August 14, 1995, Dr. Snelling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girl has freshly grafted burns to both shoulders and her right leg and ankle. She is in compression garments. The burn scars are still quite red and active.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general progress is good. She will require compression garments to her burns for at least one year and possibly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June 6, 1996, Dr. Snelling wrote again to Dr. Konkin, this time advising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[Kylie] was seen on June 05, 1996. She still has hypertophic active scars on her lower left leg, right arm and hand. She has some keloid or hypertophic scar on her back. She must continue with the Jobst compression. Some duoderm has been started to the thickened area on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 letter to Dr. Konkin dated August 21, 1996, Dr. Snelling advised that Kylie continued to have a lot of thick scars on her ankles and on her back, and that she was being fitted for new Jobst compression garments.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January 13, 1997, Dr. Snelling advised Dr. Konkin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[Kylie] still has some thickened scars on the lower posterior right calf. She will require Jobst compression for this. She has hypertrophic scarring over both posterior shoulders. The margins of these are still red and will respond to compression. She could stop the compression on her right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delayed activity remaining in some of her scars peripheral to the skin grafts is not unexpected due to her age. She will be seen again in two months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So far as the evidence discloses, Kylie only attended the Burn Follow-up Clinic one more time. In his report dated October 24, 1997, after reporting the results of the January 8, 1997 examination and that Kylie had been fitted with a new Jobst compression vest and sock, Dr. Snelling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reviewed by the occupational therapist on March 12, 1997 to have her Jobst compression garments adjusted and altered. A record of our Burn Follow-up Clinic does not reveal that she's been in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to the clinical records and medical report, a number of photographs were filed in evidence which graphically portray the extent of Kylie's injuries and something of the medical treatment she received. They also convey an impression of the pain and suffering she had to endure.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seems that no further medical treatment is required but, as noted above, Kylie has been left with some permanent scarring. Fortunately, the scars are located, for the most part, on areas of her body normally covered by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Kylie was able to return to school in the fall of 1995, and her subsequent school reports show that her overall performance, including the level of her participation in physical education classes, was not seriously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However, I accept Kylie's testimony, together with that of her mother, Tammy Fox-Charlie, as to the emotional impact the accident and the resulting injuries had upon her. On occasion, other children asked questions, or made comments, that upset her, and at times she experienced depression. As a related factor, she gained a lot of weight, and that, too, lowered her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Admitted into evidence by consent are two reports prepared by Dean Rachey, the Fraser Valley Rehabilitation Coordinator. In the first of those reports, dated January 22, 1996, Mr. Rachey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Tammy (sic) is having an extremely difficult time, emotionally, trying to cope with the changes in her life since the accident. She is subjected to teasing at school and she suffers from depression. Arlene Elliot, R.C.C. is providing counselling to both Kylie and Tammy....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Kylie is capable of handling all of her own personal care requirements with the assistance of Tammy. I do not anticipate this situation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 follow-up report, dated August 19, 1996, Mr. Rachey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information we have on file, it would appear that Kylie is still in need of ongoing therapy and this will be reviewed in October 1996. Kylie has had a difficult time dealing with the physical and emotional changes caused by the severity of her burns. The teasing at school has apparently decreased and her spirits are 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And finally, in a document dated March 27, 1997, and entitled "Transfer Memo to File", Mr. Rachey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Kylie was receiving counselling from Arlene Elliott up until November of 1996. There is a report from Mrs. Elliott and she states that Kylie has stabilized as a result of the therapy and that, for the time being, she no longer requires counselling (sic). It is her opinion that Kylie may require additional counselling (sic) once she reaches her teen years or if she requires further surgery but that she is managing well at the moment.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discussed the reports (sic) finding with Tammy Fox (mother of Kylie) and she acknowledged that Kylie was managing without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think it reasonable to conclude that the psychological impact of the scars that Kylie will bear for the rest of her life will never entirely leave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provided me with several helpful authorities showing a range of non-pecuniary damage awards in burn cases from $25,000.00 to $170,000.00. Each case is, of course, specific to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circumstances of this case I find that Kylie is entitled to an award of $85,000.00 for non-pecuniary damages for pain, suffering, disfigurement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Kylie also seeks an "in trust" award for the care her mother has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Following the accident, Mrs. Fox-Charlie spent time at the hospital, sometimes staying overnight. After Kylie was discharged, she applied the tensor bandages that had to be used to cover the burn sites until the compression garments were ready. For a while Kylie was unable to walk alone, so her mother had to help her walk and use a wheel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Fox-Charlie also drove Kylie to and from her appointments at the Follow-up Clinic and accompanied her to her counselling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1995, before the accident, Mrs. Fox-Charlie started a catering business. After the accident she gave up that business and until sometime in 1998 worked part-time as the manager of a small restaurant. In 1998 she was able returned to her catering business, and since then its revenue has steadily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Mrs. Fox-Charlie says, and I accept, that she had to temporarily put aside her catering business in order to care for Kylie. Had that not been necessary, her business would likely have developed earlier than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submits that an "in trust" award in the range of $25,000.00 to $30,000.00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principles governing an award of this nature are set out in Krocker v. Jansen </w:t>
      </w:r>
      <w:hyperlink r:id="rId147"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and discussed in cases such as Wu v. Hai Young Enterprises Ltd. </w:t>
      </w:r>
      <w:hyperlink r:id="rId148" w:history="1">
        <w:r>
          <w:rPr>
            <w:rFonts w:ascii="arial" w:eastAsia="arial" w:hAnsi="arial" w:cs="arial"/>
            <w:i/>
            <w:color w:val="0077CC"/>
            <w:sz w:val="20"/>
            <w:u w:val="single"/>
            <w:shd w:val="clear" w:color="auto" w:fill="FFFFFF"/>
            <w:lang w:val="en-US" w:eastAsia="en-US" w:bidi="ar-SA"/>
          </w:rPr>
          <w:t>[1997] B.C.J. No. 767</w:t>
        </w:r>
      </w:hyperlink>
      <w:r>
        <w:rPr>
          <w:rFonts w:ascii="arial" w:eastAsia="arial" w:hAnsi="arial" w:cs="arial"/>
          <w:color w:val="000000"/>
          <w:sz w:val="20"/>
          <w:lang w:val="en-US" w:eastAsia="en-US" w:bidi="ar-SA"/>
        </w:rPr>
        <w:t xml:space="preserve"> (S.C.) and Anderson v. Miner, </w:t>
      </w:r>
      <w:hyperlink r:id="rId149" w:history="1">
        <w:r>
          <w:rPr>
            <w:rFonts w:ascii="arial" w:eastAsia="arial" w:hAnsi="arial" w:cs="arial"/>
            <w:i/>
            <w:color w:val="0077CC"/>
            <w:sz w:val="20"/>
            <w:u w:val="single"/>
            <w:shd w:val="clear" w:color="auto" w:fill="FFFFFF"/>
            <w:lang w:val="en-US" w:eastAsia="en-US" w:bidi="ar-SA"/>
          </w:rPr>
          <w:t>[1997] B.C.J. No. 437</w:t>
        </w:r>
      </w:hyperlink>
      <w:r>
        <w:rPr>
          <w:rFonts w:ascii="arial" w:eastAsia="arial" w:hAnsi="arial" w:cs="arial"/>
          <w:color w:val="000000"/>
          <w:sz w:val="20"/>
          <w:lang w:val="en-US" w:eastAsia="en-US" w:bidi="ar-SA"/>
        </w:rPr>
        <w:t>, [1997] CanRepBC (S.C.) Vancouver Docket No. B941480.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I am satisfied that an award is just, I cannot accept the plaintiff's suggestion as to an appropriate amount. Much of what Mrs. Fox-Charlie did one would expect a mother to do without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evidence, I accept the defendant's submission and find that an award calculated at the rate of $500.00 per month for a period of 12 months is appropriate, and I award the sum of $6,000.00 in trust in respect of Mrs. Fox-Charlies'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and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Unless counsel wish to address the issue, the plaintiff is entitled to her cost on scale 3, as well as Court Order Interest at Registrar's rates on the amount of the "in 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Gemini Helicopters Inc. v. Cappsco International Corp., [2008] B.C.J. No. 1963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S053964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1963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172 A.C.W.S. (3d) 334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Gemini Helicopters Inc., Rilpa Enterprises Ltd., and Centurian Helicopters Ltd., Plaintiffs, and Cappsco International Corp., Cappsco International Inc., and Pro-Tech Aviation Limited, Defendants, and McGowan Aviation Consulting Limited and William R. McGowan,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 xml:space="preserve">Civil litigation — Civil procedure — Discovery — Examination for discovery — Persons who may be examined — Subsequent examination — Production and inspection of documents — Privileged documents — Relevancy — Application by defendant for production of personnel files of three employees who worked on a helicopter powerplant immediately prior to accident, answers to outstanding requests, disclosure of the independent adjuster's file and for leave to examine new representative for plaintiff — Plaintiff sued defendants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servicing plaintiff's helicopter that crashed — Defendants had examined plaintiff's representative who had no personal knowledge of operational issues — Application allowed in part — Plaintiff to provide other representative who was more knowledgeable — Employment information sought was relevant — Adjuster's file not privileged.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6"/>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Cappsco International for production of employment records and personnel files of three employees that had worked on a helicopter powerplant in the period immediately prior to the accident, answers to the outstanding requests from the examination of Roch Dallaire, disclosure of the independent adjuster's file and for leave to examine Christian Dallaire as the plaintiff's representative. The plaintiff Gemini Helicopters operated a helicopter that involved in a fatal crash due to its powerplant not operating. Cappsco had conducted a major overhaul on the aircraft. The plaintiffs sought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of the defendants in the overhaul and installation of the powerplant. The defendants examined Roch Dallaire on behalf of Gemini. Roch, however, had no personal knowledge many operational issues could not answer numerous questions. A further examination was ordered on the basis of deficiencies in Roch Dallaire's evidence. The defendants now sought to examine Christian Dallaire, who was Director of Maintenance at the time of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5"/>
            <w:bookmarkEnd w:id="48"/>
            <w:r>
              <w:rPr>
                <w:rFonts w:ascii="arial" w:eastAsia="arial" w:hAnsi="arial" w:cs="arial"/>
                <w:color w:val="000000"/>
                <w:sz w:val="20"/>
                <w:lang w:val="en-US" w:eastAsia="en-US" w:bidi="ar-SA"/>
              </w:rPr>
              <w:t>HELD: Motion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Gemini was to produce Christian Dallaire for discovery. The responses given by Roch Dallaire were significantly deficient and the interests of justice favoured an examination of a more knowledgeable party. The bulk of the outstanding requests concerned matters which might well be within the knowledge of Christian Dallaire. This aspect of the application was thus adjourned. Any documentation relating to the work history, experience and expertise of those who worked on the powerplant prior to the accident was relevant and should be produced together with any documentation specifically linking them or any of them to the repair or maintenance of the helicopter. The independent adjuster's file material, together with all reports was to be produced in its entirety. The plaintiffs had not established that the documentation was prepared for the dominate purpose of obtaining legal advise or conducting or aiding in the conduct of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4"/>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1(5), Rule 27(5)(c)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6"/>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Silva.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R.F. Hungerford and M. Gallagher.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1"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MASTER P. KEIGHLEY"/>
            <w:bookmarkEnd w:id="52"/>
            <w:r>
              <w:rPr>
                <w:rFonts w:ascii="arial" w:eastAsia="arial" w:hAnsi="arial" w:cs="arial"/>
                <w:b/>
                <w:color w:val="000000"/>
                <w:sz w:val="30"/>
                <w:lang w:val="en-US" w:eastAsia="en-US" w:bidi="ar-SA"/>
              </w:rPr>
              <w:t>MASTER P.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17, 2003, a Bell 204B helicopter, operated by the Plaintiff Gemini Helicopters Inc., ("Gemini") and owned by the plaintiffs Rilpa Enterprises Ltd. and Centurian Helicopters Ltd., departed a staging area near Bonaparte Lake, British Columbia, on the first fire suppression mission of the day, slinging an empty water bucket on the end of a 100 foot "longline". Shortly after lift-off, observers on the ground heard a high-pitched, oscillating sound from the aircraft's powerplant. After the helicopter had disappeared from view, the observers heard pronounced "rotor slap", followed by the sound of impact with trees and the ground. The post-impact fire destroyed much of the fuselage and some of the mechanical components. The pilot did not survive.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Subsequent investigation by the Transportation Safety Board of Canada ("TSB") led to a conclusion that the aircraft's turbine powerplant, a Honeywell (Lycoming) model T5311B, was not operating at the time of impact, as a consequence of an imbalance in the compressor rotor assembly which caused contact between rotor and stator assemblies and resulted in total engine failure. The TSB reached no conclusion as to the cause of the imbalance, but noted that, whatever the cause, the combination of altitude, terrain features and the trailing longline negatively affected the pilot's ability to effect an emergency landing in autorotation (the reduction of descent speed by controlling the pitch of the spinning, but unpowered main rotor).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mishap, the powerplant had operated for only 10.9 hours of flying time since its major overhaul by the Cappsco defendants. After the installation of the rebuilt powerplant and after only the first 50 minutes of flight operations, the pilot had declared the aircraft to be unserviceable by reason of a "buzzing" cowling and "rotor droop": the latter indicating insufficient power to lift the required loads. He ceased operations and returned to the Kamloops base. A vibration test indicated the engine was operating within allowable vibration limits and the power issue was addressed by making a small increase in the N1 takeoff trim setting. The helicopter flew for 8.8 trouble-free hours the following day and returned to the Kamloops base where it was fully refuelled. The fatal accident occurred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Under the report heading "Findings as to Risk", the TSB also noted the following as possible contributors to the accident:</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 procedures in the overhaul process were not conducted in accordance with the manufacturer's manual;</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Field adjustments to the fuel control takeoff settings might have caused the internal temperature of the turbine to exceed established limits;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placement of the external cargo release control switch might have made it more difficult for the pilot to release the bucket and perform an emergency landing;</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backup foot-pedal cargo release mechanism, although approved, would oblige the pilot to take one foot off a primary control in an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July 16, 2005, the plaintiffs commenced this action, claiming damages resulting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of the defendants in the overhaul and installation of the powerplant. The defendants, on the other hand, deny liability and allege that the accident was a result of pilot error, improper maintenance, or a combination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matter is scheduled for trial for 20 days commencing June 8, 2009 and is subject to case management pursuant to the Practice Directive dated November 20, 1998. On July 27, 2008, the case management judge, Fenlon J., made the following orders: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Cappsco defendants must make all applications for production set and heard by September 30, 2008;</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Cappsco defendants must complete all examinations for discovery of Gemini, Rilpa, and William McGowan by November 30, 2008;</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third party claims must be commenced by November 30, 2008;</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additional expert reports must be prepared and served by January 14, 2009;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expert response reports must be prepared and served by March 15,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Fenlon J. was, apparently, unavailable on the date scheduled for the hearing of this application and so it came before me. On this application, the Cappsco defendants seek the following orders: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produce to the Applicants complete and unredacted copies of all independent adjuster reports, files, statements, interview notes, audio and visual recordings, photographs and any other materials, information or documents gathered or prepared in relation to the accident which occurred on August 17, 2003 (the "Accident") and/or the Bell 204B helicopter which is the subject of this action (the "Helicopter"), since August 17, 2003;</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Gemini Helicopters Inc. ("Gemini") produce to the Applicants complete copies of all documents relating to the employment history, work experience and expertise of William R. McGowan, McGowan Aviation, Christian Dallaire and Steve Moffat including, but not limited to, employee personnel files and/or independent contractor files, accounting records relating to payment of William R. McGowan, McGowan Aviation, Christian Dallaire and Steve Moffat for their services, curriculum vitae, resumes, and certifications, designations or qualifications;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shall prepare and mail or deliver to counsel for the Applicants one certified copy of all documents relating to consulting services provided by Airworthiness Resources, Inc. to the Plaintiffs including, without limitation, all documentation, information, materials, e-mails and statements of account relating to the Plaintiffs' operation, maintenance and repair of all model 204B helicopters owned, leased and/or operated by the Plaintiffs for the period January 1, 2000 to August 17, 2003;</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shall pay the reasonable costs incidental to the production, inspection and preparation of the copies of the said information and materials upon receipt thereof;</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Examinations for Discovery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Gemini deliver to counsel for the Applicants all requests that are outstanding from the examination for discovery of Roch Dallaire dated March 12, 2008;</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to be examined on behalf of Gemini pursuant to paragraph 6 of the Order of Mr. Justice Leask dated May 26, 2008 be Christian Dallaire;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shall have their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deal with the issues in accordance with their apparent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EXAMINATION FOR DISCOVERY OF CHRISTIAN DALLAIRE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Cappsco defendants conducted an examination for discovery of Mr. Roch Dallaire, a representative of Gemini, on March 12, 2008. At the time of the accident, Roch Dallaire was the President, Chief Pilot and Operations Manager of that firm. The examination for discovery took some 3 hours and 47 minutes to conduct and consisted of 947 questions. During the course of the examination for discovery, Roch Dallaire was asked to inform himself and/or provide documentation with respect to some 85 requests, most pertaining to the maintenance of the helicopter or installation and adjustment of the powerplant. Counsel for the Cappsco defendants eventually adjourned the discovery generally after expressing concern as to whether Roch Dallaire was the appropriate party to be examined on behalf of Gemini.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May 26, 2008, an application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adjourn the trial of the matter then scheduled to begin on June 9, 2008, came before Leask J., who granted the adjournment, with costs thrown away to the plaintiffs. The transcript of Leask J.'s decision was not before me, but an unentered draft of his order was. That order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of this Action set to commence on June 9, 2008 be adjourned to June 8, 2009 and set for 20 days;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Cappsco Defendants pay the costs of the Plaintiffs thrown away as a result of the adjournment forthwith, upon either agreement by counsel as to the quantum of costs or, if necessary, following a reference to the Registrar to assess costs;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Cappsco Defendants be at liberty to examine William R. McGowan pursuant to Rule 28 on oath at a time, place and date to be agreed upon or appointed on the matters in question in this Action;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William R. McGowan and/or McGowan Aviation Consulting Limited are added as Third Parties to this Action after the Rule 28 examination of Mr. McGowan referred to in Paragraph 3 of this Order, the Rule 28 examination will constitute the examination for discovery by the Cappsco Defendants and the Plaintiffs will be at liberty to conduct their own examination for discovery of the Third Parties.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Cappsco Defendants shall pay Mr. McGowan's reasonable solicitors' costs of this application and attendance on the above examination under Rule 28.</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representative of the Plaintiff, Gemini Helicopters Inc., shall attend a second examination for discovery to be conducted by the Cappsco Defendants.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Kim Mizera of the Plaintiff, Rilpa Enterprises Ltd., shall attend an examination for discovery to be conducted by the Cappsco Defendants in Calgary, Alberta within three months of this Order. If the witness does not make himself available for examination for discovery within three months, the Cappsco Defendants shall be entitled to conduct the examination for discovery in Vancouver, B.C.</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relief sought in paragraphs 1-8 and 11-18 of the Amended Notice of Motion dated April 30, 2008 be adjourned generally.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DIRECTS that:</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parties cannot agree upon the representative to be examined on behalf of Gemini Helicopters Inc. pursuant to paragraph 5 [sic] of this Order, the parties or either of them may return to the Court for further direction.</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McGowan and/or McGowan Aviation Consulting Limited are added as Third Parties to this Action, the Cappsco Defendants may recover the costs referred to in paragraph 5 of this Order if successful in prosecuting all Third Party claims against Mr. McGowan and/or McGowan Aviation Consulting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light of this order, I am not obliged to consider whether a further examination for discovery is appropriate. Leask, J. has already resolved that issue. The general rule is that a party will not be allowed to examine a second representative under Rule 27(5)(c) unless they are able to show that the desired information cannot be obtained through the first representative from his own knowledge or by informing himself: </w:t>
      </w:r>
      <w:r>
        <w:rPr>
          <w:rFonts w:ascii="arial" w:eastAsia="arial" w:hAnsi="arial" w:cs="arial"/>
          <w:b/>
          <w:i/>
          <w:color w:val="000000"/>
          <w:sz w:val="20"/>
          <w:lang w:val="en-US" w:eastAsia="en-US" w:bidi="ar-SA"/>
        </w:rPr>
        <w:t>Privest Properties Ltd. v. W.R. Grace &amp; Co. of Canada</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[1992] B.C.J. No. 1225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An examining party seeking to examine a </w:t>
      </w:r>
      <w:r>
        <w:rPr>
          <w:rFonts w:ascii="arial" w:eastAsia="arial" w:hAnsi="arial" w:cs="arial"/>
          <w:i/>
          <w:color w:val="000000"/>
          <w:sz w:val="20"/>
          <w:lang w:val="en-US" w:eastAsia="en-US" w:bidi="ar-SA"/>
        </w:rPr>
        <w:t>second</w:t>
      </w:r>
      <w:r>
        <w:rPr>
          <w:rFonts w:ascii="arial" w:eastAsia="arial" w:hAnsi="arial" w:cs="arial"/>
          <w:color w:val="000000"/>
          <w:sz w:val="20"/>
          <w:lang w:val="en-US" w:eastAsia="en-US" w:bidi="ar-SA"/>
        </w:rPr>
        <w:t xml:space="preserve"> representative, however, must show that questions remain unanswered, that answers were incomplete, unresponsive or ambiguous, or that follow-up questions were not answered in a clear, complete and responsive way: </w:t>
      </w:r>
      <w:r>
        <w:rPr>
          <w:rFonts w:ascii="arial" w:eastAsia="arial" w:hAnsi="arial" w:cs="arial"/>
          <w:b/>
          <w:i/>
          <w:color w:val="000000"/>
          <w:sz w:val="20"/>
          <w:lang w:val="en-US" w:eastAsia="en-US" w:bidi="ar-SA"/>
        </w:rPr>
        <w:t>Westcoast Transmission Co. v. Interprovincial Steel and Pipe Corp.</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[1984] B.C.J. No. 2742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Leask J. apparently reached the conclusion that Roch Dallaire could not satisfactorily inform himself about the subject matter which the defendants seek to pursue. The question for me to determine is: Should Christian Dallaire now be examined with respect to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Cappsco defendants say that he should, on the following grounds:</w:t>
      </w:r>
      <w:r>
        <w:rPr>
          <w:rFonts w:ascii="arial" w:eastAsia="arial" w:hAnsi="arial" w:cs="arial"/>
          <w:sz w:val="20"/>
          <w:lang w:val="en-US" w:eastAsia="en-US" w:bidi="ar-SA"/>
        </w:rPr>
        <w:cr/>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evident from the discovery transcript that Roch Dallaire has no personal knowledge of many operational issues;</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Christian Dallaire, as Director of Maintenance at the material time has the best available evidence to give with respect to maintenance procedures, his observations noted at the engine teardown and regulatory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Hungerford referred me to the decision in </w:t>
      </w:r>
      <w:r>
        <w:rPr>
          <w:rFonts w:ascii="arial" w:eastAsia="arial" w:hAnsi="arial" w:cs="arial"/>
          <w:b/>
          <w:i/>
          <w:color w:val="000000"/>
          <w:sz w:val="20"/>
          <w:lang w:val="en-US" w:eastAsia="en-US" w:bidi="ar-SA"/>
        </w:rPr>
        <w:t>Morrison (Knudsen) Co. v. British Columbia Hydro and Power Authority</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[1970] B.C.J. No. 536</w:t>
        </w:r>
      </w:hyperlink>
      <w:r>
        <w:rPr>
          <w:rFonts w:ascii="arial" w:eastAsia="arial" w:hAnsi="arial" w:cs="arial"/>
          <w:color w:val="000000"/>
          <w:sz w:val="20"/>
          <w:lang w:val="en-US" w:eastAsia="en-US" w:bidi="ar-SA"/>
        </w:rPr>
        <w:t xml:space="preserve"> (B.C.C.A.) and particularly the comments of Davey C.J.B.C., as he then was, at para.13, where the Learned Chief Justice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Cases may arise in which, rather than sending an officer of the company back to fully inform himself by inquiry from other agents or officers of the company about the subject of his examination, another officer should be examined. It would be desirable to do that, I should think, in the case of an automobile accident where a bus driver was charged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 was suggested that the managing director of the company should go back to the bus driver and get a report from the bus driver of what happened and then give that through discovery. There I think the most convenient way and practical way would be to have the bus driver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is a case, says Mr. Hungerford, in which the interests of justice, the legitimate goals or objectives of discovery, as well as the objects of Rule 1(5), "cry out" for an examination of the "bus driver". I agree. It makes little sense, the order for a further examination having been made, to require Roch Dallaire to inform himself of circumstances which are in the direct knowledge of Christian Dallaire, given the apparent expertise of the latter and the subtlety of the issues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note that generally, prior to the conduct of examinations, the choice of the appropriate party to be examined is with the examining party: </w:t>
      </w:r>
      <w:r>
        <w:rPr>
          <w:rFonts w:ascii="arial" w:eastAsia="arial" w:hAnsi="arial" w:cs="arial"/>
          <w:b/>
          <w:i/>
          <w:color w:val="000000"/>
          <w:sz w:val="20"/>
          <w:lang w:val="en-US" w:eastAsia="en-US" w:bidi="ar-SA"/>
        </w:rPr>
        <w:t>British Columbia Lightweight Aggregate Ltd. v. Canada Cement Lafarge Ltd. (No. 2)</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[1978] B.C.J. No. 10</w:t>
        </w:r>
      </w:hyperlink>
      <w:r>
        <w:rPr>
          <w:rFonts w:ascii="arial" w:eastAsia="arial" w:hAnsi="arial" w:cs="arial"/>
          <w:color w:val="000000"/>
          <w:sz w:val="20"/>
          <w:lang w:val="en-US" w:eastAsia="en-US" w:bidi="ar-SA"/>
        </w:rPr>
        <w:t xml:space="preserve">. It seems to me a sensible interpretation of Leask J.'s order to be that a further examination having been ordered on the basis of deficiencies in Roch Dallaire's evidence, the choice of representative is the defendants' to make unless I am convinced that "overwhelming prejudice" to the plaintiffs will result (see </w:t>
      </w:r>
      <w:r>
        <w:rPr>
          <w:rFonts w:ascii="arial" w:eastAsia="arial" w:hAnsi="arial" w:cs="arial"/>
          <w:b/>
          <w:i/>
          <w:color w:val="000000"/>
          <w:sz w:val="20"/>
          <w:lang w:val="en-US" w:eastAsia="en-US" w:bidi="ar-SA"/>
        </w:rPr>
        <w:t>MacDonald v. Roth</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[2000] B.C.J. No. 2309</w:t>
        </w:r>
      </w:hyperlink>
      <w:r>
        <w:rPr>
          <w:rFonts w:ascii="arial" w:eastAsia="arial" w:hAnsi="arial" w:cs="arial"/>
          <w:color w:val="000000"/>
          <w:sz w:val="20"/>
          <w:lang w:val="en-US" w:eastAsia="en-US" w:bidi="ar-SA"/>
        </w:rPr>
        <w:t xml:space="preserve"> (S.C.) with respect to the latter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say that the Cappsco defendants had every opportunity to request an examination of Christian Dallaire at the outset: that he was identified as "Director of Maintenance" in their list of documents and that the defendants should be bound by their choice. A review of the transcript does indicate, however, that the responses given by Roch Dallaire were significantly deficient and the interests of justice favour an examination of a more knowledgeable party. Any issue of prejudice which may result from this may be addressed by costs. I was not referred to, nor do I note, any other issues of prejudice which might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I will order that the plaintiff Gemini produce Christian Dallaire for discovery at a time, place and date to be arranged between the parties concerned. I note that by the terms of Fenlon J.'s order of June 27, 2008, that examination must be completed by November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RESPONSES TO OUTSTANDING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Cappsco defendants say that of the 85 requests for information made of Roch Dallaire at his discovery, a number of requests remain unanswered or insufficiently answered. The outstanding inquiries, or requests for documentations, they say, are as follows: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Production of information and documents relating to services provided by Airway and Mr. Gemini.</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list of employees who have worked at or for Gemini in 2003, their position or title, and a brief description of their responsibilities.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whether outside audits were preformed by Airworthiness Resources or any other company in 2003.</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full address of Airworthiness Resources.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what years Airworthiness Resources provided services to Gemini.</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if any consulting report was done on the maintenance of the helicopter at any time.</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if any of Air Dallaire's employees have had communications with Airworthiness Resources in the three years pre-accident and one year post-accident.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if any gauges have been calibrated since Air Dallaire [sic] purchased the helicopter.</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 any documents showing what work each individual preformed and the time spent on each individual piece of work.</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whether Roch Dallaire agrees with this statement "The power plant [sic] was operating at 1.4 per cent before the calculated M1 squared RPM required, and N1 takeoff trim adjustment of 3/8th of a turn was required to increase N1 to the calculated figure".</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if Roch Dallaire believes that the following statement is correct "Maintenance logs or personal notes did not record any results to verify the N1 topping speed after the engine was installed into the helicopter before or after the N1 adjustments".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what Christian Dallaire told the TSB about this accident and produce anything he gave to the TSB in writing; determine what conversations Christian Dallaire had with the TSB representative regarding the draft report in this accident.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at what time of day the increase in the N1 takeoff trim was made and what instrument was used to increase it; determine if any notes were made by the engineers in this regard.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where in the documents it shows that testing was done after the N1 takeoff trim setting increase.</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what the maintenance policy was regarding the N1 takeoff trim.</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if Roch Dallaire has a copy of any internal documentation dealing with the crash.</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if Mr. Tkach did any practice auto rotations with the pilot of the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say that they have responded completely and appropriately to the outstanding requests and that some requests were made not at discovery, but have been made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seems that the bulk of the requests concern matters which may well be within the knowledge of Christian Dallaire who will now be examined for discovery as a representative of Gemini. It seems appropriate, as a result, to adjourn this aspect of the application generally to allow these issues to be canvassed with him. If deficiencies in production or information remain thereafter, those issues may be addressed on a renewed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PRODUCTION OF AIRWORTHINESS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Cappsco defendants say that Airworthiness Resources Corporation provided quality assurance advice and/or services to Gemini in relation to its maintenance procedures and also assisted Gemini in investigating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Gemini says that it has forwarded an authorization, prepared by counsel for the Cappsco defendants, to Airworthiness and has followed up. Counsel for the plaintiffs has deposed that he has been advised by a representative of Airworthiness that Airworthiness has no documents in relation to its dealings with Gemini; that the majority of information was conveyed verbally and that a written report was never requested. The Airworthiness representative has also advised that the firm destroys records after 2 years. Gemini has no documents within its possession, power and control, says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these circumstances, this aspect of the application is also adjourned generally. Again, this issue may be canvassed at the examination of Christian Dallaire and, if not resolved, may be the subject of a renewed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FILE MATERIALS RELATING TO WORK HISTORY, WORK EXPERIENCE AND EXPERTISE OF WILLIAM R. McGOWAN, McGOWAN AVIATION, CHRISTIAN DALLAIRE and STEVE MOFFAT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testimony of Roch Dallaire at his examination for discovery indicated that these three individuals and the McGowan firm worked on the powerplant in the period immediately prior to the accident. The Cappsco defendants seek the documents referred to in the notice of motion as being relevant according to the criteria established by the decision in </w:t>
      </w:r>
      <w:r>
        <w:rPr>
          <w:rFonts w:ascii="arial" w:eastAsia="arial" w:hAnsi="arial" w:cs="arial"/>
          <w:b/>
          <w:i/>
          <w:color w:val="000000"/>
          <w:sz w:val="20"/>
          <w:lang w:val="en-US" w:eastAsia="en-US" w:bidi="ar-SA"/>
        </w:rPr>
        <w:t>Compagnie Financiere et Commercial Du Pacifique v. The Peruvian Guano Company</w:t>
      </w:r>
      <w:r>
        <w:rPr>
          <w:rFonts w:ascii="arial" w:eastAsia="arial" w:hAnsi="arial" w:cs="arial"/>
          <w:color w:val="000000"/>
          <w:sz w:val="20"/>
          <w:lang w:val="en-US" w:eastAsia="en-US" w:bidi="ar-SA"/>
        </w:rPr>
        <w:t>, (1882), 11 Q.B.D. 55 (C.A.): that is that this evidence may, directly or indirectly enable them to advance their case or damage the case of their adversary or which might lead to a chain of inquiry which might have that effect. I note that while counsel have, in their submissions, addressed the issue of whether the personnel records of other employees should be produced, the motion does not specifically address that claim for relief. I will therefore only deal with those requests set forth in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Gemini says that it has produced "all relevant employee records", a response which fails to address whether it has any other records other than those produced. The Cappsco defendants have now instituted Third Party proceedings against Mr. McGowan and McGowan Aviation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maintenance of the helicopter, pleading that McGowan was a "contract employee" of Gemini. Christian Dallaire was, of course, an employee of Gemini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satisfied that any documentation relating to the work history, experience and expertise of McGowan, his company, and Christian Dallaire should be produced together with any documentation specifically linking them or any of them to the repair or maintenance of the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application is adjourned with respect to documentation sought with respect to Steve Moffat. I understand that he has not received notice of this application and should have been afforded an opportunity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DISCLOSURE OF THE INDEPENDENT ADJUSTER'S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insurers, Marsh Canada Ltd., appointed a firm of independent adjusters to investigate the circumstances of the accident and its cause. At the accident scene, the adjusters were represented by Mr. John Ward. Mr. Ward participated in the investigation of the site and disassembly of the helicopter. He also arranged for the transportation of the wreckage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his initial investigation, Mr. Ward interviewed at least three witnesses concerning their observations immediately preceding the accident. The plaintiffs have provided redacted copies of Mr. Ward's preliminary reports dated August 27, 2003 and interim reports #2, #5, dated September 7, 2003 and October 29, 2003,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Cappsco defendants say Mr. Ward also had the opportunity to review technical logbooks and manuals which are now part of the TSB file and inaccessible to them. They say that these initial interviews, observations, inspections, examinations, measurements, photographs and tests made, taken and performed by Mr. Ward will provide vital information as to the condition of the helicopter after the accident and the underlying cause. They say that Cappsco requires full and complete disclosure in order to properly defend the action and prosecute the Third Party claim and that the opinions of their experts may be impacted by the review of this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Again, by the </w:t>
      </w:r>
      <w:r>
        <w:rPr>
          <w:rFonts w:ascii="arial" w:eastAsia="arial" w:hAnsi="arial" w:cs="arial"/>
          <w:b/>
          <w:i/>
          <w:color w:val="000000"/>
          <w:sz w:val="20"/>
          <w:lang w:val="en-US" w:eastAsia="en-US" w:bidi="ar-SA"/>
        </w:rPr>
        <w:t>Peruvian Guano</w:t>
      </w:r>
      <w:r>
        <w:rPr>
          <w:rFonts w:ascii="arial" w:eastAsia="arial" w:hAnsi="arial" w:cs="arial"/>
          <w:color w:val="000000"/>
          <w:sz w:val="20"/>
          <w:lang w:val="en-US" w:eastAsia="en-US" w:bidi="ar-SA"/>
        </w:rPr>
        <w:t xml:space="preserve"> test, all documents containing information which may, directly or indirectly, enable a party to advance its own case or damage the case of an adversary, or which might lead to a chain of inquiry which might have that effect, are relevant and should be disclosed. The work product of the adjuster certainly appears relevant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Gemini, however, claims privilege with respect to the undisclosed portions of the adjuster's work. The party claiming privilege has the onus of establishing that the nature of the document and the circumstances of its creation are such that the document need not be produced: </w:t>
      </w:r>
      <w:r>
        <w:rPr>
          <w:rFonts w:ascii="arial" w:eastAsia="arial" w:hAnsi="arial" w:cs="arial"/>
          <w:b/>
          <w:i/>
          <w:color w:val="000000"/>
          <w:sz w:val="20"/>
          <w:lang w:val="en-US" w:eastAsia="en-US" w:bidi="ar-SA"/>
        </w:rPr>
        <w:t>Steeves et al v. Rapanos</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[1982] B.C.J. No. 2096</w:t>
        </w:r>
      </w:hyperlink>
      <w:r>
        <w:rPr>
          <w:rFonts w:ascii="arial" w:eastAsia="arial" w:hAnsi="arial" w:cs="arial"/>
          <w:color w:val="000000"/>
          <w:sz w:val="20"/>
          <w:lang w:val="en-US" w:eastAsia="en-US" w:bidi="ar-SA"/>
        </w:rPr>
        <w:t xml:space="preserve"> (CA). The material in support of the claim of privilege must be clear and unambiguous: </w:t>
      </w:r>
      <w:r>
        <w:rPr>
          <w:rFonts w:ascii="arial" w:eastAsia="arial" w:hAnsi="arial" w:cs="arial"/>
          <w:b/>
          <w:i/>
          <w:color w:val="000000"/>
          <w:sz w:val="20"/>
          <w:lang w:val="en-US" w:eastAsia="en-US" w:bidi="ar-SA"/>
        </w:rPr>
        <w:t>Montgomery v. B.C. Railway Co.</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[1982] B.C.J. No. 533</w:t>
        </w:r>
      </w:hyperlink>
      <w:r>
        <w:rPr>
          <w:rFonts w:ascii="arial" w:eastAsia="arial" w:hAnsi="arial" w:cs="arial"/>
          <w:color w:val="000000"/>
          <w:sz w:val="20"/>
          <w:lang w:val="en-US" w:eastAsia="en-US" w:bidi="ar-SA"/>
        </w:rPr>
        <w:t xml:space="preserve"> (CA). The decision in </w:t>
      </w:r>
      <w:r>
        <w:rPr>
          <w:rFonts w:ascii="arial" w:eastAsia="arial" w:hAnsi="arial" w:cs="arial"/>
          <w:b/>
          <w:i/>
          <w:color w:val="000000"/>
          <w:sz w:val="20"/>
          <w:lang w:val="en-US" w:eastAsia="en-US" w:bidi="ar-SA"/>
        </w:rPr>
        <w:t>Hamalainen (Committee of) v. Sippola</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[1991] B.C.J. No. 3614</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1991 CanLII 440</w:t>
        </w:r>
      </w:hyperlink>
      <w:r>
        <w:rPr>
          <w:rFonts w:ascii="arial" w:eastAsia="arial" w:hAnsi="arial" w:cs="arial"/>
          <w:color w:val="000000"/>
          <w:sz w:val="20"/>
          <w:lang w:val="en-US" w:eastAsia="en-US" w:bidi="ar-SA"/>
        </w:rPr>
        <w:t xml:space="preserve"> (B.C.C.A.) establishes that material in support of the claim for privilege must allow the determination of two issues:</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litigation in prospect at the time the document was produced, and, if so</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dominant purpose for its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only evidence with respect to the claim for privilege is found in the affidavit of Kim A. Wigmore, a lawyer with the firm representing the plaintiffs. Mr. Wigmore deposes as follows: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advised by John Ward of Pacific, and verily believe it to be true, that Pacific was retained by our clients and their Insurers to begin preparing reports and statements in preparation for litigation immediately upon the date of the loss; August 17, 2003, and that Pacific prepared their first report on August 27, 2003. Attached as Exhibit "J" to this Affidavit is a true copy of Pacific's August 27 report, which report was produced as document #580 in our client's initial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fact, the exhibited copy is not a true copy of the report. Portions have been redacted either by the author or counsel for the plaintiffs. Mr. Wigmore goes on to say:</w:t>
      </w:r>
      <w:r>
        <w:rPr>
          <w:rFonts w:ascii="arial" w:eastAsia="arial" w:hAnsi="arial" w:cs="arial"/>
          <w:sz w:val="20"/>
          <w:lang w:val="en-US" w:eastAsia="en-US" w:bidi="ar-SA"/>
        </w:rPr>
        <w:cr/>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of 2003, our clients retained Patrick Saul of Alexander, Holburn, Beaudin &amp; Lang LLP as legal counsel to prepare and prosecute this action. I have reviewed Mr. Saul's file materials and can confirm that Mr. Saul was retained on October 23, 2003, that he contacted Dave Rupert, an expert retained by the Plaintiffs in this matter, on October 23, 2003, and had spoken with John Ward by October 31, 2003. Mr. Saul's file materials further indicate that he was considering the "basis of claim" immediately upon his retainer on October 23, 2003, that he took immediate steps to research websites and complete corporate searches respecting Pro-Tech Aviation and Cappsco, was considering liability issues and a claim for lost revenue on November 6, 2003, referred to Pro-Tech and Cappsco as "potential defendants" on November 7, 2003, and continued to regularly communicate with both Rupert and Ward from October, 2003 through November of that year.</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Saul acted to advance the claim against the Defendants until this file was transferred to our office in June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Thiara v. Potrebenko</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[1991] B.C.J. No. 2368</w:t>
        </w:r>
      </w:hyperlink>
      <w:r>
        <w:rPr>
          <w:rFonts w:ascii="arial" w:eastAsia="arial" w:hAnsi="arial" w:cs="arial"/>
          <w:color w:val="000000"/>
          <w:sz w:val="20"/>
          <w:lang w:val="en-US" w:eastAsia="en-US" w:bidi="ar-SA"/>
        </w:rPr>
        <w:t xml:space="preserve"> (S.C.) it was held that an insurance adjuster's "bald assertion" that statements were obtained solely for the purpose of instructing counsel in anticipation of impending litigation did not discharge the onus on the party asserting privilege. Here, Mr. Wigmore's evidence is really no more than such a bald assertion. Statements given by Mr. Wigmore on the basis of information and belief and based on a review of another lawyer's file fall short, to my mind of determining whether the documentation prepared by Mr. Ward was prepared for the dominate purpose of obtaining legal advise or conducting or aiding in the conduct of litigation. Accordingly, the independent adjuster's file material, together with all reports will be produced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the parties are unable to agree as to the issue of costs, they may arrange to make further submissions, perhaps by teleconference.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Gordon v. Krieg, [2013] B.C.J. No. 1002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10-14, 17-21, 24-28, October 1-5, 9-12,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10-14, 2012; February 4-5, and 7-8,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42218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842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R.P.R. (5th) 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228 A.C.W.S. (3d) 576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1319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Ann Gordon, Plaintiff, and William Krieg, Kathleen Anne Krieg, Wolfram Oscar Krieg, Norwich Real Estate Services Inc., David Kilby, Craig Rodney Hostland R 340 Enterprises Ltd. dba Pillar to Post, R 340 Enterprises Ltd., Caire Fillon and A-1 Appraisals Ltd., Defendants, and David Kilby, Craig Rodney Hostland R 340 Enterprises Ltd. dba Pillar to Post, R 340 Enterprises Ltd., Wolfram Oscar Krieg and Norwich Real Estate Services Inc., Third Parties, and Interior Testing Services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Contracts — Terms — Express terms — Exclusion clauses — Liability for breach — Action for damages for negligent misrepresentation and breach of contract allowed in part — Plaintiff sued vendors, their realtor and home inspector for damages resulting from settling of home — At time of purchase, slope in floor and foundation cracks were visible — Inspector liable for breach of contract and negligent misrepresentation — He failed to advise plaintiff of potential structural problems with house and to consult a specialist — Plaintiff was 25 per cent negligent for not taking further steps to investigate the sloping floors — Limiting clause in contract applied limiting damages to cost of contract of $408.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Misrepresentation — Negligent misrepresentation — Quality defects — Patent — Action for damages for negligent misrepresentation against vendors dismissed — Plaintiff sued for damages resulting from settling of home — At time of purchase, slope in floor and foundation cracks were visible — Vendors' statements made in the property disclosure statement were representations only and did not amount to a vendor's warranty — The defects were not latent and triggered an obligation to have that defect inspected by a qualified person.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Real estate agents and brokers — Liability — Types of — Breach of duties of disclosure — Action by purchaser for breach of duty pf care against vendors' realtor dismissed — Plaintiff alleged realtor had duty to disclosure to her his knowledge about potential structural defects wit home — Vendors' realtor owed no duty of care to the plaintiff — He acted solely as the vendor's agent and was required to act solely in the interests of his client.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7"/>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negligent misrepresentation, breach of duty of care and breach of contract. The plaintiff purchased a home in 2006 from the defendant Krieg. Before closing, the plaintiff had hired the defendant Kilby, a home inspector, to advise her as to the qualities of the house. The house had settled significantly by that time and various adjustments and accommodations for settlement present in the house were made in the four years immediately following its construction. Kilby told the plaintiff that he had looked for more cracks in the foundation wall but had not found any and that the foundation was, therefore, solid, that she could have someone come to look at the sloping floor in the master bedroom but that he felt that the slope was not related to the foundation. He also advised her that repairs to the house would not cost more than $500. Satisfied with the inspector's report, the plaintiff completed her purchase. About half a year later, she learned that the foundation in one corner of the building had settled so that floor joists had pulled away from the sill plate on the foundation's top surface. The plaintiff commenced the present action against the vendors, the home inspector and the vendors' real estate agent. In addition to claims relating to the property, the plaintiff sought damages for emotional distress, loss of income, loss of business assets, and loss of income from room rentals she expected to receive by letting out bedrooms to college students.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6"/>
            <w:bookmarkEnd w:id="55"/>
            <w:r>
              <w:rPr>
                <w:rFonts w:ascii="arial" w:eastAsia="arial" w:hAnsi="arial" w:cs="arial"/>
                <w:color w:val="000000"/>
                <w:sz w:val="20"/>
                <w:lang w:val="en-US" w:eastAsia="en-US" w:bidi="ar-SA"/>
              </w:rPr>
              <w:t>HELD: Action allowed against Kilby only.</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foundation was now in a reasonably steady state. Whatever movement the foundation had in the past, that movement never rendered the house uninhabitable or unsafe for ordinary use and occupation. The claim against the vendors for negligent misrepresentation based on the statements made in the property disclosure statement was dismissed. The statements made in the property disclosure statement were representations only and did not amount to a vendor's warranty. The defects were not latent as the slope in the floor was clearly visible as were the numerous cracks in the foundation walls. The fact that the floors were sloped was an observable defect that triggered an obligation to have that defect inspected by a qualified person. The vendors' realtor owed no duty of care to the plaintiff. He acted solely as the vendor's agent and was required to act solely in the interests of his client. To impose a duty of care on the realtor towards the plaintiff would have the practical effect of imposing dual agency on parties who had specifically contracted for sole agency and thus place the agent in a conflict of interest. Kilby was liable for breach of contract and negligent misrepresentation. He breached the inspection contract by failing to advise the plaintiff that because there could be structural problems with the house, she should consult a structural engineer or a renovation contractor. The statements in the inspection report constituted negligent misrepresentation. Kilby's bad advice did not, however, obviate the plaintiff's obligation to take reasonable care for her own financial well-being. By not taking further steps to investigate the sloping floors, the plaintiff was 25 per cent negligent. The plaintiff was also bound by the contract's limited liability clause which restricted damages to the price of the contract. The plaintiff was thus entitled to judgment to 75 per cent of $408.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Counsel_7"/>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R.M. Moffat.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 Krieg and K.A. Krieg: W.C. Shields.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W.O. Krieg and Norwich Real Estate Services Inc.: S.G.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D. Kilby, C.R. Hostland R 340 Enterprises Ltd. dba Pillar to Post and R 340 Enterprises Ltd.: T.H.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5"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P. ROGERS J."/>
            <w:bookmarkEnd w:id="58"/>
            <w:r>
              <w:rPr>
                <w:rFonts w:ascii="arial" w:eastAsia="arial" w:hAnsi="arial" w:cs="arial"/>
                <w:b/>
                <w:color w:val="000000"/>
                <w:sz w:val="30"/>
                <w:lang w:val="en-US" w:eastAsia="en-US" w:bidi="ar-SA"/>
              </w:rPr>
              <w:t>P. 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After 26 years of living on her own in rented accommodation, Ms. Gordon decided to buy a house. With the help of her real estate agent, she found a house that she liked. She made an offer to buy the house. The vendor accepted the offer. Shortly after the vendor accepted her offer, Ms. Gordon hired a house inspector to advise her as to the qualities of the house. Satisfied with the inspector's report, Ms. Gordon completed her purchase. About half a year later, Ms. Gordon learned that the foundation in one corner of the building had settled so that floor joists had pulled away from the sill plate on the foundation's top surface. Dismayed by this development, Ms. Gordon sued William and Kathleen Krieg who sold her the house, the vendors' real estate agent Wolfram Krieg and the brokerage through which he conducted his business, the house inspector Mr. Kilby and his employer, and several other entities who in the past had something to do with the construction and inspection of the house. Ms. Gordon has settled her claims against those other entities and has taken her claims against the vendor, real estate agent, and house inspector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trial, the liability issues boiled down to whether William and Kathleen Krieg had negligently misrepresented the condition of the house, whether Wolfram Krieg had owed and breached a duty of care to Ms. Gordon, and, finally, whether the house inspector had breached his contract with Ms. Gordon or had negligently misrepresented its condition to Ms. Gordon. If Mr. Kilby had breached the contract or acted negligently, the question then becomes whether Ms. Gordon was bound by a contractual clause which limits the inspector's liability to the price of the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addition to claims relating to the property, Ms. Gordon advanced a claim for emotional distress, loss of income, loss of business assets, and loss of income from room rentals she expected to receive by letting out bedrooms to college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at trial issued third party notices claiming contribution and indemnity from one another and from other named and unnamed entities who they say caused or contributed to Ms. Gordon's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contested the quantum of Ms. Gordon's claim. The issues there were whether future movement of the foundation would be such that comprehensive and very expensive steps need to be taken to prevent all further movement of the foundation, or whether future movement would be so slight as to permit relatively less expensive repairs. The defendants argued that Ms. Gordon's loss must be the lesser of the diminution of the value of the house due to settlement or the cost of repair. In either case, they say that Ms. Gordon's damages are comfortably less than $100,000. Ms. Gordon, on the other hand, says that her damages are in the $500,000 to $600,000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all material times, Mr. Kilby was acting in his capacity as a home inspector for R 340 Enterprises Ltd. doing business as Pillar to Post ("PTP"), and at all material times Wolfram Krieg was acting in his capacity as a real estate agent under the direction of Norwich Real Estate Services Inc. Those corporate entities are vicariously liable for any liability that may be found against Messrs. Krieg or Kilby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Some facts in this case are in dispute, others are not. Where there is a conflict in the evidence on a significant point I will resolve that conflict in this section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1990: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house in question is located in Kelowna B.C. Its address is 1156 Cerise Drive and it is located on Lot 4 of the original subdivision plan. The property developer was Knorr Construction and the house was built in 1989 or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house is a rancher-style single-storey dwelling built over a crawl space. The house faces north with its long axis running generally east-west. The living room is in the north-east corner, the dining room is on the eastern most wall, the kitchen and family room are in the northeast corner. A bedroom lies on the south wall between the family room and the master bedroom. The master bedroom has an ensuite bathroom. The ensuite lies in the southwest corner of the house. A third bedroom is located on the northwest corner of the house. The crawl space extends under the full width and breadth of the habitable portions of the house. The crawl space is approximately four feet high and is unfinished except for a floor of thin concrete. The foundation walls mark the perimeter of the house. The foundation wall is topped by a sill plate. The floor joists were nailed to the sill plate. As originally built, the interior of the house was supported by two east-west load-bearing walls, one under the living room floor and another much longer wall running under the middle of the house's long axis. The builder poured a slab of concrete adjacent to the north-western corner of the house and constructed a two-car garage over the slab. The garage is attached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July and December 1989 the soil of Lot 4 was tested for suitability for development. The testing and the subsequent analysis were carried out by the structural engineer Norman Williams of the firm Interior Testing Services Ltd. Mr. Williams advised the property developer that the soil under Lot 4 was significantly looser than the soils of nearby properties. Mr. Williams recommended three options for building a house on Lot 4. The first option was to remove the loose soil and replace it with compacted layers of new soil. The second option was to sink vertical support piles into the soil and to attach the house's foundation to the piles. The third option was to remove fill under the footing walls to a depth of two feet, to replace that fill with compacted layers on which the foundation footings would be placed, and then to use sufficient steel re-enforcing bars in the foundation walls so that the walls would resist significant cracking in the event of loss of soil support. For each construction method Mr. Williams recommended that the soils under the house be protected from water penetration. In that regard, Mr. Williams recommended that the water from the roof drains be directed away to the sides of the lot, that the lot's landscaping be sloped away from the building's walls, and that care be taken to prevent irrigation water from approaching the foundation. Mr. Williams opined that if one of the three site preparation and construction methods he recommended were employed, and the water control precautions were taken, settlement issues under the house would be limited to an acceptable degree and would not cause significant foundation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New-house foundations are expected to settle on the order of an inch or so. By making the recommendations that he did, Mr. Williams clearly anticipated that if a house was built on Lot 4, it would settle more than the expected one inch and that its foundation could well crack as a result of such settlement. He also anticipated that if the site was prepared and the house was built in one of the three ways he recommended, the house settlement, while being in excess of one inch, would remain within acceptable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trial, the geotechnical engineer Mr. Smith testified as to his understanding of the documents concerning the construction of the house which were prepared by Interior Testing and by Mr. Williams. Mr. Smith said that according to those documents, Mr. Williams certified that the soils for the footings had been properly prepared, i.e.: that the soil under the footings had been excavated to a depth of two feet and replaced with compacted fill upon which the footings were placed. In the course of cross-examination, PTP's counsel Mr. Pettit suggested to Mr. Smith that Mr. William's documents indicated that only one foot of soil beneath the foundation had been excavated and compacted. When that proposition was put to Mr. Smith, he agreed that compacting soil one foot below the footings was less optimal than compacting two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Close examination of Mr. Williams' record reveals that it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Contractor was instructed to dig footing an additional 1' and compact base of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interpret that to mean that the contractor was told to excavate three feet beneath the footing. The premise for Mr. Smith's criticism of the contractor's work is, therefore,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Smith did say that he agreed with the proposition that of the three solutions that Mr. Williams proposed, the property's developer chose the least expensive and highest risk option. Mr. Smith went on to say that while the foundation walls had been built with reinforcing steel, the walls were obviously not strong enough to resist failure when they lost the support of the soil beneath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day that the house was finished, the foundation walls were, presumably, level.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1990 - 1994: Mr. Zarr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Zarr bought the house shortly after it was built. That was in 1990. Mr. Zarr has a background in the house construction industry; he had worked in house framing and construction for a year and a half and then as a drywaller for the next nineteen years. After leaving the drywalling business, Mr. Zarr began his own business delivering water to drilling rigs in Alberta. Mr. Zarr was 82 years old when 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Zarr said that during the first year or so of ownership, he noticed cracks in the drywall on the walls of the main and the ensuite bathrooms. He also noticed that the kitchen floor had a bow in it. Mr. Zarr testified that after he brought those defects to the builder's attention, the builder had the drywall repaired and that the builder made a sort of bracket out of 2x6s which he placed under the joists of the kitchen floor. According to Mr. Zarr, the kitchen floor was fine after that and no more cracks appeared in the drywall.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Zarr did some construction work on the property. He built a set of shelves along the western inside wall of the garage and enclosed those shelves with framing and drywall. Mr. Zarr and a friend also built a detached garage on the property. The detached garage is located on the north-eastern corner of the lot. According to Mr. Zarr, it took about two weeks for him and his friend to build the garage. The floor of the detached garage is concrete slab and the building is finished in the same fashion as the exterior of the house proper. Although it is a garage by design, the building has been used primarily as a shop for doing hobbies or for storing surplus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Zarr further testified that he extended the roof downspouts away from the side of the house. There are several downspouts on the house; Mr. Zarr did not specify which spouts he extended. According to the geotechnical engineer Mr. Smith, in July 2007 the downspouts at the east and west sides of the house disappeared into the ground adjacent to the foundation walls. I accept Mr. Smith's evidence concerning those downspouts and I conclude from it that Mr. Zarr did not extend the downspouts that drained into the ground adjacent to the east and west sides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Zarr lived in the house until 1994. In February of that year he sold the house to the defendants Mr. and Mrs. Krieg. After selling the house on Cerise Drive, Mr. Zarr went on to act as the general contractor on the construction of a new house in a different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Zarr denied that he had ever noticed that the floors of the master bedroom and ensuite were sloped. Mr. Zarr also denied that he or someone on his behalf had constructed additional temporary supporting walls in the crawl space or that they applied shims to fill a gap between the floor joists and the foundation sill plate in the southwest corner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William Krieg testified that shortly after he moved into the house he noticed that temporary supporting walls had been constructed in the crawl space. He and his sister-in-law Ms. Fedoriw told the court that sometime in 1994 they both saw that a support wall had been built in the south-west portion of the crawl space, directly under the ensuite bathroom floor. The bottoms of the 2x4 vertical support beams of this wall where shimmed with wedges of wood. Ms. Fedoriw noticed that one of the beams was nevertheless hanging loose. According to Ms. Fedoriw, the floors of the master bedroom and the ensuite bathroom were sloped. Mr. Krieg acknowledged that Ms. Fedoriw told him that the floors were sloped. He testified that he was not troubled by her advice; the floors in that area of the house seemed fine to him. Wolfram Krieg acted as the realtor when Mr. Zarr sold the house to the Kriegs, and when he toured the house before listing it, he also noticed that the floor in the master bedroom was definitely slanted.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state of the house when the Kriegs bought it in 1994 is a point of import in this case. If by then the foundation of the house had already settled to such a degree that a support wall had to be put up in the crawl space and the floors of the master bedroom and ensuite were sloped, an inference could be drawn that some if not most of the foundation settlement had already occurred by the time that the Kriegs bought the house. If that is so, the amount of further settlement might be minimal. If, on the other hand, the house was in perfect condition when the Kriegs bought it, an inference could be drawn that the settlement that it displayed when the plaintiff took possession in 2006 was a recent and ongoing phenomenon. In that case, additional significant settlement might be expected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on this issue I am persuaded by the evidence of Ms. Fedoriw and Wolfram Krieg. I accept Ms. Fedoriw's testimony that she noticed sloped floors when she first stepped into the master bedroom in 1994 and that she saw the temporary support wall in the crawl space below the ensuite and master bedroom floor. I also accept her evidence that she saw one of the vertical posts in that support wall hanging loose; i.e.: not actually weight bearing. Wolfram Krieg's evidence was likewise clear and uncomplicated. I find William Krieg's evidence on this point less convincing -- he was, in my view, a suggestible and not entirely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accept Mr. Zarr's evidence that he was unaware of sloping floors and the support walls in the crawl space. Given Mr. Zarr's previous experience in the construction industry, particularly his having worked as a house framer, I find it is more likely than not that sometime between 1990 and 1994 Mr. Zarr noticed that the floors in the south-west corner of the house were sloping. I find that Mr. Zarr either had Knorr return to the property and build the supporting wall under the ensuite or that he used his own imperfect carpentry skills to shore up the floor by building that temporary support wall himself. Mr. Zarr was likely confused about that wall -- he thought that it was put under the kitchen floor, but the evidence showed that no support wall was constructed there. Mr. Zarr is an elderly man -- it is likely that his memory of having this work done has faded. I find that his evidence on this point is unreliable rather than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additional support for my conclusion that the house settled significantly in its first few years in the evidence of the geotechnical engineer Mr. David Smith. He opined that newly constructed buildings typically experience "immediate" settlement, immediate meaning within the first year or so after completion. He also opined that it was unlikely that the house did not settle at all as he understood Mr. Zarr's story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these reasons I also find that in addition to the support wall in the crawl space, the various other adjustments and accommodations for settlement present in the house were made in the four years immediately following its construction. Those adjustments included moving baseboards, repositioning striker plates on door jambs, shaving the tops of doors so they would fit into out-of-square openings, and applying patching compound to the interior of a crack in the western foundation wall.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1994 - 2006: William and Kathleen Krieg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their stay in the house, the Kriegs were not bothered by the sloping floors of the master bedroom and ensuite bathroom. Their lack of concern flowed in part from the fact that they did not actually use those rooms themselves -- they saved that part of the house for guests like Ms. Fedoriw -- and in part from their simply becoming used to the slope of those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early 2006 the Kriegs had to make a hard choice about where they were to live for the rest of their lives. That choice was driven by their need to provide care for their disabled daughter. The Kriegs were aging -- by then they were in their early 80's -- and their daughter, who cannot care for herself, was in her late 40's. The Kriegs knew that as they grew older they would be less and less able to look after their child. No one in their family, all of whom lived in Winnipeg, Manitoba, was willing to come to Kelowna to help them out. In the result, the Kriegs decided to sell their house on Cerise Drive and to move to Winnipeg. In Winnipeg they would be close to family and their daughter's care would be assured.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this point it is useful to note that Kathleen Krieg has suffered a severe stroke. She was not able to testify at the trial. The Kriegs' daughter was not able to testify either. In the result, at trial William Krieg spoke for the family. William Krieg's evidence was, as noted earlier, not particularly reliable. He was a suggestible witness. He tended to agree with whatever proposition was put to him in direct and cross-examination. Further, he is elderly and has suffered a stroke himself. His memory has been affected by age and ill-health. For these reasons I am cautious about accepting William Krieg's evidence except where it was corroborated by another's testimony or by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William Krieg retained Wolfram Krieg to act as the listing agent for the sale of the house on Cerise Drive. In early March William Krieg and his wife and assistant Julie Krieg visited Cerise Drive. Their purpose was to tour the house, to take measurements, and to make observations useful to preparation of the listing. Both Wolfram and Julie Krieg testified that they noticed that the floors in the house were definitely slanted. I accept their testimony. Because the crawl space was not habitable, neither Wolfram nor Julie went down there to look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William Krieg stipulated that the house be listed for an asking price of $419,800 and that the listing period be only three months rather than the usual six. William Krieg signed three documents presented to him by Wolfram Krieg. He signed a document entitled "Working with a Realtor". That document specified that Wolfram Krieg was his exclusive agent for the sale of the house during the listing period and that Wolfram Krieg would act for him only. William Krieg signed a listing agreement setting the asking price and listing period. Finally, William Krieg filled out and signed a property disclosure statement (the "P.D.S."). The P.D.S. stipulated, among other things, that William Krieg was not aware of any structural defects in the house. It also stipulated that he had a duty to amend the P.D.S. in the event that he became aware of changes that would render the P.D.S.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During the first two weeks that the house was on the market, no one showed interest in it. Wolfram Krieg met with William Krieg to talk about reducing the price. William Krieg agreed to lower his asking price by $20,000. On March 20, 2006 he signed an amendment to the listing agreement stipulating that the new asking price was $399,800.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the price was lowered, people started coming to view the house. No one made an offer though. That was because the property suffered from two drawbacks. The first was that it had virtually no back yard. The second was that the floors in the master bedroom and the ensuite were noticeably slanted. Negative comments to that effect were communicated by realtors to Julie Krieg. One of those realtors, Ms. Gurnsey, gave evidence to the effect that she recalls noticing that the floors in the house were sloped. Her practice was to provide feedback of that sort to the listing realtor and that she had no reason to believe that she had not done so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Around the end of March or the beginning of April 2006, Wolfram Krieg spoke to William Krieg about the difficulties that they were encountering in their effort to sell the house. Wolfram Krieg told William Krieg that people were complaining about the sloping floors. At that point in time, neither Wolfram Krieg nor William Krieg felt that the sloping floors were anything other than a cosmetic defect. That is because, so far as they could tell, the floors did not affect the habitability of the house and they did not present a safety hazard. As noted earlier, Wolfram Krieg saw that the floors were sloped when he listed the house for Mr. Zarr in 1993 and to his eye they were sloped to the same degree when he saw the house again in 2006. Nevertheless, in order to help make the house more attractive to potential purchasers, William Krieg advised Wolfram Krieg that he would contact a contractor to see what could be done to fix the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April 7, 2006, William Krieg telephoned the Kelowna office of Team Foundation Systems Ltd. I cannot rely too much on William Krieg's evidence relating to his interactions with Team Foundation personnel. I do accept the evidence of Ms. Brown, Team Foundation's receptionist, Mr. McKinney, Team's estimator, and Mr. Wilson, Team's principal. According to their evidence, and confirmed by the notes that each made in the course of their dealings with William Krieg, on April 7, 2006, he told Ms. Brown that the foundation of his house had cracked and that the house had settled. He wanted Team to come by to give him an estimate of the cost of repair. Mr. McKinney attended at the house and walked around, through, and under the house. Outside, he observed cracks in the foundation. Inside the crawl space he saw two substantial cracks in the foundation. On the main floor he saw that the interior doors were sticking in their jambs and that the floor in the master bedroom had a noticeable and substantial slope to it. Describing the slope, Mr. McKinney said that a tall lamp on a bedside table in the master bedroom was leaning like the Tower of Pisa. William Krieg was about to leave for a two-week stay in Winnipeg, and Mr. McKinney agreed to provide him with an estimate of the work needed to correct the problems with the house after he returned from his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McKinney visited the house again while the Kriegs were out of town. Mr. Wilson went with him on that occasion. They walked around the exterior of the house but did not go inside. They observed two cracks in the foundation, one of which was approximately 1/4 inch wide. It was obvious to both gentlemen that the house had settled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McKinney then prepared an estimate for the cost of repairing the house. Mr. Wilson vetted his work to make sure that it would be a good forecast of the cost of fixing the problems. At this point, neither Mr. McKinney nor Mr. Wilson could say why the foundation had cracked and the house settled, but loss of soil support in the southwest corner seemed to them to be a logical suspect cause. They did not know whether the house had reached a steady state or whether the settlement process was ongoing. The estimate that they prepared for the Kriegs contemplated the installation of twelve helical piles driven into the soil adjacent to the existing foundation, raising the foundation with jacks, and attaching the foundation to the piles. Team estimated the cost of the work at $33,829 exclusive of fees for necessary geotechnical and structural engineering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April 27, 2006, Mr. McKinney and Mr. Wilson met with the Kriegs at the house on Cerise Drive. Mr. Wilson walked through the interior of the house. He saw that the floor in the master bedroom was slanted and that doors were sticking in their jambs. In the crawl space, he saw at least two significant cracks in the foundation walls, one of which was about 1/4 inch wide. After touring the house, Mr. McKinney and Mr. Wilson sat down with the Kriegs at their kitchen table and discussed the repair quote. Mr. Wilson explained that the quote did not include the cost of the geotechnical and structural engineers that the Kriegs would have to retain in order to carry out the repair project. A day or so after that meeting, William Krieg telephoned Mr. McKinney and instructed him to go ahead with the project. Several days later, but before Mr. McKinney had taken any substantial steps to initiate the repair project, William Krieg called again, this time instructing Mr. McKinney to not proceed with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What happened between William Krieg's instructions to start and then to stop repairs was that he and Wolfram Krieg spoke by telephone and then met in person to discuss the problems with the house. The telephone call happened on April 27. In that call, William Krieg told Wolfram Krieg that the cost of repairing the floors would be $30,000 to $35,000. William Krieg did not tell Wolfram Krieg anything more than that. Wolfram Krieg decided to convene a meeting with the Kriegs to talk about the effect that the Team quote would have on their effort to market the property. They met at the Krieg's house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Once again, I cannot give much weight to William Krieg's recollection of that meeting. In the course of his testimony he said on the one hand that he told Wolfram Krieg that the foundation of the house was broken and that Wolfram Krieg instructed him to not make the repairs but to reduce the price of the house instead. On the other hand, under cross-examination, William Krieg admitted that he had no real recollection of his conversation with Wolfram Krieg on April 28, of what he said to Wolfram Krieg or what Wolfram Krieg said to him, or what they discussed at all. William Krieg's only clear recollection of that meeting was its outcome; that he would reduce the asking price of the house from $399,800 to $369,000. Given the frailties of William Krieg's recollection on this and other elements of the case, I find that I am not able to rely on his evidence to make findings of fact about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Julie Krieg attended the meeting at the Kriegs' house on April 28 as well. She spent her time conversing with Kathleen Krieg. Because her attention was primarily elsewhere, Julie Krieg could not add to the evidence concerning the conversation between her husband and William Krieg.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 his part, Wolfram Krieg testified that during the meeting on April 28, William Krieg confirmed that he had an estimate of $35,000 to fix the sloping floors. William Krieg did not describe the work that would be done in any detail. At this point in time, William Krieg had already made an offer on, or had actually bought, a house in Winnipeg. I find that he was therefore highly motivated to sell the Cerise Drive house so that he and his family could move ahead with their plan to relocate to Manitoba. He did not want anything to get in the way of getting a buyer for the Kelowna house. For that reason, I find that William Krieg did not tell Wolfram Krieg what work was contemplated in the Team quote. From Wolfram Krieg's perspective, then, he knew that the quote was for work of an unspecified nature which would result in the floors not being sloped any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course of their conversation at that meeting, Wolfram Krieg suggested to his client that the P.D.S. be updated to reflect the current situation. He suggested that, based on William Krieg's advice that the floors had been in a steady state for the past 10 years, the P.D.S. include a statement to the effect that the southwest corner has a slope in the floor and that it had been like that for the past 10 years, or that it was like that and did not change. William Krieg was reluctant to change the P.D.S. to include that wording. In the face of his client's recalcitrance, Wolfram Krieg telephoned his broker (i.e.: the owner of the real estate franchise through which Wolfram Krieg conducted his business) and asked for advice on whether the P.D.S. needed to be changed given the advent of the repair quote. After talking to his broker, Wolfram Krieg considered the situation. He knew about the sloped floors and he knew that they were an obvious defect in the house. He had received negative feedback from other persons about the floors, and so he knew that the state of the floor was not hidden from prospective purchasers. Wolfram Krieg did not know why the floors were sloped. He speculated that perhaps they had been built that way, given that they were in substantially the same state when he first saw the house in 1993. He advised William Krieg that because the sloping floors were clearly evident they were not a defect that required mention on the P.D.S. William Krieg was not inclined to amend the P.D.S. in any event, and so no change was made to it. The only change in the marketing of the house flowing from the April 28 meeting was William Krieg's decision to lower his asking price from $399,800 to $369,800, a drop of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 June 2006: Sale to Ms.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Gordon is a ceramic artist. Before she bought the house on Cerise Drive she had made a modest living creating wearable ceramics. She manufactured her ceramics in a small workshop that she set up in her rented suite and in a larger studio space she leased at the Rotary Center for the Arts building in downtown Kelowna. She sold her products out of her studio and home workshop and at various craft fairs to which she travelled in B.C. and Alberta. Ms. Gordon's income from her art business varied. She filed tax returns showing that her income in the period 2004 to 2006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Year</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Gross Business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Net Business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Income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Income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405"/>
        <w:gridCol w:w="2510"/>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$28,918</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$7,460</w:t>
            </w:r>
          </w:p>
        </w:tc>
        <w:tc>
          <w:tcPr>
            <w:tcW w:w="430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$28,371</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$8,199</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261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$30,416</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$11,343</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early 2006, Ms. Gordon's landlord of 26 years gave her notice that he was going to sell the house in which her two-bedroom suite was located. Coincidentally, around the same time Ms. Gordon expected to receive two inheritances. With those inheritances and her own savings, Ms. Gordon had $130,000 in cash to put down on a house. She had additional savings of $5,000 for vehicle repairs and another $25,000 that she had earmarked for renovations to create a studio in whatever house she bought. Ms. Gordon learned that she could borrow up to $230,000 for a house purchase. The most that she was willing to spend on a house without depleting her reserves was, therefore, $360,000. She did not want to buy a house that required a lot of repairs or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Gordon went about looking for a house in a methodical way. She attended a new home buyer seminar hosted by Mr. McJannet. Mr. McJannet is a mortgage broker. She received a binder at the seminar. The binder contained a section having to do with home inspections. That section recommended the Pillar to Post home inspection agency. That section was not authored by PTP. Although Ms. Gordon believes that a PTP promotional brochure was in her binder in 2006, her notes of her conversation with Mr. McJannet in 2007 clearly show that was not the case. Ms. Gordon cannot, therefore, be said to have reasonably relied on any PTP promotional material that she received at the new home buyer seminar.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Gordon's next step was to interview real estate agents. She settled on Ms. Tremeer. Ms. Gordon retained Ms. Tremeer to act as her agent for the purpose of finding and buying a house. In March and April 2006 Ms. Tremeer took Ms. Gordon to view a number of houses. None of them suited Ms.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Then, on or about May 8, 2006, Ms. Tremeer noticed that the asking price for the house on Cerise Drive had been reduced to a point just above Ms. Gordon's maximum spend. She contacted Ms. Gordon with that news. Ms. Gordon was interested in looking at the property. Ms. Tremeer and Ms. Gordon went to Cerise Drive and they visited the house. As they toured the place, Ms. Gordon noticed that the drywall tape in a corner of the ensuite bathroom wall was rippled. Ms. Tremeer noticed and remarked on unevenness of the floor in the dining room. Ms. Tremeer noticed that the floor in the master bedroom was sloping, but did not mention her observation to Ms. Gordon. Ms. Gordon felt that the house would suit her purposes because it had a detached shop and an attached two-car garage which could be suitable as a studio, as well as two bedrooms that she could rent out for extra income. Ms. Gordon and Ms. Tremeer visited the house again a few days later. On this occasion Ms. Gordon went down into the crawl space. Ms. Tremeer stayed upstairs. The crawl space was full of various items in storage. Ms. Gordon took a look at the furnace but did not make a detailed inspection of the crawl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Gordon was interested enough in the property to instruct Ms. Tremeer to write up an offer of $360,000. Ms. Tremeer drafted the offer on May 8, and Ms. Gordon signed it on May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Ms. Tremeer's advice, Ms. Gordon made her offer subject to, among other things, being satisfied by the Kriegs' P.D.S. and to her obtaining an inspection report "against any defects whose cumulative cost of repair exceeded $500 and which reasonably may adversely affect the property's use or value". The offer stipulated that the last day on which Ms. Gordon could waive the subject clauses was May 19,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Tremeer gave the offer to Wolfram Krieg and he or his wife sent the offer on to the Kriegs in Winnipeg. William Krieg telephoned Wolfram Krieg and instructed him that the Kriegs would accept the offer as presented. The Kriegs signed the offer and returned it to Wolfram Krieg.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Gordon then set about retaining a house inspector. She selected PTP. PTP is a franchise. The PTP franchisee for the Kelowna area is R 340 Enterprises Ltd. Mr. Hostland is the guiding mind of PTP's operations in Kelowna. Mr. Kilby is an employee of the franchisee. On or around May 10, Ms. Gordon called PTP's office. She spoke to Ms. Janussen. Ms. Janussen asked for some details about the house that Ms. Gordon wanted inspected and the two women discussed appointment times for the inspection. Ms. Gordon rejected that Friday afternoon and instead selected Monday, May 15, at 9 a.m. Ms. Janussen told Ms. Gordon that she would have to sign a contract and pay the inspection fee, and that she would send a copy of the contract to Ms. Gordon via Ms. Tremeer's office. On May 11, Ms. Janussen sent a promotional brochure and a quote for the inspection of $400 plus GST to Ms. Tremeer's office for delivery to Ms. Gordon. Through oversight Ms. Janussen did not include a copy of PTP's standard contract. Ms. Gordon received the promotional material and the quote from Ms. Tremeer's office later that day or the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PTP's manager and general overseer of operations, it was Mr. Hostland's duty to ensure that PTP's customers signed PTP's standard contract. On May 14, as Mr. Hostland was reviewing PTP's inspection bookings for the coming week, he realized that Ms. Gordon had an appointment for the next day but that she had not yet signed the PTP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Hostland testified that the notes he made on PTP's contact form indicate to him that he telephoned Ms. Gordon sometime in the afternoon or evening of Sunday, May 14, and that he explained to her that she would have to sign a contract with PTP before she received the results of the home inspection. He testified that only rarely does he have to contact a customer so close to the inspection date and that when he does he invariably goes over the main points of the contract with the customer while on the telephone with them. Mr. Hostland testified that his invariable practice in such situations is to tell the customer that the contract is a limited liability contract and that the limit of liability is to the fee paid for the inspection. He said that it was his practice to also point out to the customer that the inspection does not form a warranty of the home or that the house complies with relevant bylaws. He tells the customer that PTP will do a visual but not a technically thorough inspection. Mr. Hostland's purpose in following that practice is to ensure that the customer, who may not have seen the contract at that point in time, is aware that there are limits to a home inspection. Mr. Hostland's note on the contact information sheet relating to Ms. Gordon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unable to get from Marilyn. I explained the contract terms over the phone -- she will sign on site Monday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Hostland had no present recollection of speaking to Ms. Gordon on May 14, but based upon the notes that he made on the contact sheet, he believes that he followed his usual practice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Gordon denies that she had a conversation with Mr. Hostland on Sunday May 14. She denies that he told her that PTP would ask her to sign a limited liability contract or that he told her about the limits to the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view of what transpired between Ms. Gordon and Mr. Kilby on May 15, it may not matter whether Mr. Hostland did or did not speak to Ms. Gordon on May 14. For what it may be worth, I am inclined to accept Mr. Hostland's version over Ms. Gordon's. I have come to that conclusion because Mr. Hostland made a note of having had that conversation and he was not challenged by the proposition that he made the note at some other time. There are good business reasons for PTP to insist that its customers sign the PTP contract ahead of a house inspection. Those reasons include PTP's modest fee structure and its legitimate desire to limit its exposure to potentially very large claims. Mr. Hostland was therefore very well motivated to take steps to ensure that Ms. Gordon had some forewarning of the terms of the contract that she would be asked to sign and to give PTP time to call off the inspection in the event that Ms. Gordon was not willing to accept the contract terms as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Gordon, on the other hand, had many things on her mind that day. She had been in to see Ms. Tremeer and had signed a contract with Ms. Tremeer appointing her as Ms. Gordon's exclusive agent for the purchase of the house. This was an important undertaking, yet at trial Ms. Gordon had no recollection of it. It seems to me that if Ms. Gordon did not recall the meeting that actually happened with Ms. Tremeer and signing the agency contract as she no doubt did that day, it is equally likely that she had the conversation with Mr. Hostland as he described but that she simply does not remember it now. Having no memory of the conversation, and it being somewhat in her interest to deny speaking to Mr. Hostland about PTP contracts on May 14, I find that Ms. Gordon has unconsciously converted her lack of recollection into a flat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Kilby arrived at the house at 9 a.m. on May 15. Ms. Tremeer met him there and let him into the house. Mr. Kilby conducted the exterior portion of his inspection. In the course of that inspection Mr. Kilby noted, among other things, that the roof shingles were at the end of their life and that there was a large open crack in the foundation wall on the south side of the house. Mr. Kilby made this note about that crack: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Vertical shrinkage/settlement crack observed mid back. Grout to avoid moisture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Kilby then went inside the house to complete his notes concerning the exterior inspection. Then he completed his inspection of the inside of the house. In the crawl space he noted that the foundation crack he had seen outside extended all the way through the width of the foundation wall. He could not see the full length of the crack because the upper half of the wall was covered by white styrofoam insulation board. Mr. Kilby made this note concerning that crack: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Vertical stress/settlement crack mid back. No significant displacement. Grout to Avoid moisture entry. Patch spalled parging, remove where loose.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Kilby did not see the second foundation crack that both Mr. McKinney and Mr. Wilson had observed when they visited the house in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master bedroom, Mr. Kilby observed abnormal flooring. He wrote this in his report about the master bedroom floor: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Furnishings limits viewing to assess all. Uneveness observed in the floor. This may be caused by a number of issues/items that are not apparent in a visual only inspection. Further investigation may be required by others as determined by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Kilby saw the temporary support wall that had been built under the ensuite floor. He attached no significance to that wall. He thought that it may have been built in order to steady or support something heavy like a bathtub on the floor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Kilby did not move or dislodge any objects on or in the property as he performed his inspection. He did not notice the other foundation crack or cracks that were present in the crawl space and were seen by Mr. McKinney and Mr. Wilson. Mr. Kilby did not see, or if he saw he did not recognize the import of, the repositioned striker plates on door jambs, shaved doors, crooked door openings, and gaps that were present between the baseboards and the floors in the southwest corner of the house. All of these features were there to be seen and would not have required Mr. Kilby to move or reposition objects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While he was conducting his inspection, Mr. Kilby saw that another person had arrived at the house. He testified that he thought that person was doing an appraisal for mortgage financing. That person left the house before Ms. Gordon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After going through the house, Mr. Kilby retired to write his report at the computer station that he had set up in the kitchen. Ms. Gordon arrived at approximately 11:30 a.m. Mr. Kilby greeted her, they exchanged introductions and pleasantries, and they went into the kitchen. There, Mr. Kilby gave Ms. Gordon the PTP contract to read and, if she agreed to its terms, to sign. Ms. Gordon did not express any surprise at being handed a contract. Neither did she assert that, so far as she was concerned, there was no need to sign a contract because she considered the quote and promotional material she received via Ms. Tremeer's office several days earlier to be the terms of her agreement with PTP (import of this will be discussed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Kilby instructed Ms. Gordon to read the contract. She sat with the document before her for about ten minutes. According to Mr. Kilby, Ms. Gordon appeared to have read and understood the contract. According to Ms. Gordon, she had difficulty reading the contract because parts of it were in small print and she did not have her reading glasses with her. She said that she told Mr. Kilby about her needing her non-prescription reading glasses. Mr. Kilby does not recall her saying that. He went on to testify that he always has his reading glasses with him when he works on his computer and that in the past he has happily lent them to customers who say they have forgotten their glasses. Mr. Kilby testified that he would have made that same loan to Ms. Gordon had she said anything to him about not having her reading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Ms. Gordon indicated by word or gesture that she had finished reading the contract, Mr. Kilby went over its salient terms with her. Ms. Gordon recalls that Mr. Kilby told her that he was going to give her the results of a visual inspection only of the house and that the PTP report would be in two parts: the written portion contained in a binder that he would give to her, and an oral part as he and she walked through the house. Ms. Gordon did not recall anything else that Mr. Kilby told her about the contract. Mr. Kilby testified that he has a routine that he follows in every case when he explains the PTP contract to customers. Among other things, he tells the customer that the contract limits PTP's liability for mistakes to the cost of the inspection and that the inspection is a visual inspection only, that is to say he does not have x-ray vision to see through walls. Mr. Kilby remembers that after he told Ms. Gordon about the limited liability term, she said words to the effect of, "Does that mean I can't sue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Kilby and Ms. Gordon both testified that they understood that if Ms. Gordon did not sign the PTP contract, Mr. Kilby would pack up his equipment and leave. They both knew that Ms. Gordon would not receive the results of the inspection unless and until that contract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PTP contract begins with this headline: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VISUAL INSPECTION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PLEASE READ THIS AGREEMENT CAREFULLY</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THIS AGREEMENT SUPERSEDES ALL PREVIOUS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contract describes the inspection that PTP will do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Client will receive a written report of Inspector's observations of the accessible features of the Property</w:t>
      </w:r>
      <w:r>
        <w:rPr>
          <w:rFonts w:ascii="arial" w:eastAsia="arial" w:hAnsi="arial" w:cs="arial"/>
          <w:color w:val="000000"/>
          <w:sz w:val="20"/>
          <w:lang w:val="en-US" w:eastAsia="en-US" w:bidi="ar-SA"/>
        </w:rPr>
        <w:t>. Subject to the terms and conditions stated herein, the inspection includes the visual examination of the home's exterior including roof and chimney, structure, electrical, heating and cooling systems, insulation, plumbing, and interior including floors, walls, ceiling and windows; it is a reasonable effort to disclose the condition of the house based on a visual inspection. Additionally, Inspector will functionally operate major built-in appliances. Conditions beyond the scope of the inspection will not be identified. No engineering services are offered.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This Inspection Report is based on the condition of the Property existing and apparent as of the time and date of the inspection</w:t>
      </w:r>
      <w:r>
        <w:rPr>
          <w:rFonts w:ascii="arial" w:eastAsia="arial" w:hAnsi="arial" w:cs="arial"/>
          <w:color w:val="000000"/>
          <w:sz w:val="20"/>
          <w:lang w:val="en-US" w:eastAsia="en-US" w:bidi="ar-SA"/>
        </w:rPr>
        <w:t xml:space="preserve">. Not all conditions may be apparent on the inspection date due to weather conditions, inoperable systems, inaccessibility of areas of the Property, etc. Without dismantling the house or its systems, there are limitations to the inspection. Throughout any inspection, inferences are drawn which cannot be confirmed by direct observation. Clues and symptoms often do not reveal the extent or severity of problems. Therefore, the inspection and subsequent Inspection Report may help reduce the risk of purchasing the property; however, an inspection does not eliminate such risk nor does the Inspector assume such risk. While some of the less important deficiencies are addressed, an all inclusive list of minor building flaws is not provided. </w:t>
      </w:r>
      <w:r>
        <w:rPr>
          <w:rFonts w:ascii="arial" w:eastAsia="arial" w:hAnsi="arial" w:cs="arial"/>
          <w:b/>
          <w:color w:val="000000"/>
          <w:sz w:val="20"/>
          <w:lang w:val="en-US" w:eastAsia="en-US" w:bidi="ar-SA"/>
        </w:rPr>
        <w:t>Inspector is neither responsible nor liable for the non-discovery of any patent or latent defects in materials, workmanship, or other conditions of the Property, or any other problems which may occur or may become evident after the inspection time and date</w:t>
      </w:r>
      <w:r>
        <w:rPr>
          <w:rFonts w:ascii="arial" w:eastAsia="arial" w:hAnsi="arial" w:cs="arial"/>
          <w:color w:val="000000"/>
          <w:sz w:val="20"/>
          <w:lang w:val="en-US" w:eastAsia="en-US" w:bidi="ar-SA"/>
        </w:rPr>
        <w:t>. Inspector is neither an insurer nor guarantor against defects in the building and improvements, systems or components inspected. Inspector makes no warranty, express or implied, as to the fitness for use or condition of the systems or components inspected. Inspector assumes no responsibility for the cost of repairing or replacing any unreported defects or conditions, nor is Inspector responsible or liable for any future failures or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contract's limitation clause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Inspector and its employees are limited in liability to the fee paid for the inspection services and report</w:t>
      </w:r>
      <w:r>
        <w:rPr>
          <w:rFonts w:ascii="arial" w:eastAsia="arial" w:hAnsi="arial" w:cs="arial"/>
          <w:color w:val="000000"/>
          <w:sz w:val="20"/>
          <w:lang w:val="en-US" w:eastAsia="en-US" w:bidi="ar-SA"/>
        </w:rPr>
        <w:t xml:space="preserve"> in the event that Client or any third party claims that Inspector is in any way liable for negligently performing the inspection or in preparing the Inspection Report, for any breach or claim for breach of this Visual Inspection Agreement or for any other reason or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emphasized words noted above appear in the original document. The contract is printed in compact but not microscopic print. Except for the headline, which is in larger print, the contract's terms are uniformly presented to the reader. That is to say the limitation clause is not buried, or obscure, or any more or less difficult to read than any other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After signing the contract and paying PTP's fee, Mr. Kilby and Ms. Gordon walked through the house. In the crawl space, Mr. Kilby pointed out the one foundation crack that he saw. That was a crack on the south wall and somewhat west of the wall's midpoint. Mr. Kilby also pointed out the presence of efflorescence in the vicinity of the crack. He explained to Ms. Gordon that the white powdery efflorescence indicated intrusion of water or water vapour. He told her that the crack needed to be closed by grout.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According to Ms. Gordon, Mr. Kilby went on to tell her that he had not seen any other cracks in the crawl space and so there was no need to worry about the one on the south wall. Ms. Gordon also testified that she asked him whether this was a solid house and that Mr. Kilby answered "yes". Mr. Kilby denies that he said such things to Ms.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Upstairs, in the master bedroom, Mr. Kilby discussed the uneven floor with Ms. Gordon. She says that he told her that she could have someone look into it, to which she replied, "Well, I have someone right here", meaning Mr. Kilby. Ms. Gordon testified that Mr. Kilby told her that the uneven floor was not related to the foundation. Mr. Kilby does not recall discussing the uneven floor with Ms. Gordon, but says that if he did, he would not have said anything more than that she could get someone else to have a look at it. He testified that he would not have gone beyond that advice because he has no expertise in what could cause a floor to be uneven or in how such a problem might be rectified.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all, Mr. Kilby and Ms. Gordon spent 15 to 20 minutes going through the house. After their tour was over, Ms. Tremeer arrived. Ms. Gordon testified that Ms. Tremeer asked Mr. Kilby if he had noticed any items that would cost more than $500 to repair and that Mr. Kilby said no. Ms. Tremeer did not recall that conversation. Mr. Kilby testified that he did not recall being asked that question but that if it had been asked he would not have given an answer. That is because he has no expertise in the cost of fixing problems and that, in any event, the roofing was at the end of its life and repairing or replacing it would certainly have cost more than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considered the circumstances of the witnesses to the happenings in the house on May 15. For Mr. Kilby, inspecting Cerise Drive was just another inspection -- it was not substantially different than the 1,100 or so inspections that he had carried out in his career to that point. There was no reason for it to stand out in his mind. I note that in his examination for discovery, Mr. Kilby testified that he had no specific recollection of the conversations that he had with Ms. Gordon on that day. At trial, Mr. Kilby testified that after reviewing the documents relating to the case, his memory of his interactions with Ms. Gordon had improved. His memory had most improved when it came to recalling what each said to the other while they walked through the house. I am not persuaded by that explanation. It appears that the only document that Mr. Kilby could have relied upon to recover his memory is the written inspection report. That document was in front of him during the discovery. I cannot believe that he went into the discovery without first having reviewed it. I therefore have reservations about Mr. Kilby's evidence concerning his conversation with Ms. Gordon during the walk through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do, however, accept Mr. Kilby's evidence relating to his description of the terms of the contract to Ms. Gordon. That portion of their interaction was governed by Mr. Kilby's usual routine and practice. There was no reason for him to have deviated from that practice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Gordon, on the other hand, was experiencing her first house inspection. She was vitally interested in its result and, it being an unusual event for her, it is likely that she would impress memories of the event. For that reason, I find that her recollection of what she and Mr. Kilby said to each other during the walk through is more reliable than his. I find that while they were in the crawl space, Mr. Kilby did tell Ms. Gordon that he had looked for more cracks in the foundation wall but had not found any and that the foundation was, therefore, solid. I find that in the master bedroom, Mr. Kilby did advise Ms. Gordon that she could have someone come to look at the sloping floor. When she indirectly asked him for his opinion about the floor, he replied that he felt that the slope was not related to the foundation. This was, from Mr. Kilby's point of view that day, a reasonable thing to say; after all, after looking at the crawl space he thought that the foundation was solid, so why would the sloping floor be related to the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for the cost of repairs, the items on Mr. Kilby's written report that he indicated needed immediate attention were relatively minor: sealing exposed nail heads on roof flashing, installing a protective cover over low wiring, adjusting the door between the garage and house, replacing the furnace air filter, fixing loose brickwork on the exterior fascia, and grouting the one foundation crack that he noticed. The roof did not need immediate replacement. Ms. Gordon's offer to buy the house was subject to defects costing no more than $500 to repair. No person other than Mr. Kilby had gone through the house in detail. Ms. Tremeer and Ms. Gordon needed information on that point in order to assess whether to waive that subject clause. It was therefore not unexpected and entirely reasonable for Ms. Tremeer to have asked Mr. Kilby at the end of the inspection whether he had seen defects the repair of which would cost more than $500. Given the relatively minor defects Mr. Kilby noted in his report, I find that it is more likely than not that Mr. Kilby gave an off-the-cuff reply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the inspection was finished and Mr. Kilby had left the property, Ms. Tremeer and Ms. Gordon considered whether to waive the offer's inspection subject clause. Ms. Gordon felt that the inspection had gone well. She decided to waive the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May 16 Ms. Gordon met with Ms. Tremeer. They went over the Kriegs' P.D.S. Ms. Tremeer's testified that she understood that the P.D.S. was important.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anything more about your discussion with Miss Gordon about that document or what was on that document?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yes we went through it line by line, we read every line.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did you choose to do that as a realtor?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it is what we go by, it is the realtor's bible. Its, that's what the seller says is in the house, that's what the seller warrants the state of the house is in to the new buyer, so it is very important that we be happy with every one of his lines.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Tremeer did not say that she told Ms. Gordon that the P.D.S. was in fact the Kriegs' warranty as to the state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For Ms. Gordon's part, when the Kriegs' counsel Mr. Shields pointed out that the P.D.S. indicated that Mr. Krieg was not aware of any structural defects in the house, Ms. Gordon said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essence where box number H is checked off, you didn't really rely upon that, what the vendor had put in there, did you? You were satisfied, based upon what Mr. Kilby had told you, that information, and that is what you relied upon, you didn't rely upon the property disclosure statement, did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relied on what Mr. Kilby had told me and on the property disclosure statement. Mr. Kilby had told me that there wasn't anything to worry about and this is confirmed here that Mr. and Mrs. Krieg did not know of any structural problems. If they had known of anything they were required to tell me about it. And they didn't.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May 16, 2006 Ms. Gordon waived all of the subject clauses to her offer to purchase the house. The transaction closed and Ms. Gordon took possession on June 15,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June 2006 - Present: Ms.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first, Ms. Gordon was pleased with her new house. By September 2006 she had found renters for each of the two spare bedrooms in the house. Each renter paid Ms. Gordon $450 per month. However, she soon began to notice that some things were amiss. She saw that the doors in the master bedroom and ensuite were did not sit squarely in their frames. She discovered that the floor of the master bedroom was sloped. She saw that there were gaps between the baseboards and the floors in the master bedroom and the ensuite. There was a 1/4" gap between the wall and the floor by the shower stall in the ensuite. These things did not overly concern Ms. Gordon. Ms. Gordon offered no explanation for why it was that she noticed these aspects of the house only after moving in and not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January 2007, however, Ms. Gordon's satisfaction with the house was shaken. That came about when one of her friends came for a visit. Her friend went down into the crawl space and happened to notice light coming in from above the foundation wall. She pulled out a piece of fibreglass insulation that was resting between the ends of the floor joists in the southwest area of the crawl space. With the insulation removed Ms. Gordon's friend saw that the ends of the floor joists were suspended above the sill plate on the top of the foundation wall. She pointed this out to Ms. Gordon. Ms. Gordon became concerned and unhappy. Ms. Gordon called PTP and had Mr. Kilby and Mr. Hostland over to have a look at the foundation. In the course of their visits, Messrs. Kilby and Hostland removed more of the fibreglass insulation that was packed between the joist ends. They discovered that the southwest corner of the building was not resting on the foundation. It was, in fact, being held up by the walls and roof of the house. How long the joists had been suspended in the air was then and is now not known. However, it was clear that at some point in the past someone had used pieces of lumber and applications of grout in an effort to close the gap between the joists and the sill plate. Mr. Kilby and Mr. Hostland also observed foundation wall cracks in addition to the crack that Mr. Kilby noticed in May 2006. These were the cracks that Messrs. Wilson and McKinney had seen in April 2006. These additional cracks clearly indicated that the southwest corner of the foundation had settled and was lying below its original elevation.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Notwithstanding her knowledge that the house's foundation had cracked and settled, Ms. Gordon decided to press on with her plan to renovate the attached garage. She wanted to turn that space into a studio where she could make her ceramic art pieces. Ms. Gordon's desire for a home-based studio was spurred by the fact that her lease at the Rotary Center for the Arts would expire in September 2007. Ms. Gordon retained Mr. Budd. Mr. Budd operates a renovation contracting business. Mr. Budd had seen the cracked and settled foundation earlier in 2007 but his knowledge of that problem did not prevent him from accepting Ms. Gordon's retainer to do a $22,000 renovation of the attached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Budd started work on the renovation in March 2007. He did two or three day's work but then became concerned that perhaps the wall of the garage was being affected by settlement as well. He advised Ms. Gordon that if he continued on and completed the job, there was a possibility that some of his work would have to be removed in order to fix what he thought to be a settlement problem in the garage. Under cross-examination by Mr. Pettit, Ms. Gordon admitted that she could have chosen to rough in a studio in the garage. That would have entailed insulating the street-side wall, bringing in water and drainage, and putting down appropriate flooring. She rejected that notion though, saying that a roughed in studio would not be an appropriate space for her to create her ceramic art. Mr. Budd testified that a studio could have been roughed into the garage space at a cost of several thousand dollars less than the original contract price of $22,000.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Ms. Gordon's lease at the arts center expired she ousted one of her tenants and moved her studio equipment into the vacated bedroom. She testified that since September 2007, she has been foregoing rent of $500 per month because she had to use that bedroom to store her studio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July 2007, on instruction from the plaintiff, Mr. Howard Johnson surveyed the foundation. He did not measure the tops of the foundation walls because they were difficult to access. Instead, Mr. Johnson surveyed various points on the footings on which the foundation walls rested and the corresponding undersides of the floor joists where they intersected the foundation walls. Mr. Johnson assumed that the foundation footings and walls respectively were roughly uniform in height. That assumption was not proven to be true - - in fact, Mr. Johnson himself testified that the elevation of the footings could vary by up to one inch and that the elevation of the top of the foundation wall could vary due to trowelling and construction practice. Mr. Johnson testified that some builders are simply not very particular about how level they make their foundation footings.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Subject to whatever variances may have been present in the foundation footings and walls, Mr. Johnson's survey revealed that the southwest corner of the foundation was approximately six inches below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Johnson charged Ms. Gordon $300 for his survey. Mr. Johnson testified that he could have done another survey later. A second survey, separated by one, two, three, or -- even better -- four years, would have provided empirical evidence of whether the foundation has continued to sink or whether it has reached a steady state. The evidence was quite clear that Ms. Gordon could have afforded a second survey. She offered no explanation for not ordering one. This is odd, given that a central issue in this case is whether the foundation will be subject to significant further settlement. Evidence that settlement is a present and ongoing process would tend to show that further settlement may be significant. Evidence that settlement is static would tend to show that any further sinking will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November 2008, Ms. Gordon hired Mr. Johnson to shore up the southwest corner of the building. Mr. Johnson and his crew used a jack to lift and level the floors of the master bedroom and ensuite. They then rebuilt the supporting pony wall under those floors. The crew also manufactured long shims which they placed between the sill plate on the top of the foundation wall and the ends of the floor joists. When their work was done, the floors were level and the house's structure was resting as it should on its foundation. Mr. Johnson charged Ms. Gordon $408 for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August 2007, Ms. Gordon took employment at a machine shop. She worked there until she was laid off in November 2008. Unfortunately, her work at the machine shop caused Ms. Gordon a repetitive strain injury to her wrists. She has not fully recovered from that injury. After the machine shop, Ms. Gordon worked for a short time as a sales clerk at a dress shop. In the spring of 2009, Ms. Gordon started full-time work as a clerk at a bulk food store. Her income from her employment has been uniformly greater than her income from her ceramic art. Counsel asked Ms. Gordon why she took employment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2007 you went out and got paid employment.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knew that this lawsuit was gonna be costing massive amounts of money that I didn't have and I had, um, in order to obtain some more credit so I could borrow some money for paying for the, uh, engineers and legal fees and everything I needed to arrange a large line of credit and in order to do that I needed to have, uh, have a regular source of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Gordon's output of ceramic art has, since 2007, been virtually nil. Despite this, she still keeps her art supplies in one of the house's bedrooms. Ms. Gordon thus foregoes the $500 per month rent that she could get for that room if it were empty and if she kept her supplies elsewhere, such as her attached garage or detached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Gordon has, in fact, borrowed money to fund her lawsuit against the defendants. Her borrowings to date are on the order of $80,000. The total amount of interest and premiums she has paid for life insurance against her borrowings to December 31, 2011 is $9,890.88. Ms. Gordon has paid an additional $3,600 interest from then to September 1, 2012. Her interest payments continue at about $400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Gordon claims special damages as follows: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value of building permit for garage to studio conversion: $36.75</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Irrigation Repair: $222.54</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Drainpipe extensions: $14.11 and $2.29</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Renovation fees thrown away paid to Mr. Budd: $2,120.00</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Stabilization fee paid to Mr. Johnson: $408.00</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and over the counter medications: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These items were noted in Exhibit 18. The other items in Exhibit 18 (excepting interest payments and bank charges) are litigation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Gordon complains that her emotional wellbeing has been damaged by her experience with the house. In support of her claim for damages for emotional upset, Ms. Gordon submitted two reports from her family physician Dr. Crittenden. Those reports indicate that it was in October 2009 that Ms. Gordon made her first complaint of emotional upset relating to the house. Her complaints since then have been an amalgam of unhappiness and stress relating to the state of the house itself, litigation over the house, her financial circumstances, and her work environment. Dr. Crittenden diagnosed Ms. Gordon as suffering from a degree of depression and anxiety. He prescribed a course of the tranquillizer Ativan.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trial, Ms. Gordon presented with a noticeably flat affect. She was clearly unhappy with her situation. Ms. Gordon's primary complaint, though, had to do with her finances. She was very unhappy at having incurred approximately $80,000 of debt in order to fund her litigation. She has been able to pay only the interest on her debt and does not know how, other than through success in this suit, she can pay off the principal of that debt. Ms. Gordon was also manifestly unhappy about her work situation. She testified that she felt frustrated and has been occasionally driven to tears by having to adhere to her employer's schedule whereas in the past her work as an artisan allowed her ample flexibility. For example, on one occasion Ms. Gordon wished to go to a badminton tournament but her employer refused to give her time off from her job. Before taking up wage employment, Ms. Gordon could have simply shuttered her studio for a week or so and attended the tournament. Ms. Gordon's evidence made it clear that she is deeply rankled by the loss of her independence.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Foundation Settlement: Present and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Gordon maintains that she has seen signs in the house that indicate to her that it is still settling. Ms. Gordon also relied on observations by the structural engineer Mr. Frie to support her admittedly lay opinion. Mr. Frie tendered an expert report which addressed, among other things, whether settlement was an ongoing issue. Mr. Frie opined that settlement was ongoing. He based his opinion on a number of observations that he made about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regret that I cannot rely on Mr. Frie's report. I have come to that conclusion due to a number of flaws that appear in his several reports and because of the way that those reports were generated. As to the latter, under cross-examination Mr. Frie admitted that Ms. Gordon's counsel Mr. Moffat drafted the report for him. Mr. Frie has basically adopted Mr. Moffat's writing as his own. That the report was produced this way diminished my confidence that Mr. Frie has expressed his own unbiased views. It suggests that Mr. Frie has, instead, unconsciously allowed himself to be an advocate for Ms.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to the errors in his report, on some general matters Mr. Frie was simply wrong. For example, Mr. Frie asserted, incorrectly, that the detached shop was part of the original construction of the house. For another example: in his June 6, 2012 report, Mr. Frie quoted Mr. Smith's April 1, 2011 report as saying "Under the garage (detached garage) a geotextile was placed over the excavated surface and approximately 1.2 m of fill was placed in lifts and compacted". In his report, Mr. Smith had, in fact, attributed the geotextile fabric to the attached garage, not the detached garage. Mr. Frie admitted that he had deliberately added the words "detached garage", thus purposefully misquoting Mr. Smith. The difference matters; Mr. Frie was of the view that the detached shop is more stable than the attached garage. Attributing the geotextile fabric to the detached shop would tend to bolster his opinion. Attributing the fabric to the attached garage would tend to undermine Mr. Frie's opinion that the attached garage is settling along with the house. Mr. Frie could offer no explanation for having made this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More specifically, to support his opinion that foundation settlement is a present and ongoing process Mr. Frie relied upon his interpretation of various photographs of the house and on his memory of what he saw and when. Under cross-examination, Mr. Frie admitted that in many cases he was either mistaken or that he had forgotten the state of the house when he first viewed it. For example, based on photographs of a pile of loose bricks by the front door, Mr. Frie asserted that between 2007 and 2011 the front of the house sank. Mr. Frie admitted that a loose pile of bricks by the front door is a poor indicator of anything and that they do not prove anything beyond the fact that they were at the front of the house. Further, Mr. Frie asserted that a crack in the cement slab outside of the detached shop first appeared between 2011 and 2012, thus providing a clear and unequivocal indication that the ground around the detached shop was in the process of moving. On the strength this observation, Mr. Frie confirmed his opinion that the ground around the house was actively settling. Mr. Frie was, however, forced to admit that very same crack had, in fact, been there in 2007 and that it was not actually proof of recent settlement. Finally, in his 2011 report he stated that the foundation had not moved between 2007 and 2011, but then that it had suddenly started moving between 2011 and 2012. He attributed that movement to the foundation being on "soft ground". The difficulty with that proposition is that the foundation has always been on soft ground -- Mr. Frie had no explanation other than perhaps an earthquake (there was no evidence that a seismic event had happened in that interval) for settlement having been static for four years and then suddenly become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Finally, Mr. Frie brought a degree of hubris and inconsistency to his task. As to hubris: Mr. Frie's testimony was to the effect that when it comes to soil stability, he sees little need for the opinion of a geotechnical engineer. His evidence was that, having been a structural engineer for more than 40 years, he knows what needs to be known about soil conditions. Geotechnical engineers are, in his view, "nice to have" but unnecessary. That was the gist of his evidence at trial. The weight of the other evidence at trial, and in particular the weight of the evidence of the two geotechnical engineers and the one other structural engineer, was to the effect that in cases like this house on this soil, geotechnical advice is not merely "nice to have" but that it is, instead,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to inconsistency: when he was confronted by an earlier version of his report under cross-examination, Mr. Frie was forced to admit that despite his view that geotechnical advice was not necessary, he had in fact instructed Ms. Gordon's counsel to retain a geotechnical engineer and, further, that he was not prepared to give a final structural engineering opinion until he after he received the geotechnical report. Mr. Frie was not able to reconcile those two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For these reasons I find that it would be unsafe to give much weight to Mr. Frie's opinions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do accept that between 2007 and the end of 2012 there has been some additional drywall cracking on the main floor of the house. I find that these are consistent with the geotechnical opinions of Messrs. Smith and Imada. In 2011 those gentlemen independently came to the conclusion that, subject to water infiltration or significant seismic events, if the house's foundation does have more settlement, that movement will be limited to a maximum of 50 millimeters. Mr. Johnson's work in late 2008 put the weight of the house back on its foundation. I find that it is more likely than not that in response to the load going back on the sill plate, the foundation has moved down slightly. That movement would account for the additional drywall cracking about which Ms. Gordon complains. There was, however, no empirical evidence to establish that the movement has been anything other than the movement Messrs. Smith and Imada predicted in their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For these reasons, I find that the foundation has moved slightly since late 2008 but that that movement has been within the parameters predicted by the geotechnical engineers. The evidence at trial was clear that the drain pipes in the southwest corner have now been relocated so that water is no longer passing directly down along the foundation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There was no evidence as to what magnitude of seismic event would be necessary to cause damage to this house that would not also be caused to other residences in the area. There was no evidence at trial as to the frequency of such seismic events. I accept the evidence of the structural engineer Mr. Weilmeier, who said that residences like Ms. Gordon's house do not have to be constructed to guard against damage by earthquake.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the opinions of the structural engineers who testified that further movement by the foundation of up to 50 millimeters would not put an unreasonable stress on the structure of the house. That is because the building has a wooden frame which is both flexible and robust. The engineers felt that it would be prudent to institute a system of monitoring the elevation of the foundation. I agree with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conclusion, I find that the foundation is now in a reasonably steady state. Further, I find that the evidence does not support the proposition that there is a realistic or a substantial possibility that the foundation will settle more than an additional 50 millimeters. Finally, whatever movement the foundation has had in the past I find that that movement never rendered the house uninhabitable or unsafe for ordinary use and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Against William and Kathleen Krieg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Gordon's claim against William and Kathleen Krieg is grounded in the tort of negligent misrepresentation. Ms. Gordon asserts that before they accepted her offer to buy the house, William and Kathleen Krieg knew or ought to have known that the foundation of their house had cracked and settled, that the floors of the master bedroom and ensuite were sloped, and that extensive work costing no less than $35,000 was required to repair the problems with the house. Ms. Gordon argues that William and Kathleen Krieg misrepresented their knowledge of the state of the house to her. She says that the misrepresentation was embodied in the P.D.S. that William Krieg completed in March 2006 and which he did not update in April after he had Team Foundation to the house. Ms. Gordon says that William and Kathleen Krieg thus represented to her that the house had no structural defects when, in fact, they were aware that it did have structural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Gordon maintains that she relied in part upon the Kriegs' P.D.S. when she decided to waive the subject clauses, thus committing herself to buy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Ms. Gordon has not argued, nor was there evidence to support the notion, that the Kriegs committed any misrepresentations other than those allegedly contained in the P.D.S. Ms. Gordon does not take the position that the P.D.S. was anything other than a set of representations concerning the Kriegs' knowledge of the state of the house. More specifically, she does not argue that the P.D.S. amounted to the vendor's warranty as to any particular quality of the building or property. Ms. Gordon's position is congruent with the law: statements made in property disclosure statements are representations only -- they do not in and of themselves, amount to a vendor's warranty: </w:t>
      </w:r>
      <w:r>
        <w:rPr>
          <w:rFonts w:ascii="arial" w:eastAsia="arial" w:hAnsi="arial" w:cs="arial"/>
          <w:i/>
          <w:color w:val="000000"/>
          <w:sz w:val="20"/>
          <w:lang w:val="en-US" w:eastAsia="en-US" w:bidi="ar-SA"/>
        </w:rPr>
        <w:t>Kiraly v. Fuchs</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2009 BCSC 654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important to note that earlier in the proceeding Ms. Gordon's pleadings asserted that that the Kriegs had committed fraudulent misrepresentation. Ms. Gordon amended her notice of civil claim five times. By the time the case came to trial, Ms. Gordon had abandoned her pleading of fraudulent misrepresentation, thus confining her claim to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essential elements of negligent misrepresentation are:</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relationship between the person making the representation and the person receiving it.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inaccurate or misleading.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representation acted negligently in making it.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to whom the representation was made relied on it in a reasonable manner.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was detrimental in the sense that damages flowed from the reliance.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Misrepresentation in the context of real estate transactions has recently been examined by this court in the case of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affirmed on appeal, </w:t>
      </w:r>
      <w:hyperlink r:id="rId176"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Ballance J. held that a vendor will not be responsible for misrepresentations to a purchaser unless he: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misrepresents or conceals a defect;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knows of a latent defect that renders the house unfit for habitation;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reckless as to the truth or falsity of the statements relating to the fitness of the house for habitation;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breaches his duty to disclose a latent defect that renders the premises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first avenue in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that leads to vendor liability does not apply here, because Ms. Gordon has not alleged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evidence in the case established beyond question that Mr. Zarr, the Kriegs, and Ms. Gordon successfully lived in the house throughout. No engineer or expert in construction matters testified that the house has ever, for any reason, been uninhabitable or dangerous. Therefore the second and third avenues to vendor's liability do not apply here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fourth avenue does not apply here because even if the defects in the house were latent, the defects have not rendered the house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a straightforward application of the law relating to misrepresentation in the context of real estate transactions, then, Ms. Gordon's claim against William and Kathleen Krieg must fail. I note that this result may have been different had Ms. Gordon persisted with her allegation of fraud by William and Kathleen Krieg.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Before leaving this discussion, I will return for a moment to the question of latent versus patent defects in order to explain my conclusion that the defects in this house were not latent. In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Ballance J. described the difference between latent and patent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distinction between patent and latent defects is central to a vendor's obligation of disclosure under the doctrine. Patent defects are those that can be discovered by conducting a reasonable inspection and making reasonable inquiries about the property. The authorities provide some guidance about the extent of the purchaser's obligation to inspect and make inquiries. The extent of that obligation is, in some respects, the demarcation of the distinction between latent and patent defects. In general, there is a fairly high onus on the purchaser to inspect and discover patent defects. This means that a defect which might not be observable on a casual inspection may nonetheless be patent if it would have been discoverable upon a reasonable inspection by a qualified person: </w:t>
      </w:r>
      <w:r>
        <w:rPr>
          <w:rFonts w:ascii="arial" w:eastAsia="arial" w:hAnsi="arial" w:cs="arial"/>
          <w:b/>
          <w:i/>
          <w:color w:val="000000"/>
          <w:sz w:val="20"/>
          <w:lang w:val="en-US" w:eastAsia="en-US" w:bidi="ar-SA"/>
        </w:rPr>
        <w:t>44601 B.C. Ltd. v. Ashcroft (Village),</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[1998] B.C.J. No. 1964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Ashcroft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Bernstein v. James Dobney &amp; Associates</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2003 BCSC 986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Bernstein</w:t>
      </w:r>
      <w:r>
        <w:rPr>
          <w:rFonts w:ascii="arial" w:eastAsia="arial" w:hAnsi="arial" w:cs="arial"/>
          <w:color w:val="000000"/>
          <w:sz w:val="20"/>
          <w:lang w:val="en-US" w:eastAsia="en-US" w:bidi="ar-SA"/>
        </w:rPr>
        <w:t xml:space="preserve">]. In some cases, it necessitates a purchaser retaining the appropriate experts to inspect the property (see for example </w:t>
      </w:r>
      <w:r>
        <w:rPr>
          <w:rFonts w:ascii="arial" w:eastAsia="arial" w:hAnsi="arial" w:cs="arial"/>
          <w:b/>
          <w:i/>
          <w:color w:val="000000"/>
          <w:sz w:val="20"/>
          <w:lang w:val="en-US" w:eastAsia="en-US" w:bidi="ar-SA"/>
        </w:rPr>
        <w:t>Eberts v. Aitchison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(2000), 4 C.L.R. (3d) 248</w:t>
        </w:r>
      </w:hyperlink>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2000 BCSC 1103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accept Ms. Gordon's evidence that when Mr. Kilby pointed it out she noticed the slope in the master bedroom floor. I find that Ms. Gordon did not subjectively appreciate what the slope could signify. In my opinion, a reasonable person in Ms. Gordon's position would have been alerted by the sloped floors and would have appreciated that they: a) were not normal, and b) needed to be looked into. That further inquiry could have been performed by Ms. Gordon herself. If she had undertaken that inquiry she would have paid attention to the state of the foundation walls. Ms. Gordon would have seen the numerous cracks evident in the interior and exterior of the foundation walls and she would have learned for herself that the foundation in the southwest corner of the building had subsided. Alternatively, if it was not reasonable for Ms. Gordon to have looked into the state of the foundation herself, the fact that the floors were sloped was an observable defect that triggered an obligation to have that defect inspected by a qualified person. Given the clues present in the building, and given the nearly instantaneous diagnosis Team Foundation's personnel came to, I find that a qualified person would have had no difficulty discovering the cracked and settled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For these reasons I conclude that the cracked and settled foundation was there to be seen and appreciated by a reasonable prospective purchaser. It was a patent defect. Because it was a patent defect, it cannot be the subject of a claim by Ms. Gordon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result, the claims against William and Kathleen Krieg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Against Wolfram Krieg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Before embarking on a discussion of Ms. Gordon's claims against Wolfram Krieg, it is useful to note that Wolfram Krieg made no representations to Ms. Gordon independent of or in addition to the vendor's representations. For that reason, Ms. Gordon has no claim against Wolfram Krieg for having made negligent misrepresentations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Instead, Ms. Gordon asserts that Wolfram Krieg is liable to her for:</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a duty owed to her to independently inspect the Cerise Drive house, inform himself of its defects, and to share that information with her; and</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Breaching a duty owed to her to share with her the knowledge that he gained in his meeting with William Krieg on April 28, 2006. It was in that meeting that William Krieg advised Wolfram Krieg that the repair estimate was $30,000 to $35,000.</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(from Ms. Gordon's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Gordon also asserts that Wolfram Krieg learned from William Krieg in their meeting that the house's foundation was actually cracked. For the purposes of this discussion, it does not matter whether Wolfram Krieg knew that the foundation was cracked. The fact that he knew of the $35,000 quote is, in my opinion, sufficient to trigger a discussion of this issue. Adding knowledge of cracks in the foundation to the factual matrix would not alter the calculus of Wolfram Krieg's potential for liability. That addition might have mattered had Ms. Gordon alleged fraud against Wolfram Krieg, but she did not, and so the issue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Whether Wolfram Krieg owed a duty of care to Ms. Gordon is a matter of law. The principles that govern whether a duty of care exists between a plaintiff and defendant were laid down in the Supreme Court of Canada decision of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The Court began its discussion by harking back to the genesis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the House of Lords revolutionized the common law by replacing the old categories of tort recovery with a single comprehensive principle --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 Henceforward, liability would lie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circumstances where a reasonable person would have viewed the harm as foreseeable. However, foreseeability alone was not enough; there must also be a close and direct relationship of proximity or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Proximity was the next subject of discussion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Court referred to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supra, at pp. 751-52, the House of Lords, per Lord Wilberforce, said that a duty of care required a finding of proximity sufficient to create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followed by consideration of whether there were any factors negativing that duty of care. This Court has repeatedly affirmed that approach as appropriate in the Canadian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Court then observed that the importance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decision was its recognition that policy plays important roles in determining whether a particular relationship gives rise to a duty of care. The Court articulated the test of whether a duty of care exists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brief compass, we suggest that at this stage in the evolution of the law, both in Canada and abroad,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is best understood as follows.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 It may be, as the Privy Council suggests in </w:t>
      </w:r>
      <w:r>
        <w:rPr>
          <w:rFonts w:ascii="arial" w:eastAsia="arial" w:hAnsi="arial" w:cs="arial"/>
          <w:i/>
          <w:color w:val="000000"/>
          <w:sz w:val="20"/>
          <w:lang w:val="en-US" w:eastAsia="en-US" w:bidi="ar-SA"/>
        </w:rPr>
        <w:t>Yuen Kun Yeu</w:t>
      </w:r>
      <w:r>
        <w:rPr>
          <w:rFonts w:ascii="arial" w:eastAsia="arial" w:hAnsi="arial" w:cs="arial"/>
          <w:color w:val="000000"/>
          <w:sz w:val="20"/>
          <w:lang w:val="en-US" w:eastAsia="en-US" w:bidi="ar-SA"/>
        </w:rPr>
        <w:t>, [1987] J.C.J. No. 15, that such considerations will not often prevail. However, we think it useful expressly to ask, before imposing a new duty of care, whether despite foreseeability and proximity of relationship, there are other policy reasons why the duty should not be imposed.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As to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process, on the facts of the present case, I have no doubt that Wolfram Krieg could have reasonably foreseen that Ms. Gordon could suffer harm if he failed to inspect the house and if he failed to tell Ms. Gordon of the result of his inspection. Likewise, Wolfram Krieg could reasonably have foreseen that Ms. Gordon would suffer harm if he did not volunteer to tell her what he knew about the $35,000 quote or, assuming he knew about it, about the cracked foundation. The foreseeability element of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is, therefore, made out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second part of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presents some difficulty for Ms. Gordon. That second part is: "are there reasons, notwithstanding the proximity between the parties established in the first part of this test, that tort liability should not be recognized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facts of this case are that Wolfram Krieg was acting solely as the vendor's agent. Real estate agents who act solely for one side of a transaction provide a valuable service to their clients. Those valuable services are set out in the Working with a Realtor contracts that both Ms. Gordon and the Kriegs made with their respective agents. Among other things, those contracts required the realtor to act solely in the interests of his client. To impose a duty of care of the type that Ms. Gordon advocates would vitiate at least that part of the sole agency contracts. It would have the practical effect of imposing dual agency on parties who have specifically contracted for sole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Further, to impose a duty of care such as Ms. Gordon proposes would be to place Wolfram Krieg in a position of conflict; he would have to choose between exposure to a claim by his client for impairing his client's interest and exposure to a claim by a purchaser for failing to compromise that same interest. Simply put, there are good policy reasons for preserving the relationship that arises when a realtor agrees to act exclusively for a client. In other words, the duty of care that Ms. Gordon advocates would jeopardize that relationship by setting up a conflict between the realtor and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For these reasons, I find that sufficient policy reasons arise from the relationship between the parties to justify resisting the imposition of a duty of care such as Ms. Gordon advocates. In the result I find that Ms. Gordon has not established that in law Wolfram Krieg owed a duty of care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Gordon's claims against Wolfram Krieg and his real estate brokerage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Against PTP, Mr. Kilby, and Mr. Hostland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 course of the trial, Ms. Gordon admitted that she had not made out a case against Mr. Hostland. She agreed that her claims against Mr. Hostland should be dismissed with costs to be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Before discussing this topic it is important to appreciate that Ms. Gordon's notice of civil claim asserted that the contract she had with PTP was comprised of the materials she received by fax from PTP on May 11. She asserts that the faxed materials comprised PTP's offer to inspect the house for the fee quoted and PTP's warranties that:</w:t>
      </w:r>
      <w:r>
        <w:rPr>
          <w:rFonts w:ascii="arial" w:eastAsia="arial" w:hAnsi="arial" w:cs="arial"/>
          <w:sz w:val="20"/>
          <w:lang w:val="en-US" w:eastAsia="en-US" w:bidi="ar-SA"/>
        </w:rPr>
        <w:cr/>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PTP provided a comprehensive home inspection system;</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PTP provided a comprehensive reporting system;</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could rely on the PTP report "from offer to purchase to resale";</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PTP provided "... the best system in the industry in a comprehensive way that leaves you anxiety free";</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PTP would "assess for significant deficiencies";</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PTP would "fairly and accurately report on the condition of the home";</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"nobody is more thorough" than PTP;</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PTP would provide "a comprehensive cost estimate for repairs";</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PTP would provide "structural and building envelope reviews by a professional engineer";</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PTP "was skilled and experienced in the business of home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Gordon says that her contract with PTP was made when she accepted PTP's offer when she called PTP on May 12 and made an appointment to inspect the house at 9 a.m. the following Monday.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its defence, PTP argues that the contract between it and Ms. Gordon comprised the written contract that Ms. Gordon signed on May 15 at the Cerise Drive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This issue is not difficult to resolve. Ms. Gordon acknowledged that when she spoke on the telephone to PTP's receptionist Ms. Janussen, she was told that she would have to sign a contract. Ms. Gordon made of note of that fact and that note was entered into evidence in the trial. Ms. Gordon admitted that the note recorded what had been said to her. No reasonable person who had just had that conversation and who then received PTP's promotional material could have mistaken the promotional material for a contract. The PTP brochure was clearly nothing more than an enticement to Ms. Gordon to give PTP her business. I have already found that Mr. Hostland advised Ms. Gordon that she would have to sign a contract on May 15 before she could receive the results of the home inspection, and the evidence is clear that Mr. Kilby presented Ms. Gordon with that contract as soon as she arrived at the house that morning. Ms. Gordon admitted that she understood that if she did not sign that contract Mr. Kilby would not provide her with the results of his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Given these facts, it is beyond question that Ms. Gordon did not have a contract with PTP until she signed the document that Mr. Kilby presented to her on May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Limited Liability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next issue to consider is whether Ms. Gordon is bound by the contract's limited liability clause. Ms. Gordon based her resistance to the limited liability clause on two propositions. The first is that she and PTP were not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on the terms of the agreement. The second is that she should not be held to it because the limited liability clause is an unconscionable contractual provision.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Non Est Factum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general rule is that a party is bound by the terms of the contract he or she executes: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 There are exceptions to that basic proposition. One of those exceptions invokes the principle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i.e.: "it is not my deed". According to </w:t>
      </w:r>
      <w:r>
        <w:rPr>
          <w:rFonts w:ascii="arial" w:eastAsia="arial" w:hAnsi="arial" w:cs="arial"/>
          <w:i/>
          <w:color w:val="000000"/>
          <w:sz w:val="20"/>
          <w:lang w:val="en-US" w:eastAsia="en-US" w:bidi="ar-SA"/>
        </w:rPr>
        <w:t>L'Estrange v. F. Graucob Ltd.</w:t>
      </w:r>
      <w:r>
        <w:rPr>
          <w:rFonts w:ascii="arial" w:eastAsia="arial" w:hAnsi="arial" w:cs="arial"/>
          <w:color w:val="000000"/>
          <w:sz w:val="20"/>
          <w:lang w:val="en-US" w:eastAsia="en-US" w:bidi="ar-SA"/>
        </w:rPr>
        <w:t xml:space="preserve">, [1934] 2 K.B. 394 (C.A.), a party cannot be bound to a contract when the document was signed in circumstances which made it not the party's act. The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a difficult one to make out. In his text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6th ed., (Scarborough: Carswell, 2011) at page 280-282, Fridman Q.C.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a difficult matter to invoke the plea successfully. The onus of proof is heavy upon a party raising the plea. What must be proved, as the Ontario Divisional Court stated is that the party relying on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was not careless and that the document signed was different from what the party in question thought he or she was signing. Most of the cases in which it has been raised resulted in lack of success for the party seeking to rely on the plea. Various reasons were given for this. In some instances there was no mistake. In others the mistake that was made did not go to the nature of the document that was signed, but either to its contents or its legal consequences, neither of which would suffice to satisfy the test in </w:t>
      </w:r>
      <w:r>
        <w:rPr>
          <w:rFonts w:ascii="arial" w:eastAsia="arial" w:hAnsi="arial" w:cs="arial"/>
          <w:i/>
          <w:color w:val="000000"/>
          <w:sz w:val="20"/>
          <w:lang w:val="en-US" w:eastAsia="en-US" w:bidi="ar-SA"/>
        </w:rPr>
        <w:t>Saunders</w:t>
      </w:r>
      <w:r>
        <w:rPr>
          <w:rFonts w:ascii="arial" w:eastAsia="arial" w:hAnsi="arial" w:cs="arial"/>
          <w:color w:val="000000"/>
          <w:sz w:val="20"/>
          <w:lang w:val="en-US" w:eastAsia="en-US" w:bidi="ar-SA"/>
        </w:rPr>
        <w:t xml:space="preserve">. In other instances the plea failed because of the carelessness of the party raising the plea (but the defence will operate if the mistake was caused by the other party's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Where the plea has been successful, it has been because the party signing the document was ignorant of the English language and did not know what was going on; or was of limited education and reading ability and was mistaken as to what the document was; or relied on what she was told by her husband to whom she was subservient in business matters, so she did not know what she was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Gordon says that she cannot be bound to the terms of the contract because she was not aware of its provisions and because Mr. Kilby applied undue pressure on her to sign it. She says that she was not aware of its provisions because she did not have her reading glasses with her and she could not read the contract without them. Ms. Gordon's evidence-in-chief on that point was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that document look like?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looked like there was three pages of very small print.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 brings out this, this document does he?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 and then what discussion takes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wanted me to read it and sign it. And I looked at it and I had trouble reading it. The print was very tiny, um, long lines of tiny print, um, I said that I didn't have my reading glasses, um, the information that I received had said that the report would be easy to read so I didn't bring my reading glasses. I tried to read the contract and had real difficulty reading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the difficulty?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difficulty was that the print was really small and detailed and I had trouble actually reading the document, even though I could make out some of the words, by the time that I got to the end of the line it was just difficult to comprehend.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was it difficult to comprehend?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couldn't read it continuously, I was struggling to make out the words.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Gordon's testimony shows that she was aware that she had contractual terms in front of her and that she applied herself to reading them. I have found that Mr. Kilby paraphrased for Ms. Gordon the essential elements of the contract and of the limited liability clause in particular. Mr. Kilby's paraphrasing did not misrepresent the terms of the contract, nor did he suggest to Ms. Gordon that the contract governed some relationship other than the relationship between Ms. Gordon and PTP.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evidence at trial clearly demonstrated that Ms. Gordon knew that the contract that Mr. Kilby presented to her concerned the home inspection that she wanted PTP to perform. It cannot be said that Ms. Gordon thought that she was signing one thing but that she signed something else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Gordon says that Mr. Kilby applied pressure on her to sign the contract in a rush. She says that she needed to have the result of the home inspection from Mr. Kilby and that Mr. Kilby gave her to understand that his schedule would not permit time for her to carefully go through the contract's terms. The theory that underlies Ms. Gordon's position is that her circumstances were such that she had no choice but to do business with PTP. According to her, she had only that day and that time to obtain a home inspection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There are flaws in Ms. Gordon's contention. One of those flaws lies in Ms. Tremeer's evidence that she had in her office business cards from numerous home inspection agencies and that her practice is to allow her client to choose whichever inspector the client wants to do business with. I infer from that evidence that Ms. Gordon was aware that PTP was not the only home inspection agency operating in the Kelowna area. Another flaw in Ms. Gordon's position is the uncontested evidence that Ms. Gordon was able to arrange a home inspection with PTP on relatively short notice. Ms. Gordon adduced no evidence that she would have been unable to arrange an appointment with some other inspection agency in the event that she was unhappy with PTP's terms. Finally, Ms. Gordon had until May 19 to remove the subject clauses in her offer to purchase. Ms. Gordon therefore had four days within which to consider her position. It cannot be said, therefore, that anything Mr. Kilby did applied unreasonable pressure on Ms. Gordon to sign a contract she did not like or did not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the result I have concluded that the defence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cannot assist Ms. Gordon.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Unconscionable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Gordon's second line of attack on the limited liability clause is that it is unenforceable because it is unconscionable. PTP correctly points out that, despite having amended her statements and notice of claim five times, Ms. Gordon has never specifically pled that the exclusion clause was unconscionable. In fact, her pleadings do not address the written contract at all -- she has maintained throughout that the contract been her and PTP comprised the fee quote and the promotional materials she received by fax via Ms. Tremeer's office. PTP argues that Ms. Gordon should not be heard to argue unconscionability without first having plead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Gordon's pleadings are not perfect and PTP is correct when it says that Ms. Gordon did not put unconscionable contract squarely on the issue board. However, Ms. Gordon clearly understood and was not prejudiced by PTP's reliance on the exclusion clause, PTP was not taken by surprise by Ms. Gordon's position that she should be excused from its effect, and in the course of the trial the parties adduced evidence relevant to the question. In other words, the parties conducted the trial as if unconscionable contract was a live issue. In these narrow and, I hope, rare circumstances I will consider Ms. Gordon's argument on unconscionable contract notwithstanding the state of her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[2010] 1 S.C.R. 69</w:t>
        </w:r>
      </w:hyperlink>
      <w:r>
        <w:rPr>
          <w:rFonts w:ascii="arial" w:eastAsia="arial" w:hAnsi="arial" w:cs="arial"/>
          <w:color w:val="000000"/>
          <w:sz w:val="20"/>
          <w:lang w:val="en-US" w:eastAsia="en-US" w:bidi="ar-SA"/>
        </w:rPr>
        <w:t>, the Supreme Court of Canada established the analytical framework for the consideration of a contractual exclusion clause. Binnie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present state of the law, in summary, requires a series of enquiries to be addressed when a plaintiff seeks to escape the effect of an exclusion clause or other contractual terms to which it had previously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The first issue, of course, is whether as a matter of interpretation the exclusion clause even applies to the circumstances established in evidence. This will depend on the Court's assessment of the intention of the parties as expressed in the contract. If the exclusion clause does not apply, there is obviously no need to proceed further with this analysis. If the exclusion clause applies, the second issue is whether the exclusion clause was unconscionable at the time the contract was made, "as might arise from situations of unequal bargaining power between the parties" ([</w:t>
      </w:r>
      <w:r>
        <w:rPr>
          <w:rFonts w:ascii="arial" w:eastAsia="arial" w:hAnsi="arial" w:cs="arial"/>
          <w:i/>
          <w:color w:val="000000"/>
          <w:sz w:val="20"/>
          <w:lang w:val="en-US" w:eastAsia="en-US" w:bidi="ar-SA"/>
        </w:rPr>
        <w:t>Hunter Engineering Co. v. Syncrude Canada Ltd</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at p. 462). This second issue has to do with contract formation, not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If the exclusion clause is held to be valid and applicable, the Court may undertake a third enquiry, namely whether the Court should nevertheless refuse to enforce the valid exclusion clause because of the existence of an overriding public policy, proof of which lies on the party seeking to avoid enforcement of the clause, that outweighs the very strong public interest in the enforcement of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analysis requires a three-stage process: applicability, unconscionability, and overriding public policy. As to the first, applicability, Ms. Gordon's claims sound in breach of contract and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 have to do with Mr. Kilby's performance during the home inspection. Broadly put, Ms. Gordon complains that Mr. Kilby did not do a proper job of inspecting the house because he missed or misinterpreted signs of settlement and that he failed to warn her of the condition of the house. Those acts would be breaches of the contract between her and PTP. She complains that Mr. Kilby gave her negligent advice -- that the house was solid, that the sloping floors were not associated with the foundation, and that the cost of needful repairs would be less than $500 -- and that she acted on that advice to her detriment. If proven, that would be the tort of negligent misrepresentation. The exclusion clause contains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Inspector and its employees are limited in liability to the fee paid for the inspection services and report</w:t>
      </w:r>
      <w:r>
        <w:rPr>
          <w:rFonts w:ascii="arial" w:eastAsia="arial" w:hAnsi="arial" w:cs="arial"/>
          <w:color w:val="000000"/>
          <w:sz w:val="20"/>
          <w:lang w:val="en-US" w:eastAsia="en-US" w:bidi="ar-SA"/>
        </w:rPr>
        <w:t xml:space="preserve"> in the event that Client or any third party claims that Inspector is in any way liable for negligently performing the inspection or in preparing the Inspection Report, for any breach or claim for breach of this Visual Inspection Agreement or for any other reason or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clause clearly provides protection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performing the inspection or preparing the report and any breach of the agreement. Ms. Gordon's claims fall squarely inside the scope of the exclusion clause. The clause is therefore applicable to the claim and the first stage of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test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2012 BCCA 122</w:t>
        </w:r>
      </w:hyperlink>
      <w:r>
        <w:rPr>
          <w:rFonts w:ascii="arial" w:eastAsia="arial" w:hAnsi="arial" w:cs="arial"/>
          <w:color w:val="000000"/>
          <w:sz w:val="20"/>
          <w:lang w:val="en-US" w:eastAsia="en-US" w:bidi="ar-SA"/>
        </w:rPr>
        <w:t>, Frankel J.A., discussed the test for unconscionablity in contract.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language used to express the test for unconscionability has varied over the years. It was put this way by Mr. Justice Davey, as he then was, in </w:t>
      </w:r>
      <w:r>
        <w:rPr>
          <w:rFonts w:ascii="arial" w:eastAsia="arial" w:hAnsi="arial" w:cs="arial"/>
          <w:i/>
          <w:color w:val="000000"/>
          <w:sz w:val="20"/>
          <w:lang w:val="en-US" w:eastAsia="en-US" w:bidi="ar-SA"/>
        </w:rPr>
        <w:t>Morrison v. Coast Finance Ltd.</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(1965), 55 D.L.R. (2d) 710</w:t>
        </w:r>
      </w:hyperlink>
      <w:r>
        <w:rPr>
          <w:rFonts w:ascii="arial" w:eastAsia="arial" w:hAnsi="arial" w:cs="arial"/>
          <w:color w:val="000000"/>
          <w:sz w:val="20"/>
          <w:lang w:val="en-US" w:eastAsia="en-US" w:bidi="ar-SA"/>
        </w:rPr>
        <w:t xml:space="preserve"> at 713 (B.C.C.A.):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plea that a bargain is unconscionable invokes relief against an unfair advantage gained by an unconscientious use of power by a stronger party against a weaker. On such a claim the material ingredients are proof of inequality in the position of the parties arising out of the ignorance, need or distress of the weaker, which left him in the power of the stronger, and proof of substantial unfairness of the bargain obtained by the stronger. On proof of those circumstances, it creates a presumption of fraud which the stronger must repel by proving that the bargain was fair, just and reasonable: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That test was recently discussed in </w:t>
      </w:r>
      <w:r>
        <w:rPr>
          <w:rFonts w:ascii="arial" w:eastAsia="arial" w:hAnsi="arial" w:cs="arial"/>
          <w:i/>
          <w:color w:val="000000"/>
          <w:sz w:val="20"/>
          <w:lang w:val="en-US" w:eastAsia="en-US" w:bidi="ar-SA"/>
        </w:rPr>
        <w:t>McNeill v. Vandenberg</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2010 BCCA 583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Roy v. 1216393 Ontario Inc.</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2011 BCCA 500</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McNeill</w:t>
      </w:r>
      <w:r>
        <w:rPr>
          <w:rFonts w:ascii="arial" w:eastAsia="arial" w:hAnsi="arial" w:cs="arial"/>
          <w:color w:val="000000"/>
          <w:sz w:val="20"/>
          <w:lang w:val="en-US" w:eastAsia="en-US" w:bidi="ar-SA"/>
        </w:rPr>
        <w:t>, Madam Justice Garson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In order to set aside a bargain for unconscionability, a party must establish:</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inequality in the position of the parties arising from the ignorance, need or distress of the weaker, which left him in the power of the stronger;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proof of substantial unfairness in the bargain.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test was articulated in </w:t>
      </w:r>
      <w:r>
        <w:rPr>
          <w:rFonts w:ascii="arial" w:eastAsia="arial" w:hAnsi="arial" w:cs="arial"/>
          <w:i/>
          <w:color w:val="000000"/>
          <w:sz w:val="20"/>
          <w:lang w:val="en-US" w:eastAsia="en-US" w:bidi="ar-SA"/>
        </w:rPr>
        <w:t>Harry v. Kreutziger</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(B.C.C.A) at 173 and reiterated in </w:t>
      </w:r>
      <w:r>
        <w:rPr>
          <w:rFonts w:ascii="arial" w:eastAsia="arial" w:hAnsi="arial" w:cs="arial"/>
          <w:i/>
          <w:color w:val="000000"/>
          <w:sz w:val="20"/>
          <w:lang w:val="en-US" w:eastAsia="en-US" w:bidi="ar-SA"/>
        </w:rPr>
        <w:t>Klassen v. Klassen,</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2001 BCCA 445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Mr. Justice Tysoe (at para. 29), quoted the following from the judgment of Madam Justice McLachlin, as she then was, in</w:t>
      </w:r>
      <w:r>
        <w:rPr>
          <w:rFonts w:ascii="arial" w:eastAsia="arial" w:hAnsi="arial" w:cs="arial"/>
          <w:i/>
          <w:color w:val="000000"/>
          <w:sz w:val="20"/>
          <w:lang w:val="en-US" w:eastAsia="en-US" w:bidi="ar-SA"/>
        </w:rPr>
        <w:t xml:space="preserve"> Principal Investments Ltd. v. Thiele Estate</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(1987), 12 B.C.L.R. (2d) 258</w:t>
        </w:r>
      </w:hyperlink>
      <w:r>
        <w:rPr>
          <w:rFonts w:ascii="arial" w:eastAsia="arial" w:hAnsi="arial" w:cs="arial"/>
          <w:color w:val="000000"/>
          <w:sz w:val="20"/>
          <w:lang w:val="en-US" w:eastAsia="en-US" w:bidi="ar-SA"/>
        </w:rPr>
        <w:t xml:space="preserve"> at 263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elements must be established before a contract can be set aside on the grounds of unconscionability. The first is proof of inequality in the position of the parties arising out of some factor such as ignorance, need or distress of the weaker, which leaves him or her in the power of the stronger. The second element is proof of substantial unfairness in the bargain obtained by the stronger person. The proof of these circumstances creates a presumption of fraud which the stronger must repel by proving the bargain was fair, just and reasonable: </w:t>
      </w:r>
      <w:r>
        <w:rPr>
          <w:rFonts w:ascii="arial" w:eastAsia="arial" w:hAnsi="arial" w:cs="arial"/>
          <w:i/>
          <w:color w:val="000000"/>
          <w:sz w:val="20"/>
          <w:lang w:val="en-US" w:eastAsia="en-US" w:bidi="ar-SA"/>
        </w:rPr>
        <w:t>Morrsion v. Coast Fin. Ltd.</w:t>
      </w:r>
      <w:r>
        <w:rPr>
          <w:rFonts w:ascii="arial" w:eastAsia="arial" w:hAnsi="arial" w:cs="arial"/>
          <w:color w:val="000000"/>
          <w:sz w:val="20"/>
          <w:lang w:val="en-US" w:eastAsia="en-US" w:bidi="ar-SA"/>
        </w:rPr>
        <w:t xml:space="preserve"> (1965), 54 W.W.R. 257, </w:t>
      </w:r>
      <w:hyperlink r:id="rId185" w:history="1">
        <w:r>
          <w:rPr>
            <w:rFonts w:ascii="arial" w:eastAsia="arial" w:hAnsi="arial" w:cs="arial"/>
            <w:i/>
            <w:color w:val="0077CC"/>
            <w:sz w:val="20"/>
            <w:u w:val="single"/>
            <w:shd w:val="clear" w:color="auto" w:fill="FFFFFF"/>
            <w:lang w:val="en-US" w:eastAsia="en-US" w:bidi="ar-SA"/>
          </w:rPr>
          <w:t>55 D.L.R. (2d) 710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Harry v. Kreutziger</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95 D.L.R. (3d) 231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Justice Tysoe went on to state (at para. 30), that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Binnie J. was "not intending to signal a departure from the usual test for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first question to ask is, as Garson J.A. put it in </w:t>
      </w:r>
      <w:r>
        <w:rPr>
          <w:rFonts w:ascii="arial" w:eastAsia="arial" w:hAnsi="arial" w:cs="arial"/>
          <w:i/>
          <w:color w:val="000000"/>
          <w:sz w:val="20"/>
          <w:lang w:val="en-US" w:eastAsia="en-US" w:bidi="ar-SA"/>
        </w:rPr>
        <w:t>McNeill</w:t>
      </w:r>
      <w:r>
        <w:rPr>
          <w:rFonts w:ascii="arial" w:eastAsia="arial" w:hAnsi="arial" w:cs="arial"/>
          <w:color w:val="000000"/>
          <w:sz w:val="20"/>
          <w:lang w:val="en-US" w:eastAsia="en-US" w:bidi="ar-SA"/>
        </w:rPr>
        <w:t xml:space="preserve">, was there "inequality in the position of the parties arising from the ignorance, need or distress of the weaker, which left him in the power of the stronger"? That test has been recently applied in this court in the retrial of the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matter. The retrial is reported at </w:t>
      </w:r>
      <w:r>
        <w:rPr>
          <w:rFonts w:ascii="arial" w:eastAsia="arial" w:hAnsi="arial" w:cs="arial"/>
          <w:i/>
          <w:color w:val="000000"/>
          <w:sz w:val="20"/>
          <w:lang w:val="en-US" w:eastAsia="en-US" w:bidi="ar-SA"/>
        </w:rPr>
        <w:t>Roy v. 1216393 Ontario Inc</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2012 BCSC 1752</w:t>
        </w:r>
      </w:hyperlink>
      <w:r>
        <w:rPr>
          <w:rFonts w:ascii="arial" w:eastAsia="arial" w:hAnsi="arial" w:cs="arial"/>
          <w:color w:val="000000"/>
          <w:sz w:val="20"/>
          <w:lang w:val="en-US" w:eastAsia="en-US" w:bidi="ar-SA"/>
        </w:rPr>
        <w:t>, and on the issue of inequality of the parties' positions, Bruce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[138] ... To render the contract or the limitation clause invalid there must be evidence that the aggrieved party was in the control or power of the other party to the extent that their will is overborne. Typical examples include ignorance of the contract terms due to illiteracy, blindness, and senility of the weaker party.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the present case, none of those typical examples apply to Ms. Gordon. She was not illiterate, blind or senile. She felt that she was in a hurry and had to get the house inspection done that day, but her belief was not reasonable in light of the fact that she had four more days to complete a house inspection. Ms. Gordon may not have had her reading glasses with her that day, but that is no answer because she could, in fact, make out the words of the contract without the glasses. Ms. Gordon simply did not take the time she needed to carefully read the document. In any event, Ms. Gordon cannot be said to have been ignorant of the essential terms of the contract, including the limitation clause. That is because Mr. Kilby explained those terms to her verbally before she signed it. I do not doubt that Ms. Gordon was careless in signing the contract, and I do not doubt that she now regrets having done so. However, the evidence does not go so far as to show that Mr. Kilby somehow procured her signature by overwhelming ability to act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Because the evidence does not satisfy me that there was the necessary degree of equality of position between Ms. Gordon and PTP, it is not strictly necessary to consider whether the bargain was substantially unfair. For the sake of completeness, however, I will comment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first point to make is that the fact that the presence of a liability limitation clause does not automatically signal substantial unfairness. Instead, the whole of the contract must be taken into account. Here, the contract provided that PTP would provide an inspector who would divide about three hours between, first, inspecting the house and preparing a written report, and, second, conversing with Ms. Gordon. In return, Ms. Gordon paid a fee of $400. That works out to about $133 per hour. That fee had to cover Mr. Kilby's wage and all of PTP's overhead. The contract required PTP to conduct a visual inspection only -- neither party expected that PTP would get all forensic on the property by poking holes in walls, tearing up floor boards, or removing insulation. Four hundred dollars does not seem an unreasonable figure for the relatively limited service the contract contemplated. I grant that it might be different if PTP had charged, say, $40,000 for its three hours of time. In that case, it would be difficult to see how such a large fee could be rationally connected to the value of the limited services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As for the role that the limitation clause plays in the assessment of fairness, it is important to note that the asset that was being inspected was a house that was about to sell for $360,000. Absent the limitation clause, PTP would have been open to claims in the range of tens and hundreds of thousands of dollars. In that case, the fee that PTP charged to Ms. Gordon would have to reflect that risk; it would have been much higher. The limitation clause had the effect, therefore, of moderating the price PTP charged and of bringing that price into a range that was affordable to Ms.Gordon. Rather than being unfair, the limitation clause brought the price Ms. Gordon paid for the inspection down to a point that she could afford.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For these reasons I find that the bargain between Ms. Gordon and PTP was not substantially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Turning, then, to the final element of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process, the question is whether there is "an overriding public policy, proof of which lies on the party seeking to avoid enforcement of the clause, that outweighs the very strong public interest in the enforcement of contracts"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at para. 123). Put simply, Ms. Gordon did not adduce any evidence that such a public policy exists. This leg of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test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follows that I must conclude that the liability limitation clause is binding on Ms. Gordon. If PTP or Mr. Kilby breached the contract or uttered negligent misrepresentations, Ms. Gordon's damages against them must be limited to $400.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first paragraph of the PTP contract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inspection is performed in accordance with the Standards of Practice of the American Society of Home Inspectors (ASH I (R)) and in accordance with any applicable State or Provincial specific standards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For the purposes of this matter, the parties accepted that only the ASHI standards were applicable and that there were no relevant State or Provincial specific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second paragraph of the contract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Subject to the terms and conditions stated herein, the inspection includes the visual examination of the home's exterior including roof and chimney, structure, electrical, heating and cooling systems, insulation, plumbing, and interior including floors, walls, ceiling and windows; it is a reasonable effort to disclose the condition of the house based on a visual inspection. Additionally, Inspector will functionally operate major built-in appliances. Conditions beyond the scope of the inspection will not be identified. No engineering services are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Any reasonable interpretation of the word "structure" in this provision must include the foundation. In my view, then, the PTP contract required Mr. Kilby to perform a visual inspection of, among other things, the foundation of the house and to report to Ms. Gordon problems that he noted in the condition of that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have found that when they visited the house in April 2006, Messrs. McKinney and Wilson saw at least two significant cracks in the southwest area of the foundation. They did not have to move anything, peel back insulation, roll away carpets, or dig through dirt to see those cracks. I find that one of the cracks that they saw was the large crack that Mr. Kilby noted in the middle of the south foundation wall. The other was on the west wall near the ladder leading down into the crawl space. Mr. Kilby failed to see that second crack. Had he seen it, Mr. Kilby would have appreciated that the portion of the southwest foundation wall between the two cracks had settled and had broken away from the main structure. He would certainly have reported that observation to Ms. Gordon. Had he appreciated that the southwest portion of the foundation had settled, he would have been less sanguine than he was about the sloping floors in the master bedroom and ensuite.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Further, the gaps in the baseboards, the adjusted striker plates on the doors and the crooked door jambs were all there for Mr. Kilby to see. Common sense dictates that those features were not part of the original design and construction. Mr. Kilby testified that on his inspection the doors, floors and walls were "functional" and therefore not worthy of comment. That may be so, in the sense that the walls were keeping out the weather, the floors could bear weight, and the doors separated the rooms of the house, but the condition of the walls, floors, and doors taken together clearly pointed in the direction of something being wrong with the structure. It was Mr. Kilby's contractual duty to pay attention to those clues and to at least report them to Ms. Gordon. He failed to do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the issue of the sloping floors, it was not, in my view, good enough for Mr. Kilby to write in his report that "Further investigation may be required by others as determined by client." That was a milquetoast recommendation and nearly useless to a lay person such as Ms. Gordon. At a minimum, Mr. Kilby had a contractual duty to advise Ms. Gordon that because there may be structural problems with the house, she should consult a structural engineer or a renovation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Although Ms. Gordon adduced expert evidence from the home inspector Mr. Link, I find that his evidence was not necessary to establish that Mr. Kilby breached the terms of PTP's contract with Ms. Gordon. That is because Mr. Kilby's failures speak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find that Mr. Kilby did not do as the contract required him to do, which was to spot faults in the structure of the house that were worthy of note and to report them to Ms. Gordon.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Negligent Misstatement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have found that Mr. Kilby told Ms. Gordon that he had looked for more cracks in the foundation wall but had not found any and that the foundation was, therefore, solid. I have also found that Mr. Kilby advised Ms. Gordon that she could have someone come to look at the sloping floor but that when she indirectly asked him for his opinion about the floor, he told her that he felt that the slope was not related to the foundation. Finally, I have found that Mr. Kilby said to Ms. Gordon and Ms. Tremeer that repairs to the house would not cost more than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Kilby had special knowledge concerning house inspection. Ms. Gordon relied on his knowledge and advice and it was reasonable for her to do so. Had Mr. Kilby not told her these things but had, instead, told her that the foundation had cracked and settled and that the sloping floors and other signs of settlement in the house were attributable to that settlement, and had he said that the cost of rectifying the cracked foundation and sloping floors was either more than $500 or was beyond his ability to estimate, I have no doubt that Ms. Gordon would have chosen not to waive the inspection subject clause in her offer to buy the house. In that case the contract would not have completed or the parties would have negotiated some lower price for the house. As it turned out, Ms. Gordon relied on Mr. Kilby's advice and bought a house that required some work and expense to bring it into a condition where its frame rests on its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find that Mr. Kilby did commit the tort of negligent misrepresentation and that Ms. Gordon is entitled to damages thereby.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PTP argues that Ms. Gordon's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her loss. PTP says that Ms. Gordon was negligent for having failed to heed Mr. Kilby's advice that she should have a qualified person investigate the sloping floor in the master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sloping floor was an obvious defect. Ms. Gordon specifically retained PTP and Mr. Kilby to advise her as to the quality of the house. Ms. Gordon actually received advice from Mr. Kilby recommending investigation of the sloping floor. Ms. Gordon did not act on that advice. Instead, she chose to rely on Mr. Kilby's opinion that the slope was not related to the foundation. On Mr. Kilby's advice, Ms. Gordon assumed that the sloped floor did not have to do with the foundation. But the floor was still sloping, it was still an obvious problem with the house, and even if it was not associated with the foundation, it still needed to be looked into at greater length. Mr. Kilby's negligent advice that the floor was not related to the foundation did not eliminate all possible problems with the structure of the house that would lead to a sloped floor. In short, Mr. Kilby's bad advice did not obviate Ms. Gordon's obligation to take reasonable care for her own financial well-being. I find that Ms. Gordon ought to have taken further steps to look into the sloped floors. Had she done so by hiring someone like Mr. Budd, for example, she would have learned that there was a problem with the house's foundation. By not taking those steps, Ms. Gordon's failure to act reasonably contributed to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 cannot say with precision to what degree Mr. Kilby's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Ms. Gordon's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led to her loss. On the whole, though, I find that Mr. Kilby's behaviour was more blameworthy than Ms. Gordon's behaviour. Had Mr. Kilby been less off-hand in his remarks, Ms. Gordon would have been more likely to take the hint that there was something wrong with the house. She may well have shunned the house entirely. I attribute 75% of Ms. Gordon's loss to Mr. Kilby's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25% to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Gordon claims damages under these heads of loss: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 for depression, anxiety and distress;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repair or replacement of her property;</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the opportunity to carry on her work and "capital asset" of her art and craft business;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tenant's rents;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opportunity to maximize income tax benefits from operating her home-based business at a high enough revenue level;</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 costs of borrowing $80,000 to finance investigations and prosecute claims.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Emotional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Gordon claims non-pecuniary damages of $50,000 under this head of loss. I accept Dr. Crittenden's medical opinion that since buying the house, Ms. Gordon has developed depression. Depression is a genuine psychological disorder -- when it can be attributed to a tort or was a foreseeable consequence of breach of contract, it may be compensable. In Ms. Gordon's case, the problems with the house are a contributing factor to her depression. The other factors are stresses stemming from her finances, her debt load, the fact that she now works for a wage rather than as an artisan, and, finally, the litigation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Gordon's affliction is not, however, particularly severe and, given its causes, I infer that her depression will abate when the litigation is over and the uncertainty of her life's direction diminishes. In my view, a non-pecuniary award of $10,000 would adequately compensate Ms. Gordon for that part of her psychological upset that was directly caused by PTP's tort and breaches of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Repair or Diminution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parties approached the issue of damages relating to the house itself from different perspectives. Ms. Gordon premised her claim for damages on the theory that the risk of future settlement is such that the structure must be stabilized by the installation of helical piles around the building's perimeter. According to the experts on whom Ms. Gordon relied, the total cost of that work would be on the order of $510,000.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defendants premised their approach to damages on the assumption that the risk of future settlement is low and that what future settlement may occur will in any event be limited to about 50 mm. If the risk of future settlement is that slight, it will cost much less to repair the building. In that case, for example, helical piles will not be necessary; all that will be necessary will be to jack up the wooden structure so that it is level, to secure the newly level building to the foundation, to sheath and seal the walls, and to make some cosmetic repairs to the interior. According to the defence experts, the cost of those repairs would be on the order of $65,000 to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There was another difference in the approaches taken by the parties to their assessment of damages. Ms. Gordon presented her claim in 2013 dollars. That is to say, Ms. Gordon took the view that her damages should be fixed at the current price of fixing the house in the way she proposes. The defendants, on the other hand, argued that Ms. Gordon suffered her loss on the day the house changed hands from the Kriegs to her. The defendants say that the proper way to calculate Ms. Gordon's loss is to postulate how much the house would have been worth in 2006 had there been no settlement issues, subtract from that figure how much it would cost to rectify the settlement issues, and compare that net figure to the price that Ms. Gordon actually paid for the house. The difference, if any, is, so say the defendants, the true measure of Ms. Gordon's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Turning to the first point of disagreement on the damages issue, Ms. Gordon maintains that the task of repairing of her house should be assessed as a future loss. She asserts that as a future loss, the loss is recoverable there is a realistic possibility of it coming to pass as opposed to it being more likely than not that the loss will occur (i.e.: on the balance of probabilities, which is the test for a past or present loss). Ms. Gordon goes on to argue that since the evidence of the geotechnical engineers was to the effect that the building will likely settle to some further degree, the onus lies on the defendants to show that there is zero risk of the house settling more than the maximum 50 mm that those engineers have predicted. Ms. Gordon submits that if the defendants cannot demonstrate that there is no risk of settlement beyond that limit, then there must be a realistic possibility of greater settlement. In that case, she says, the cost of repair to her house must be based on the installation of helical piles around the perimeter of the building and all of the work associated with attaching the foundation to those piles and leveling the whole assembly with jacks, pins, and braces. According to Ms. Gordon's experts, the cost of that effort, including interior and exterior renovations plus a living-out allowance for Ms. Gordon while the work is under way, is as I have noted earlier, on the order of $510,000.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flaw in Ms. Gordon's position is that the evidence led at trial established that while future settlement is likely, it is likely to be limited to no more than 50 mm. According to the geotechnical engineer's evidence, which I accept, future settlement exceeding 50 mm would be caused by one or both of two events: water flowing down the afflicted portions of the foundation wall or seismic events. The evidence demonstrated that the downspouts have been redirected away from the house and there was no evidence that water would flow down the foundation walls from any other source. The risk that the building will suffer additional settlement due to water infiltration appears to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geotechnical engineers testified that seismic events will likely happen in the future, but their evidence did not go so far as to indicate whether those seismic events would be likely to be of a magnitude sufficient to cause further settlement. It is, therefore, purely speculative to say that in the future an earthquake will cause the house to settle more than 50 mm. Speculation cannot bottom a finding that the happening of a future event is a realistic or a substantial possibility; that conclusion can only be grounded on evidence, and such evidence does not exist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For those reasons I am driven to conclude that there is insufficient evidence on which I can rely to find that helical piles and all of the expense associated with their installation is the proper measure of Ms. Gordon's damages. Instead, the proper measure of damages is the cost of leveling the wooden structure and attaching that structure to the foundation below. I accept the opinion evidence of the quantity surveyor Mr. Artis in that regard. Mr. Artis estimated that the cost of that scope of work would be on the order of $65,000 exclusive of geotechnical engineering fees, a building permit, a week or so of living-out allowance while the work was underway, and HST. Mr. Artis testified that $2,000 would be a reasonable prediction of the geotechnical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my opinion, a reasonable global assessment of the cost of repairing Ms. Gordon's house in the manner recommended by Mr. Artis is $80,000. This would include an amount for periodic monitoring of the foundation and for any further cosmetic repairs that may be necessary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next issue under this head of loss is whether Ms. Gordon's damages for the repair of the house should be fixed at $80,000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or whether her loss is the difference between what she paid for the house in 2006 and whatever its actual value was given the settlement and the damaged foundation. The law on this point is clear: proper methodology to employ in this case is the latter, i.e.: the diminution of value due to defect as of the date of loss: </w:t>
      </w:r>
      <w:r>
        <w:rPr>
          <w:rFonts w:ascii="arial" w:eastAsia="arial" w:hAnsi="arial" w:cs="arial"/>
          <w:i/>
          <w:color w:val="000000"/>
          <w:sz w:val="20"/>
          <w:lang w:val="en-US" w:eastAsia="en-US" w:bidi="ar-SA"/>
        </w:rPr>
        <w:t>Wiebe v. Gunderson</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2004 BCCA 456</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Gordon did not present evidence of the 2006 fair market value of the house with the settlement and the broken foundation. The defendants did adduce such evidence by way of a report by the real estate appraiser Mr. Beatty. In his report, Mr. Beatty opined that absent settlement problems, in 2006 the fair market value of the house would have been $405,000. He testified that a willing purchaser would require that the price of the house be reduced by the cost of remedying the settlement problems and that the same purchaser would require a further discount of 10% to take into account the stigma and uncertainties inherent in the purchase of a damaged asset like this house.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have come to the conclusion, then, that the proper measure of Ms. Gordon's damages relating to the house itself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Fair market value in 2006</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$405,000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cost of repair</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$ 80,000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2718"/>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$325,000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10% for stigma</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$ 32,500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2718"/>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$292,500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the price that Ms. Gordon paid for the house and its true fair market value is $67,500. Ms. Gordon's loss is, therefore, $67,500.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Opportunity to Earn Income/Loss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Gordon complains that she has suffered a past loss of opportunity to earn income and a loss of her capacity to earn income in the future as a result of her troubles with the Cerise Drive house. There are two difficulties with those claims. The first difficulty is that since the accident Ms. Gordon has actually earned more money working for a wage than she has ever earned making her ceramic art. Ms. Gordon's income has not diminished, it has increased. Ms. Gordon's true complaint here appears to be that her disposable income, i.e.: the amount of money available to her to support her lifestyle, has decreased. The reason that her disposable income has decreased is because she has used her savings and has borrowed money to fund this lawsuit and she has to pay interest on those borrowings, thus leaving her with very little left over to buy the necessities of life. Her claim is not, therefore, for loss of income, but for diminution of her lifestyle. To the extent that such a loss is compensable, the award for it lies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second problem with Ms. Gordon's claims for loss of opportunity and loss of capacity to earn income is that the defendants' showed that Ms. Gordon has not acted reasonably to mitigate her damages. As noted earlier, in March 2007 Ms. Gordon had the money and the desire to convert her attached garage into a studio. She abandoned that project when Mr. Budd advised her that some of the renovations might have to be removed and replaced if it turned out that the garage needed repairs due to settlement. However, a roughed in studio could have been constructed in the garage for several thousand dollars less than a full-on conversion. A roughed in studio would have nevertheless been functional and would have allowed Ms. Gordon to carry on with her art work. A reasonable person in Ms. Gordon's position, assuming that she was genuine and motivated in her desire to work as an artisan, would have gone ahead with the roughed in renovation. With roughed in studio, Ms. Gordon would have been able to keep up her production. Had Ms. Gordon taken that step and all other things being equal, there is no reason to conclude that she would have earned any less money from her art than she would have had the house not had settlement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There is a third problem with Ms. Gordon's claim, but that problem applies only to her claim for loss of earning capacity. The problem is that no evidence at trial suggested that for reasons directly attributable to the house Ms. Gordon's capacity to work as an artisan has been diminished. Aside from her decision to not construct a studio in her garage, the only evidence that went to Ms. Gordon's capacity to work as an artisan in the future related to repetitive strain injuries she has suffered to her wrists and forearms since 2006. Ms. Gordon made no claim for those injuries themselves, and, because they are not compensable, no loss consequent to them can be compensable.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Gordon says that she had to move her ceramic supplies and production equipment into her home after her lease at the art centre expired. She stored those materials in the middle bedroom. Ms. Gordon had been renting that bedroom for $500 per month. She lost that rent income when her ceramic supplies moved in and the room's tenant moved out. Ms. Gordon claims $500 per month from September 2007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Had Ms. Gordon acted reasonably by renovating her garage into a roughed in studio, she would have been free to continue to rent the middle bedroom to tenants. Ms. Gordon's failure to mitigate her loss by building a temporary studio led to her not collecting rent on the middle bedroom.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Tax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Gordon's complaint here is that had she set up her ceramic business in her home as she planned in September 2007 she would have had the benefit of deducting a portion of her housing expenses against her art income. Had Ms. Gordon constructed her studio and carried on with her work as an artisan she would have been able to claim deductions some of her housing expenses. Because Ms. Gordon did not mitigate her loss by carrying on with her business in a roughed in studio, she can have no claim for the loss of the value of those deductions.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Borrowing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Gordon claims the interest she has paid on loans she has taken out in order to fund legal fees and disbursements for this litigation and to meet some of her everyday expenses. The difficulty with this claim is, firstly, that Ms. Gordon's living expenses are not items of loss in this case; secondly, as a matter of law Ms. Gordon's legal fees are not recoverable as damages and so neither should interest incurred on borrowings to pay those fees be recoverable as a head of loss; and, thirdly, it will be for a registrar on an assessment of a bill of costs to determine whether interest on fees or disbursements is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William and Kathleen Krieg and Wolfram Krieg are not liable to Ms. Gordon. They do not have to pay damages to Ms. Gordon and they do not, therefore, have a need to claim indemnity or contribution from other parties or as between themselves. The third party notices that the Kriegs and Wolfram Krieg and his brokerage issued to other parties must be dismissed. In the event that the parties to those notices are not able to resolve costs between themselves, they may make an application for an order determining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Similarly, third party notices issued by PTP against the Kriegs and Wolfram Krieg and his brokerage must be dismissed. Again, the parties to those notices may apply for an order determining costs between them if they cannot agree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PTP issued a third party notice against Interior Testing Services Ltd. seeking contribution, citing failures in Interior Testing's prescription to stabilize the Cerise Drive lot. As I noted earlier, the geotechnical engineer Mr. Smith testified that the three methods proposed by Mr. Williams of Interior Testing were reasonable in light of what was known about the lot at the time. According to Mr. Williams' notes, the area on which the foundation was placed was excavated one foot deeper than Mr. Williams recommended and that in other respects the lot was prepared for construction as he recommended. There was no evidence at trial that Mr. Williams' advice departed from the generally accepted geotechnical engineering standards in effect at the time. I cannot say that Mr. Williams or Interior Testing breached their duty to take reasonable care in prescribing methods by which the foundation of the house could be stabilized. Further, I find that the fact that the house did settle is as consistent with faulty installation of roof drains as with poor soil preparation. For those reasons I cannot give effect to PTP's third party notice to Interior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PTP also sought declarations that non-parties including Ms. Tremeer, the City of Kelowna, Wyatt Homes, Knorr Homes and Eugene Knorr bear responsibility for Ms. Gordon's loss. I cannot find that Ms. Tremeer is liable to Ms. Gordon for the same reason that Wolfram Krieg is not liable to her: the slope of the floors in the house was a patent defect to which Ms. Gordon simply failed to give heed.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As for the City of Kelowna, there was no evidence at trial that could implicate the City in a claim for negligent issuance of a building permit or inspection. I think that it is more likely than not that the placement of the rain downspouts around the perimeter of the building caused or largely contributed to its settlement, but I have no evidence of who, exactly, it was that installed those downspouts. There is not enough evidence before me to declare that Knorr Homes or Wyatt Homes (if that entity actually built the house) is liable for the placement of the downspouts.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plaintiff's claims against William and Kathleen, Wolfram Krieg and his broker must be dismissed. Those parties are entitled to their costs against Ms. Gordon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plaintiff's claim against Mr. Hostland is dismissed. Mr. Hostland is entitled to his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third party claims are dismissed with cost to be agreed or determined upon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is entitled to judgment against PTP and Mr. Kirby. The amount of that judgment is limited to 75% of $408 plus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Gordon's recovery is within the monetary jurisdiction of the small claims court. Subject to any application she may make respecting the application of Rule 14-1(10), Ms. Gordon is entitled to recover her disbursements but not her costs from PTP.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Finally, the parties are at liberty to make applications concerning the cost consequences of any pre-trial settlement offers that were made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Gulamani v. Chandra, [2009] B.C.J. No. 1537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S048040 and M109251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1537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2009 BCSC 1042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180 A.C.W.S. (3d) 70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Salima Gulamani, Plaintiff/Applicant, and Dutt Chandra and Ronald Chandra, Defendants/Respondents And between Salima Manji, Plaintiff/Applicant, and Fardin Doorandish, Defendant/Respondent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7"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8"/>
      <w:bookmarkEnd w:id="59"/>
      <w:r>
        <w:rPr>
          <w:rFonts w:ascii="arial" w:eastAsia="arial" w:hAnsi="arial" w:cs="arial"/>
          <w:b/>
          <w:color w:val="000000"/>
          <w:sz w:val="20"/>
          <w:lang w:val="en-US" w:eastAsia="en-US" w:bidi="ar-SA"/>
        </w:rPr>
        <w:t>Civil litigation — Civil procedure — Trials — Jury trials — Jury notice — Setting aside or striking out — Application by plaintiff to have jury notice struck and to proceed to trial without a jury allowed — This was a complex personal injury matter, involving a prolonged examination of reports and medical records and exceedingly complicated legal issues — The trial was likely to exceed the scheduled 35 days — An examination of this volume of reports with their frequent complexity, accompanied by numerous expert witnesses, could not conveniently be carried out by a 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Trials — Jury — Application by plaintiff to have jury notice struck and to proceed to trial without a jury allowed — This was a complex personal injury matter, involving a prolonged examination of reports and medical records and exceedingly complicated legal issues — The trial was likely to exceed the scheduled 35 days — An examination of this volume of reports with their frequent complexity, accompanied by numerous expert witnesses, could not conveniently be carried out by a 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8"/>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 to have the jury notice struck in this personal injury action and to proceed to trial without a jury. The plaintiff was involved in two motor vehicle accidents that occurred 10 years apart. Liability for the first accident was admitted by the Chandra defendants. The plaintiff argued six reasons in favour of striking the jury notice, including: (1) the length of the trial, set for 35 court days; (2) the likelihood of the trial exceeding those 35 days; (3) the need for prolonged examination and understanding of medical documents; (4) the combination of the plaintiff's injuries was intricate or complex; (5) the law related to the issue of causation was complex; and (6) the case required the prolonged examination of financial accounts. The essence of the plaintiff's argument was that the complicated and lengthy nature of the trial would be such that a jury would be unable to maintain a high level of appreciation for the case as it evolved, and there would be a real and substantial danger of an unjust result if the matter proceeded with a 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1" w:name="Holdings of Court_7"/>
            <w:bookmarkEnd w:id="61"/>
            <w:r>
              <w:rPr>
                <w:rFonts w:ascii="arial" w:eastAsia="arial" w:hAnsi="arial" w:cs="arial"/>
                <w:color w:val="000000"/>
                <w:sz w:val="20"/>
                <w:lang w:val="en-US" w:eastAsia="en-US" w:bidi="ar-SA"/>
              </w:rPr>
              <w:t>HELD: Application allowed and jury notice struck.</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response to the preliminary objection concerning delay, the plaintiff could not have been aware of all the circumstances in relation to the combined actions dealing with her accidents at the time the original jury notice was filed. The accidents occurred a decade apart and the court proceedings in relation to the first were essentially at the point of trial before the plaintiff could possibly have been aware of the circumstances arising from the second. The plaintiff advised of her intention to strike the jury notice within five days of the court adjourning the first trial and filed her notice of application to strike the notice before the court reset the trial of the two actions. A significant change in circumstances had occurred in that the trial would now be significantly longer and involve complex legal issues related to causation. A consideration of the application was necessary and just. As to the substance of the application, the plaintiff had established a prolonged examination of documents or accounts or a prolonged scientific investigation would be necessary. It was a very complex matter. In addition to the medical issues, the legal issues presented were likely to be exceedingly complicated. The law related to the issue of causation in this case, including the interjection of the defence of novus actus, was very complex, even for those trained in law. Assessing the quantum of damages under the various heads claimed and apportioning damages as between the two sets of defendants was likely to be an exceedingly difficult and complex task. A prolonged examination of this volume of reports with their frequent complexity, accompanied by numerous expert witnesses, could not conveniently be carried out by a jury. The six reasons advanced by the plaintiff compelled that the jury notice be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2" w:name="Legislation Cited_5"/>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8"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3(2), Rule 35(4)(a),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3" w:name="Counsel_8"/>
      <w:bookmarkEnd w:id="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Salima Gulamani also known as Salima Manji: Rosemary Pawliuk.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Dutt Chandra and Ronald Chandra: Mary-Helen Wright and Dimple Kainth.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Fardin Doorandish: Steen K. Jespersen.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4" w:name="Judgment_8"/>
      <w:bookmarkEnd w:id="64"/>
      <w:r>
        <w:pict>
          <v:line id="_x0000_s1070"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 Application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 Strike Jury Notice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5" w:name="E.A. ARNOLD-BAILEY J."/>
            <w:bookmarkEnd w:id="65"/>
            <w:r>
              <w:rPr>
                <w:rFonts w:ascii="arial" w:eastAsia="arial" w:hAnsi="arial" w:cs="arial"/>
                <w:b/>
                <w:color w:val="000000"/>
                <w:sz w:val="30"/>
                <w:lang w:val="en-US" w:eastAsia="en-US" w:bidi="ar-SA"/>
              </w:rPr>
              <w:t>E.A. 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Counsel on behalf of the plaintiff, Salima Manji (formerly Salima Gulamani) ("the plaintiff"), has brought an application to have the jury notice in this personal injury action struck and to have the matter proceed to trial without a jury. The jury notice was filed on January 20,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to this matter is lengthy. Briefly, the plaintiff was involved in two motor vehicle accidents that occurred ten years apart, and it is alleged that she sustained injuries and loss in relation to each. The first accident in June 1997 involved Dutt Chandra and Ronald Chandra ("the Chandra defendants") and the second accident in July 2007 involved Fardin Doorandish ("the Doorandish defendant"). Liability for the first accident is admitted and the Court has yet to be advised of the position taken on behalf of the Doorandish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specific details of the two accidents, and the nature of two actions that the plaintiff commenced as a result, are described at paras. 11-19 of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2008 BCSC 179</w:t>
        </w:r>
      </w:hyperlink>
      <w:r>
        <w:rPr>
          <w:rFonts w:ascii="arial" w:eastAsia="arial" w:hAnsi="arial" w:cs="arial"/>
          <w:color w:val="000000"/>
          <w:sz w:val="20"/>
          <w:lang w:val="en-US" w:eastAsia="en-US" w:bidi="ar-SA"/>
        </w:rPr>
        <w:t>. I will assume for the purposes of this judgment that the reader has read those reasons. In that application, the Chandra defendants sought to have both the plaintiff's actions heard together. I dismissed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that ruling, the plaintiff served additional medical reports that made it clear that the plaintiff's claims arising from the two accidents were so interwoven that they needed to be heard together. The trial of the first action was set to start in March 2008. However, given the recent nature of the second accident, and the time required to properly permit the injuries and claims to be assessed, it was clear that the trial needed to be delayed. Therefore, upon application by the Chandra defendants, the Court ordered that the trial of the first action be adjourned, and subsequently the parties consented to the two actions being heard together. A 35-day trial before a judge and jury has been set for March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preparation for the trial, the Chandra defendants then brought an application,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for an order that the plaintiff participate in three additional independent medical examinations ("IMEs"), while the Doorandish defendant simultaneously brought an application for an order that the plaintiff participate in a further seven IMEs. In reasons which may be found at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2008 BCSC 1601</w:t>
        </w:r>
      </w:hyperlink>
      <w:r>
        <w:rPr>
          <w:rFonts w:ascii="arial" w:eastAsia="arial" w:hAnsi="arial" w:cs="arial"/>
          <w:color w:val="000000"/>
          <w:sz w:val="20"/>
          <w:lang w:val="en-US" w:eastAsia="en-US" w:bidi="ar-SA"/>
        </w:rPr>
        <w:t xml:space="preserve">, I ordered that the plaintiff attend and participate in eight of the IMEs sought, with further details and conditions set out at para. 45 of those reasons. The plaintiff's application for leave to appeal from that judgment was recently dismissed in reasons set out by Bauman J.A. at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2009 BCCA 206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noted, the plaintiff has now applied to strike the jury notice that was filed in January 2003 and to have this matter proceed with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Plaintiff, Salima Gulamani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plaintiff submits that there are six reasons in the circumstances of the present case that mandate striking the jury notice to achieve justice, namely:</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 The trial is set for almost two months, (35 court days);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addition of 8 medical examinations since the trial was set, the 35 days set aside for trial is likely insufficient even with judge alone but definitely insufficient with a jury;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requires the prolonged examination and understanding of medical documents which contain terminology and information of a technical and scientific nature;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nature of any of the individual injuries that the plaintiff sustained are not so intricate or complex as to justify striking the jury, the combination of the injuries in the setting of separate tortfeasors does;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related to the issue of causation in this case, including the interjection of the defence of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is so complex, even for those trained in law, that the Supreme Court of Canada has revisited this issue several times;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requires the prolonged examination of financial accounts including financial statements and statistics that demonstrate growth patterns related to the plaintiff's chiropractic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essence of the plaintiff's argument is that the complicated and lengthy nature of the trial will be such that a jury would be unable to maintain a high level of appreciation for the case as it evolves, and that there would therefore be a real and substantial danger of an unjust result if the matter proceeds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Defendant, Fardin Doorandish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Doorandish defendant submits that his right to a trial by jury is a substantive right of great importance of which he ought not to be deprived except for cogent reasons. He further asserts that the plaintiff has not offered cogent reasons forming a basis for striking the jury notice in this case, as 10 years have elapsed since the delivery of the notice in relation to the first action and "[i]t does not appear that there has been any major change in the nature of the plaintiff's claim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the Doorandish defendant further emphasizes that the trial date is soon approaching and that his client's case, in terms of approach, evidence, investigations, and expert witnesses, has been prepared and guided by an assumption that the trial would be heard by a judge and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reasons for which the plaintiff submits the jury ought to be struck, the Doorandish defendant argues that the case is not so complex that a jury is inappropriate. He argues that the legal issues in this matter are "quite simple" and that it is the facts that the jury has to assess - which he asserts involve questions that are "elementary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Defendants, Dutt Chandra and Ronald Chandra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Chandra defendants agree with and adopt the submissions of the Doorandish defendant in respect of the plaintiff's application to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Chandra defendants further submit that if counsel for the parties "work together to hone the real issues at trial, and avoid unnecessary evidence and unnecessary repetition, the trial could be completed in 2-3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sole issue before the Court is whether the jury notice filed for this matter ought to be struck, such that the trial in March 2010 will be heard before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a personal injury action, a trial by a judge and jury is a presumptive right (see: </w:t>
      </w:r>
      <w:r>
        <w:rPr>
          <w:rFonts w:ascii="arial" w:eastAsia="arial" w:hAnsi="arial" w:cs="arial"/>
          <w:i/>
          <w:color w:val="000000"/>
          <w:sz w:val="20"/>
          <w:lang w:val="en-US" w:eastAsia="en-US" w:bidi="ar-SA"/>
        </w:rPr>
        <w:t>Cochrane v. Insurance Corp. of British</w:t>
      </w:r>
      <w:r>
        <w:rPr>
          <w:rFonts w:ascii="arial" w:eastAsia="arial" w:hAnsi="arial" w:cs="arial"/>
          <w:color w:val="000000"/>
          <w:sz w:val="20"/>
          <w:lang w:val="en-US" w:eastAsia="en-US" w:bidi="ar-SA"/>
        </w:rPr>
        <w:t xml:space="preserve"> Columbia, </w:t>
      </w:r>
      <w:hyperlink r:id="rId204" w:history="1">
        <w:r>
          <w:rPr>
            <w:rFonts w:ascii="arial" w:eastAsia="arial" w:hAnsi="arial" w:cs="arial"/>
            <w:i/>
            <w:color w:val="0077CC"/>
            <w:sz w:val="20"/>
            <w:u w:val="single"/>
            <w:shd w:val="clear" w:color="auto" w:fill="FFFFFF"/>
            <w:lang w:val="en-US" w:eastAsia="en-US" w:bidi="ar-SA"/>
          </w:rPr>
          <w:t>2005 BCCA 399</w:t>
        </w:r>
      </w:hyperlink>
      <w:r>
        <w:rPr>
          <w:rFonts w:ascii="arial" w:eastAsia="arial" w:hAnsi="arial" w:cs="arial"/>
          <w:color w:val="000000"/>
          <w:sz w:val="20"/>
          <w:lang w:val="en-US" w:eastAsia="en-US" w:bidi="ar-SA"/>
        </w:rPr>
        <w:t xml:space="preserve"> at para. 22). It is only where the applicant opposing the jury has satisfied one or more of the exceptions set out in Rule 39(27) that the jury notice may be struck. The relevant subsections in Rule 39(27) are as follows: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outset, I note that the plaintiff's application to strike the jury notice was delivered well after the time period set out in Rule 39(27), since many years have elapsed between delivery of the jury notice and this application. For that reason, and the fact that this application is not made in the context of a pre-trial conference (although I am the assigned trial judge), the defendants make a preliminary objection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terms of timeliness, I note that there are at least two sections in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that are indicative of a degree of flexibility or discretion that may arise, in certain circumstances, in relation to striking a jury notice. The first, Rule 35(4)(a), gives the court the discretion to strike a jury notice during a pre-trial conference whether or not a party has applied for such an order: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At a pre-trial conference, the judge or master may,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or not on the application of a party, order that</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or part of it, be heard by the court without a jury, on any of the grounds set out in Rule 39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on making an order under this subrule, the judge or master may give other directions that he or she thinks just or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second, Rule 3(2),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extend or shorten any period of time provided for in these rules or in an order of the court, notwithstanding that the application for the extension or the order granting the extension is made after the period of time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Reischer v. Love &amp; ICBC</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2005 BCSC 1352</w:t>
        </w:r>
      </w:hyperlink>
      <w:r>
        <w:rPr>
          <w:rFonts w:ascii="arial" w:eastAsia="arial" w:hAnsi="arial" w:cs="arial"/>
          <w:color w:val="000000"/>
          <w:sz w:val="20"/>
          <w:lang w:val="en-US" w:eastAsia="en-US" w:bidi="ar-SA"/>
        </w:rPr>
        <w:t>, the court was faced with similar issues in relation to an application to strike a jury notice in the context of two actions that were going to be heard together. Well after the original jury notice for the first action was filed, but shortly after the court set a new trial for both actions to be heard together, the plaintiff brought an application to have the jury notice struck. Drost J. first cited the settled law, explaining that the mode of trial selected for the first action is what determines the mode of trial for the several actions to be heard together. From this principle flows the further settled point that it is the original jury notice that must be considered with regard to Rule 39(27). In that case, as well as the case at bar, the seven day time limit had clearly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Drost J. then addressed Rule 35(4)(a) and held that since the application occurred outside the scope of a pre-trial conference, he could not rely upon that section to strike the jury notice either. These circumstances also parallel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Finally, Drost J. turned to the general judicial discretion to extend time limits afforded in Rule 3(2) and stated (at paras. 37-38) that there are two questions to consider in the circumstances: 1) whether, at an early stage of the proceedings, the plaintiff formed an intention to strike the jury notice, and 2) whether there has been such a change in circumstances as to materially alter the character of the proceedings and render them clearly inappropriate for a trial by judge and jury. The court answered both questions in the negative, finding in particular that all of the circumstances of the combined actions were known to the plaintiff even when the initial jury notice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Despite this, the court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still allowed the time extension for the application to strike the jury notice under Rule 3(2) by relying on the authority of </w:t>
      </w:r>
      <w:r>
        <w:rPr>
          <w:rFonts w:ascii="arial" w:eastAsia="arial" w:hAnsi="arial" w:cs="arial"/>
          <w:i/>
          <w:color w:val="000000"/>
          <w:sz w:val="20"/>
          <w:lang w:val="en-US" w:eastAsia="en-US" w:bidi="ar-SA"/>
        </w:rPr>
        <w:t>Harder v. Nikolov</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[2001] B.C.J. No. 1528</w:t>
        </w:r>
      </w:hyperlink>
      <w:r>
        <w:rPr>
          <w:rFonts w:ascii="arial" w:eastAsia="arial" w:hAnsi="arial" w:cs="arial"/>
          <w:color w:val="000000"/>
          <w:sz w:val="20"/>
          <w:lang w:val="en-US" w:eastAsia="en-US" w:bidi="ar-SA"/>
        </w:rPr>
        <w:t xml:space="preserve"> (S.C.), where the court held at para. 17 that lack of timeliness does not necessarily preclude an application to strike a jury notice. Rather, the time restrictions set out in Rule 39(27) may be overcome if consideration of trial fairness so requires.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at para. 41, Drost J. stated that but for the application of this principle from </w:t>
      </w:r>
      <w:r>
        <w:rPr>
          <w:rFonts w:ascii="arial" w:eastAsia="arial" w:hAnsi="arial" w:cs="arial"/>
          <w:i/>
          <w:color w:val="000000"/>
          <w:sz w:val="20"/>
          <w:lang w:val="en-US" w:eastAsia="en-US" w:bidi="ar-SA"/>
        </w:rPr>
        <w:t>Harder</w:t>
      </w:r>
      <w:r>
        <w:rPr>
          <w:rFonts w:ascii="arial" w:eastAsia="arial" w:hAnsi="arial" w:cs="arial"/>
          <w:color w:val="000000"/>
          <w:sz w:val="20"/>
          <w:lang w:val="en-US" w:eastAsia="en-US" w:bidi="ar-SA"/>
        </w:rPr>
        <w:t>, the court would have dismissed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With these decisions in mind, I note firstly that unlike the plaintiff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the plaintiff in this matter could not have been aware of all the circumstances in relation to the combined actions dealing with her motor vehicle accidents at the time the original jury notice was filed. Whereas the accidents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occurred a relatively short time apart, the accidents in this case occurred a decade apart and the court proceedings in relation to the first accident were essentially at the point of trial before the plaintiff could have possibly been aware of the circumstances arising from the second accident. I also note that the plaintiff advised of her intention to strike the jury notice within five days of the Court adjourning the first trial and filed her notice of application to strike the jury notice before the Court reset the trial of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to the second question set out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and unlike the court's finding in that case, I do find that a significant change in circumstances has occurred here. The trial will now be significantly longer and will involve complex legal issues related to causation, including the defence of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in the context of two accidents that occurred a decade apart. I find that this is a sufficient change to the character of the proceedings such that a consideration, at least, of the plaintiff's application to strike the jury notice is necessary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Alternatively, like the court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I would in any event also apply </w:t>
      </w:r>
      <w:r>
        <w:rPr>
          <w:rFonts w:ascii="arial" w:eastAsia="arial" w:hAnsi="arial" w:cs="arial"/>
          <w:i/>
          <w:color w:val="000000"/>
          <w:sz w:val="20"/>
          <w:lang w:val="en-US" w:eastAsia="en-US" w:bidi="ar-SA"/>
        </w:rPr>
        <w:t>Harder</w:t>
      </w:r>
      <w:r>
        <w:rPr>
          <w:rFonts w:ascii="arial" w:eastAsia="arial" w:hAnsi="arial" w:cs="arial"/>
          <w:color w:val="000000"/>
          <w:sz w:val="20"/>
          <w:lang w:val="en-US" w:eastAsia="en-US" w:bidi="ar-SA"/>
        </w:rPr>
        <w:t xml:space="preserve"> and find that the lack of timeliness in the plaintiff's application is overcome by considerations of trial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short, I do not give effect to the Chandra and Doorandish defendants' initial objections to this application, and I will now turn to consider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Returning to Rule 39(27)(a), the legal test for striking a jury notice under (i) involves two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First, the court must determine whether the issues require "prolonged examination of documents or accounts or a scientific or local investigation." That the materials in evidence are lengthy does not, however, necessarily mean that a prolonged examination of them is required. In </w:t>
      </w:r>
      <w:r>
        <w:rPr>
          <w:rFonts w:ascii="arial" w:eastAsia="arial" w:hAnsi="arial" w:cs="arial"/>
          <w:i/>
          <w:color w:val="000000"/>
          <w:sz w:val="20"/>
          <w:lang w:val="en-US" w:eastAsia="en-US" w:bidi="ar-SA"/>
        </w:rPr>
        <w:t>Wipfli (Guardian ad litem of) v. Britten</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[1981] B.C.J. No. 1706</w:t>
        </w:r>
      </w:hyperlink>
      <w:r>
        <w:rPr>
          <w:rFonts w:ascii="arial" w:eastAsia="arial" w:hAnsi="arial" w:cs="arial"/>
          <w:color w:val="000000"/>
          <w:sz w:val="20"/>
          <w:lang w:val="en-US" w:eastAsia="en-US" w:bidi="ar-SA"/>
        </w:rPr>
        <w:t xml:space="preserve"> (S.C.), at para. 14, Chief Justice McEachern expressed doubt that a 715-page record and hospital procedure manuals would require a detailed or prolonged examination, citing the following statement made by Hutcheon J. in a previous unreported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experience is that in most cases the hospital records, having been made an exhibit, play very little part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To determine whether a prolonged examination would be required by the trier of fact, rather, the court must consider more carefully what the evidence will actually be. </w:t>
      </w:r>
      <w:r>
        <w:rPr>
          <w:rFonts w:ascii="arial" w:eastAsia="arial" w:hAnsi="arial" w:cs="arial"/>
          <w:i/>
          <w:color w:val="000000"/>
          <w:sz w:val="20"/>
          <w:lang w:val="en-US" w:eastAsia="en-US" w:bidi="ar-SA"/>
        </w:rPr>
        <w:t>Guichon v. Johnston</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[1998] B.C.J. No. 2643</w:t>
        </w:r>
      </w:hyperlink>
      <w:r>
        <w:rPr>
          <w:rFonts w:ascii="arial" w:eastAsia="arial" w:hAnsi="arial" w:cs="arial"/>
          <w:color w:val="000000"/>
          <w:sz w:val="20"/>
          <w:lang w:val="en-US" w:eastAsia="en-US" w:bidi="ar-SA"/>
        </w:rPr>
        <w:t xml:space="preserve"> (S.C.), exemplifies this type of analysis. In that case, the plaintiff was a passenger in the defendants' uninsured motor vehicle, and when it was involved in an accident he allegedly suffered a brain injury. At para. 23 the court noted firstly that it is not sufficient to "state simply that a jury will be obliged to consider medical or scientific evidence in order to set the jury notice aside." There were at least three medical experts involved in the case who collectively administered dozens of tests and wrote several reports. Master Baker turned to analyze the specific evidence in these reports that would likely be put to a jury in that case. That evidence included "complex, multi-facetted [sic] and not easily or lightly considered or understood" medical perspectives on brain injuries, as evident in two quotes from one expert report that Master Baker included by way of illustration: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Cytotoxic processes (processes causing cell damage) include the release of free oxygen radicals, particularly the highly reactive hydroxyl radical, lipid peroxidation of cell membranes, opening of ion channels to influx of calcium, release of cytokines and metabolism of free fatty acids into highly vasoreactive substances that may cause vasoconstriction (blood vessel constriction) and ischemia (reduced oxygen supply to the tissues). Such processes may also be interruptible by mechanism-specific therapeutic agents such as lipid antioxidants, calcium channel blockers, and glutamate (i.e., a neurotransmitter) receptor antagonists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"Systemic" factors that may cause "secondary insults" to the injured brain include hypoxemia (i.e., low blood oxygen concentration) arteriolar hypotension (i.e., low pressure within the smaller arterial blood vessels), hypercarbia (i.e., high blood carbon dioxide concentration), severe hypocarbia (i.e., low blood carbon dioxide concentration), pyrexia (i.e., fever), hyponatremia (i.e., low blood sodium concentration), anaemia (i.e., low blood haemoglobin concentration (haemoglobin is the protein in the red blood cells that carries oxygen), and diffuse intravascular coagulopathy (i.e., a process in which there is a derangement in the clotting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Given the nature of that evidence, it was found that a prolonged examination would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When the finding is made that a prolonged examination or investigation will be necessary, the court must then turn to the second part of the test, which is whether or not that examination can be made "conveniently with a jury." In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at para. 30, McEachern C.J.B.C. clarified that convenience in this context "does not refer to physical or personal convenience", but rather "to the proper conduct of the trial including an understanding of the issues and evidence, the submissions of counsel, and the Judge's charge." The Chief Justice further described this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Convenience, in the sense in which that word is used in the Rule does not depend solely upon whether or not the jury can be made to understand the evidence. [...] What is required before it is convenient to have a scientific investigation made with a jury, is the ability to have a proper trial, which includes not just an understanding of the evidence as it is being given, but also an ability to retain this understanding throughout a long trial in a form which permits an analysis of the evidence in relation to the difficult questions which must be decided at the end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other words, convenience includes the ability of a jury to both understand evidence and </w:t>
      </w:r>
      <w:r>
        <w:rPr>
          <w:rFonts w:ascii="arial" w:eastAsia="arial" w:hAnsi="arial" w:cs="arial"/>
          <w:color w:val="000000"/>
          <w:sz w:val="20"/>
          <w:u w:val="single"/>
          <w:lang w:val="en-US" w:eastAsia="en-US" w:bidi="ar-SA"/>
        </w:rPr>
        <w:t>retain</w:t>
      </w:r>
      <w:r>
        <w:rPr>
          <w:rFonts w:ascii="arial" w:eastAsia="arial" w:hAnsi="arial" w:cs="arial"/>
          <w:color w:val="000000"/>
          <w:sz w:val="20"/>
          <w:lang w:val="en-US" w:eastAsia="en-US" w:bidi="ar-SA"/>
        </w:rPr>
        <w:t xml:space="preserve"> that understanding such that a fruitful analysis will be possible at the end of the trial. It is reasonable, I would add, to infer that the longer the trial and the more prolonged and complex the scientific investigation or examination of documents or accounts, the more difficult it will be for a jury to retain a clear understanding of the evidence to the conclusion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Guichon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faced with the complicated scientific evidence referred to briefly in the passages above, followed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as general guidance on the "convenience" issue even though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was not a brain injury case. In light of that guidance, Master Baker concluded that "it would be extremely difficult for a jury member to retain his or her understanding throughout a lengthy trial and to understand, recall, and properly analyze all of the very detailed and complex evidence concerning alleged traumatic brain injury in this case" (para. 38). Of course, in both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Guichon</w:t>
      </w:r>
      <w:r>
        <w:rPr>
          <w:rFonts w:ascii="arial" w:eastAsia="arial" w:hAnsi="arial" w:cs="arial"/>
          <w:color w:val="000000"/>
          <w:sz w:val="20"/>
          <w:lang w:val="en-US" w:eastAsia="en-US" w:bidi="ar-SA"/>
        </w:rPr>
        <w:t>, the jury notices were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other ground for striking a jury notice is found in Rule 39(27)(a)(ii). The question for the court, in considering this alternate route, is whether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These issues will need to be considered in the context of the entire case and the other issues at bar, rather than in isolation. In </w:t>
      </w:r>
      <w:r>
        <w:rPr>
          <w:rFonts w:ascii="arial" w:eastAsia="arial" w:hAnsi="arial" w:cs="arial"/>
          <w:i/>
          <w:color w:val="000000"/>
          <w:sz w:val="20"/>
          <w:lang w:val="en-US" w:eastAsia="en-US" w:bidi="ar-SA"/>
        </w:rPr>
        <w:t>Yewdale v. Insurance Corp. of British Columbia</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[1994] B.C.J. No. 2835</w:t>
        </w:r>
      </w:hyperlink>
      <w:r>
        <w:rPr>
          <w:rFonts w:ascii="arial" w:eastAsia="arial" w:hAnsi="arial" w:cs="arial"/>
          <w:color w:val="000000"/>
          <w:sz w:val="20"/>
          <w:lang w:val="en-US" w:eastAsia="en-US" w:bidi="ar-SA"/>
        </w:rPr>
        <w:t xml:space="preserve"> (S.C.), Cohen J. found at para. 16 that the combination of the issues in that case made them sufficiently complex that the matter should be tried without a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I consider that the trier of fact will have to weigh the evidence and apply the law in an emerging field of jurisprudence to a series of issues complex in character involving different sets of defendants with different sets of duties and standards, allegations of breach of contract, consider a volume of documents, consider alternative legal theories, may have to apportion liability and consider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persuaded that this is an appropriate case for determination by a judge without a 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that case, which arose in relation to a motor vehicle accident, there were four different sets of defendants. The trial by judge and jury was set for three weeks and was to involve multiple causes of action, a large volume of documents, alleged breaches of different duties, various time periods involving different standards of practice, different theories of liability, issues of admissibility, and novel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Guichon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is another example where the court found that in addition to the nature of the evidence, the issues were of such an intricate and complex nature that a trial by judge and jury was not appropriate. In that case, the issue of causation was "front and centre" along with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Furthermore, those issues remained intricate despite the clarity of the proven facts. The court cited the following passage from </w:t>
      </w:r>
      <w:r>
        <w:rPr>
          <w:rFonts w:ascii="arial" w:eastAsia="arial" w:hAnsi="arial" w:cs="arial"/>
          <w:i/>
          <w:color w:val="000000"/>
          <w:sz w:val="20"/>
          <w:lang w:val="en-US" w:eastAsia="en-US" w:bidi="ar-SA"/>
        </w:rPr>
        <w:t>Campbell v. Khan</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[1996] B.C.J. No. 2005</w:t>
        </w:r>
      </w:hyperlink>
      <w:r>
        <w:rPr>
          <w:rFonts w:ascii="arial" w:eastAsia="arial" w:hAnsi="arial" w:cs="arial"/>
          <w:color w:val="000000"/>
          <w:sz w:val="20"/>
          <w:lang w:val="en-US" w:eastAsia="en-US" w:bidi="ar-SA"/>
        </w:rPr>
        <w:t xml:space="preserve"> (S.C.), as being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issues in this case are extremely unusual and complex, from both a legal and a scientific point of view. There are disputes as to whether the plaintiff suffered any head injury in the motor vehicle accident; whether there were consequential behavioral and psychological changes in the plaintiff; whether there is a causal connection between the plaintiff's motor vehicle accident injuries and the bridge incident; and whether he now suffers hydrocephalus as a result of the motor vehicle accident, the fall from the bridge or infection contracted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will now turn to other cases where the nature of the evidence and the issues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satisfy either of the tests set out in Rule 39(27).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Aberdeen v. Langley (Township of) et al.</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2006 BCSC 1980</w:t>
        </w:r>
      </w:hyperlink>
      <w:r>
        <w:rPr>
          <w:rFonts w:ascii="arial" w:eastAsia="arial" w:hAnsi="arial" w:cs="arial"/>
          <w:color w:val="000000"/>
          <w:sz w:val="20"/>
          <w:lang w:val="en-US" w:eastAsia="en-US" w:bidi="ar-SA"/>
        </w:rPr>
        <w:t xml:space="preserve">, Groves J. found that the only issues before the court, namely liability, damages, and the credibility of the witnesses, were neither novel nor complex for British Columbia juries. The plaintiff in that case was riding her bicycle downhill in Langley Township through a series of "S" curves when one of the defendants allegedly crossed the centre line with their vehicle, causing the plaintiff to take evasive action and fall down an embankment. Besides alleging the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took action against the Township, claiming that there was a gap in the restraints along the roadway where she fell, and thus a breach of a duty of care. Groves J. succinctly stated the various simple questions that a jury would have to answer in relation to these facts and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in relation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various heads of damages, and found that none of them were so complex that "juries are not required regularly in British Columbia to make determinations on them." I note that the trial for that matter was set for 25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is another example where the court found that a jury would be "sophisticated enough," with the assistance of counsel and the judge, to comprehend the evidence, retain an understanding of it, and apply it in analysis. In that case, the plaintiff was involved in a series of motor vehicle accidents and two of them gave rise to legal actions that were to be heard together. The first accident occurred in 1999 and involved concussion, a head injury, loss of consciousness, soft tissue injuries, shock, nervous upset, and emotional trauma, as well as claims for a loss of past and future income earning ability. Approximately three and one half years later, the plaintiff was involved in a second accident where she claimed injuries including a hyperextension/flexion injury in and near her spine, pain and restricted spinal movement, bruises, contusions, headaches, sleep deprivation, and again, a loss of past and future income earning ability. She alternatively argued that the second accident exacerbated the injuries from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two defendants in the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case denied liability. The original trial was set for eight days but when the matters were set to be heard together, the new trial was set for fifteen days. The court identified the contentious issues to include causation,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 assessment of damages, pre-existing causes, the question of both physical and psychological harm, economic loss, and the credibility of the plaintiff. As in the present matter, the plaintiff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argued that the issues were so intricate or complex that a jury would find them difficult to understand. The evidence included approximately 1,751 pages of hospital notes and records, in excess of 500 scan images, seven or eight medical-legal reports, vocational and economic consulting reports, an engineering report, and four or five medical expert witnesses, as well as vocational and economic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para. 54, the court declined to strike the jury notice and concluded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Upon consideration of the pleadings, the expert reports filed in connection with these applications and counsels' submissions, I am not persuaded that the issues cannot "conveniently" be determined by a jury, or that the issues are of such an intricate or complex character that the defendants should be denied that right. </w:t>
      </w:r>
      <w:r>
        <w:rPr>
          <w:rFonts w:ascii="arial" w:eastAsia="arial" w:hAnsi="arial" w:cs="arial"/>
          <w:b/>
          <w:i/>
          <w:color w:val="000000"/>
          <w:sz w:val="20"/>
          <w:lang w:val="en-US" w:eastAsia="en-US" w:bidi="ar-SA"/>
        </w:rPr>
        <w:t>Rather, l am satisfied that although the issues are somewhat intricate and complex the examination of the documentary evidence and consideration of the expert testimony to be led in connection with the nature, extent and cause of the plaintiff's alleged injuries can, with proper direction, be made conveniently with a jury.</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my view, the point to be drawn from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is clear: juries in this province are held to be informed and intelligent and capable of assessing expert evidence where it is properly presented. In other words, the threshold for determining whether a prolonged examination of documents or a scientific investigation is necessary and whether it can be conveniently done by a jury (Rule 39(27)(a)(i)), or whether the issues are of a complex or intricate nature (Rule 39(27)(a)(ii)), is relatively high even in the context of a long trial with many difficult legal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first question before the Court pursuant to Rule 39(27)(a)(i) is whether a prolonged examination of documents or accounts, or a prolonged scientific investigation, will be necessary in the case at bar. I find that the plaintiff has clearly established this branch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This is so because in the present case, a great volume, primarily of medical records, but also accounting records, will be submitted into evidence. This will likely be comprised of several thousands of pages and the specific nature of these records will indeed involve a prolonged examination. They go far beyond the category of hospital records and procedure manuals that McEachern C.J.B.C. referred to in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The medical evidence will stem from the 20 medical/legal reports to date, with perhaps a half dozen or more to come, and, at a minimum, 22 or 23 expert witnesses. Among the physicians and medical specialists are neurologists, thoracic surgeons with a special expertise in thoracic outlet syndrome, rheumatologists, orthopaedic surgeons (including ones with special expertise in shoulders), chronic pain specialists, psychiatrists and physiatrists. Other experts include psychologists, kinesiologists, chiropractors, vocational counsellors, and functional capacity evaluators. A review of the medical/legal reports filed to date indicates a considerable range of opinions, amongst the medical specialists in particular, as to the correct diagnosis, and the extent of and preferred treatment options for the various injuries and conditions that the plaintiff claims arose from the first accident, and then were exacerbated and augmented by injuries sustained in the second accident. There is no question in my view that the nature of the examination that must be carried out by the trier of fact of these documents, reports and accounts may not be done "conveniently" by a jury, attributing to that word its proper legal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turn now to issues of a complex or intricate nature, in the context of Rule 39(27)(a)(ii). I do not propose to set out again the details of the alleged compounding of the plaintiff's injuries from the first accident by the second, a decade later. It is a very complex matter. In this regard reference may be had to paras. 20-36 of my oral reasons dated March 12, 2008 (wherein I granted an adjournment of the trial in the first action). In those reasons I review in some detail the reports of Dr. Ladhani, the plaintiff's family physician, and Dr. Salvian, a vascular surgeon, with particular regard to the plaintiff's alleged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for the purposes of the present application and to illustrate both the complexity and the degree of the conflicting views among certain medical experts, I refer to two portions of the expert report of Dr. David G. Hunt, a "Subspecialist in Pain Medicine" dated August 17, 2007, and prepared for the plaintiff's case in relation to the first accident. It is comprised of 27 pages, excluding appendices. At pages 18-19 Dr. Hunt describes a small part of his extensive examination of the plaintiff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palpation she was very tender to palpation into the left axilla, especially more anteriorally. Palpation of the muscles of the right shoulder girdle, shoulder and right upper arm were negative. There was diffuse tenderness to palpation over the left shoulder and associated shoulder girdle. There were a number of trigger points identified which referred pain to various sites that the patient had described and these trigger points were in the left suboccipital and paracervical posterolateral musculature, sternomastoid upper component, trapezius and supraspinatus. These muscles were all very tender to deep palpation and there was considerable muscle spasm palpable in the trapezius and the supraspinatus on the left. She was exquisitely tender in the left occipital prominence and the upper posterolateral cervical musculature and there was palpablespasms there as well. She was tender over the left rhomboids and subscapularis on the left from about TS level upwards. Some of the trigger points in the trapezius and the deltoid referred pain to the upper lateral left arm. She was also tender to palpation of the pectoralis major muscle.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Hunt explains one of the plaintiff's more difficult medical issues and takes note of a contrary diagnosis in the following passages (at pages 20-23):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w:t>
      </w:r>
      <w:r>
        <w:rPr>
          <w:rFonts w:ascii="arial" w:eastAsia="arial" w:hAnsi="arial" w:cs="arial"/>
          <w:b/>
          <w:color w:val="000000"/>
          <w:sz w:val="20"/>
          <w:lang w:val="en-US" w:eastAsia="en-US" w:bidi="ar-SA"/>
        </w:rPr>
        <w:t>Thoracic Outlet Syndrome</w:t>
      </w:r>
      <w:r>
        <w:rPr>
          <w:rFonts w:ascii="arial" w:eastAsia="arial" w:hAnsi="arial" w:cs="arial"/>
          <w:color w:val="000000"/>
          <w:sz w:val="20"/>
          <w:lang w:val="en-US" w:eastAsia="en-US" w:bidi="ar-SA"/>
        </w:rPr>
        <w:t xml:space="preserve"> (TOS), there is concurrence by experienced clinicians, namely: three neurologists, two thoracic surgeons with extensive experience with Thoracic Outlet Syndrome, a chiropractor who specializes in whiplash disorder, three physiatrists and two orthopedic surgeons. In Thoracic Outlet Syndrome (TOS), knowledge of other conditions that could mimic TOS, but belong in the domain of other specialties, is required and has been exhaustively applied in Dr. Manji's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Firstly, with respect to Thoracic Outlet Syndrome, it is a </w:t>
      </w:r>
      <w:r>
        <w:rPr>
          <w:rFonts w:ascii="arial" w:eastAsia="arial" w:hAnsi="arial" w:cs="arial"/>
          <w:b/>
          <w:color w:val="000000"/>
          <w:sz w:val="20"/>
          <w:lang w:val="en-US" w:eastAsia="en-US" w:bidi="ar-SA"/>
        </w:rPr>
        <w:t>common</w:t>
      </w:r>
      <w:r>
        <w:rPr>
          <w:rFonts w:ascii="arial" w:eastAsia="arial" w:hAnsi="arial" w:cs="arial"/>
          <w:color w:val="000000"/>
          <w:sz w:val="20"/>
          <w:lang w:val="en-US" w:eastAsia="en-US" w:bidi="ar-SA"/>
        </w:rPr>
        <w:t xml:space="preserve"> condition that is recognized </w:t>
      </w:r>
      <w:r>
        <w:rPr>
          <w:rFonts w:ascii="arial" w:eastAsia="arial" w:hAnsi="arial" w:cs="arial"/>
          <w:b/>
          <w:color w:val="000000"/>
          <w:sz w:val="20"/>
          <w:lang w:val="en-US" w:eastAsia="en-US" w:bidi="ar-SA"/>
        </w:rPr>
        <w:t>uncommonly</w:t>
      </w:r>
      <w:r>
        <w:rPr>
          <w:rFonts w:ascii="arial" w:eastAsia="arial" w:hAnsi="arial" w:cs="arial"/>
          <w:color w:val="000000"/>
          <w:sz w:val="20"/>
          <w:lang w:val="en-US" w:eastAsia="en-US" w:bidi="ar-SA"/>
        </w:rPr>
        <w:t xml:space="preserve"> because the manifestations are </w:t>
      </w:r>
      <w:r>
        <w:rPr>
          <w:rFonts w:ascii="arial" w:eastAsia="arial" w:hAnsi="arial" w:cs="arial"/>
          <w:b/>
          <w:color w:val="000000"/>
          <w:sz w:val="20"/>
          <w:lang w:val="en-US" w:eastAsia="en-US" w:bidi="ar-SA"/>
        </w:rPr>
        <w:t>varied</w:t>
      </w:r>
      <w:r>
        <w:rPr>
          <w:rFonts w:ascii="arial" w:eastAsia="arial" w:hAnsi="arial" w:cs="arial"/>
          <w:color w:val="000000"/>
          <w:sz w:val="20"/>
          <w:lang w:val="en-US" w:eastAsia="en-US" w:bidi="ar-SA"/>
        </w:rPr>
        <w:t xml:space="preserve"> and there is no </w:t>
      </w:r>
      <w:r>
        <w:rPr>
          <w:rFonts w:ascii="arial" w:eastAsia="arial" w:hAnsi="arial" w:cs="arial"/>
          <w:b/>
          <w:color w:val="000000"/>
          <w:sz w:val="20"/>
          <w:lang w:val="en-US" w:eastAsia="en-US" w:bidi="ar-SA"/>
        </w:rPr>
        <w:t>definitive test</w:t>
      </w:r>
      <w:r>
        <w:rPr>
          <w:rFonts w:ascii="arial" w:eastAsia="arial" w:hAnsi="arial" w:cs="arial"/>
          <w:color w:val="000000"/>
          <w:sz w:val="20"/>
          <w:lang w:val="en-US" w:eastAsia="en-US" w:bidi="ar-SA"/>
        </w:rPr>
        <w:t xml:space="preserve"> for it. CT scans, MRI scans and EMGs cannot make the diagnosis with certainty. Physicians </w:t>
      </w:r>
      <w:r>
        <w:rPr>
          <w:rFonts w:ascii="arial" w:eastAsia="arial" w:hAnsi="arial" w:cs="arial"/>
          <w:b/>
          <w:color w:val="000000"/>
          <w:sz w:val="20"/>
          <w:lang w:val="en-US" w:eastAsia="en-US" w:bidi="ar-SA"/>
        </w:rPr>
        <w:t>unfamiliar</w:t>
      </w:r>
      <w:r>
        <w:rPr>
          <w:rFonts w:ascii="arial" w:eastAsia="arial" w:hAnsi="arial" w:cs="arial"/>
          <w:color w:val="000000"/>
          <w:sz w:val="20"/>
          <w:lang w:val="en-US" w:eastAsia="en-US" w:bidi="ar-SA"/>
        </w:rPr>
        <w:t xml:space="preserve"> with the condition doubt the diagnosis if the pathology cannot be seen on imaging or measured electrophysiologically.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has been explained by Dr. Salvian and Dr. Nelms, in their reports, TOS is a symptom complex caused by compression of the brachial plexus or the axillary-subclavian artery or vein as they exit the chest. The clinical presentation is highly variable </w:t>
      </w:r>
      <w:r>
        <w:rPr>
          <w:rFonts w:ascii="arial" w:eastAsia="arial" w:hAnsi="arial" w:cs="arial"/>
          <w:b/>
          <w:color w:val="000000"/>
          <w:sz w:val="20"/>
          <w:lang w:val="en-US" w:eastAsia="en-US" w:bidi="ar-SA"/>
        </w:rPr>
        <w:t>depending on what parts of the brachial plexus are involved</w:t>
      </w:r>
      <w:r>
        <w:rPr>
          <w:rFonts w:ascii="arial" w:eastAsia="arial" w:hAnsi="arial" w:cs="arial"/>
          <w:color w:val="000000"/>
          <w:sz w:val="20"/>
          <w:lang w:val="en-US" w:eastAsia="en-US" w:bidi="ar-SA"/>
        </w:rPr>
        <w:t xml:space="preserve"> and to what extent the circulatory system is involved. Because the presentation is so varied, each patient represents a challenge in physical diagnosis. </w:t>
      </w:r>
      <w:r>
        <w:rPr>
          <w:rFonts w:ascii="arial" w:eastAsia="arial" w:hAnsi="arial" w:cs="arial"/>
          <w:b/>
          <w:color w:val="000000"/>
          <w:sz w:val="20"/>
          <w:lang w:val="en-US" w:eastAsia="en-US" w:bidi="ar-SA"/>
        </w:rPr>
        <w:t>Diagnosis must be based on the total clinical picture.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98% of TOS cases, symptoms are primarily neurologic. 15% may have some concomitant arterial symptoms, but arterial symptoms seldom exist alone. For this reason, using only circulatory tests as the basis for a specific diagnosis commonly leads to error. This would be true in Dr. Manji's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mentioned, TOS is predominantly a brachial plexus injury. These patients may present with </w:t>
      </w:r>
      <w:r>
        <w:rPr>
          <w:rFonts w:ascii="arial" w:eastAsia="arial" w:hAnsi="arial" w:cs="arial"/>
          <w:b/>
          <w:color w:val="000000"/>
          <w:sz w:val="20"/>
          <w:lang w:val="en-US" w:eastAsia="en-US" w:bidi="ar-SA"/>
        </w:rPr>
        <w:t>upper plexus TOS</w:t>
      </w:r>
      <w:r>
        <w:rPr>
          <w:rFonts w:ascii="arial" w:eastAsia="arial" w:hAnsi="arial" w:cs="arial"/>
          <w:color w:val="000000"/>
          <w:sz w:val="20"/>
          <w:lang w:val="en-US" w:eastAsia="en-US" w:bidi="ar-SA"/>
        </w:rPr>
        <w:t xml:space="preserve"> involving the C5, C6 or C7 nerves or with lower plexus TOS involving principally C8 to T1 nerves OR BOTH. Through her clinical course, Dr. Manji has presented with symptoms of </w:t>
      </w:r>
      <w:r>
        <w:rPr>
          <w:rFonts w:ascii="arial" w:eastAsia="arial" w:hAnsi="arial" w:cs="arial"/>
          <w:b/>
          <w:color w:val="000000"/>
          <w:sz w:val="20"/>
          <w:lang w:val="en-US" w:eastAsia="en-US" w:bidi="ar-SA"/>
        </w:rPr>
        <w:t>both</w:t>
      </w:r>
      <w:r>
        <w:rPr>
          <w:rFonts w:ascii="arial" w:eastAsia="arial" w:hAnsi="arial" w:cs="arial"/>
          <w:color w:val="000000"/>
          <w:sz w:val="20"/>
          <w:lang w:val="en-US" w:eastAsia="en-US" w:bidi="ar-SA"/>
        </w:rPr>
        <w:t xml:space="preserve"> upper and lower plexus TOS.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upper plexus TOS causes pain in the side of the neck (Dr. Manji's left side) that may radiate upward toward the ear and may include face, temple and occipital regions with hemicranial heaches. The pain may radiate posteriorly to the rhomboid area, anteriorly across the clavicle into the upper pectoral region, laterally through the trapezius and deltoid muscle areas and down the outer arm. (</w:t>
      </w:r>
      <w:r>
        <w:rPr>
          <w:rFonts w:ascii="arial" w:eastAsia="arial" w:hAnsi="arial" w:cs="arial"/>
          <w:b/>
          <w:color w:val="000000"/>
          <w:sz w:val="20"/>
          <w:lang w:val="en-US" w:eastAsia="en-US" w:bidi="ar-SA"/>
        </w:rPr>
        <w:t>These symptoms are all depicted in Dr. Manji's pain diagram of May 17, 2007</w:t>
      </w:r>
      <w:r>
        <w:rPr>
          <w:rFonts w:ascii="arial" w:eastAsia="arial" w:hAnsi="arial" w:cs="arial"/>
          <w:color w:val="000000"/>
          <w:sz w:val="20"/>
          <w:lang w:val="en-US" w:eastAsia="en-US" w:bidi="ar-SA"/>
        </w:rPr>
        <w:t xml:space="preserve"> - see Appendix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Lower plexus TOS compression presents with pain of variable intensity in the anterior or posterior shoulder regions radiating down through the inner aspect of the forearm and into the hand. Parasthesia/dysesthesia affect principally the </w:t>
      </w:r>
      <w:r>
        <w:rPr>
          <w:rFonts w:ascii="arial" w:eastAsia="arial" w:hAnsi="arial" w:cs="arial"/>
          <w:b/>
          <w:color w:val="000000"/>
          <w:sz w:val="20"/>
          <w:lang w:val="en-US" w:eastAsia="en-US" w:bidi="ar-SA"/>
        </w:rPr>
        <w:t>ring and little fingers</w:t>
      </w:r>
      <w:r>
        <w:rPr>
          <w:rFonts w:ascii="arial" w:eastAsia="arial" w:hAnsi="arial" w:cs="arial"/>
          <w:color w:val="000000"/>
          <w:sz w:val="20"/>
          <w:lang w:val="en-US" w:eastAsia="en-US" w:bidi="ar-SA"/>
        </w:rPr>
        <w:t xml:space="preserve">. The paresthesia/dysesthesia reflect the </w:t>
      </w:r>
      <w:r>
        <w:rPr>
          <w:rFonts w:ascii="arial" w:eastAsia="arial" w:hAnsi="arial" w:cs="arial"/>
          <w:b/>
          <w:color w:val="000000"/>
          <w:sz w:val="20"/>
          <w:lang w:val="en-US" w:eastAsia="en-US" w:bidi="ar-SA"/>
        </w:rPr>
        <w:t>neurological origin</w:t>
      </w:r>
      <w:r>
        <w:rPr>
          <w:rFonts w:ascii="arial" w:eastAsia="arial" w:hAnsi="arial" w:cs="arial"/>
          <w:color w:val="000000"/>
          <w:sz w:val="20"/>
          <w:lang w:val="en-US" w:eastAsia="en-US" w:bidi="ar-SA"/>
        </w:rPr>
        <w:t xml:space="preserve"> of the symptoms and may accompany the pain or occur separately. They are felt as numbness with or without tingling or unpleasant feelings predominating in the fingers. </w:t>
      </w:r>
      <w:r>
        <w:rPr>
          <w:rFonts w:ascii="arial" w:eastAsia="arial" w:hAnsi="arial" w:cs="arial"/>
          <w:b/>
          <w:color w:val="000000"/>
          <w:sz w:val="20"/>
          <w:lang w:val="en-US" w:eastAsia="en-US" w:bidi="ar-SA"/>
        </w:rPr>
        <w:t>It should be noted that all fingers can be variably involved and sometimes the entire hand.</w:t>
      </w:r>
      <w:r>
        <w:rPr>
          <w:rFonts w:ascii="arial" w:eastAsia="arial" w:hAnsi="arial" w:cs="arial"/>
          <w:color w:val="000000"/>
          <w:sz w:val="20"/>
          <w:lang w:val="en-US" w:eastAsia="en-US" w:bidi="ar-SA"/>
        </w:rPr>
        <w:t xml:space="preserve"> The whole arm may "go to sleep" (ie feel numb) at times, particularly when the patient is sleeping or working with the arm elevated. (Dr. Manji has indicated these symptoms.) In more advanced cases, weakness of the hand and loss of dexterity to the fingers develops. (This writer has noted that the patient is starting to develop some </w:t>
      </w:r>
      <w:r>
        <w:rPr>
          <w:rFonts w:ascii="arial" w:eastAsia="arial" w:hAnsi="arial" w:cs="arial"/>
          <w:b/>
          <w:color w:val="000000"/>
          <w:sz w:val="20"/>
          <w:lang w:val="en-US" w:eastAsia="en-US" w:bidi="ar-SA"/>
        </w:rPr>
        <w:t>mild weakness in the left hand grip</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Andrew Hepburn, Orthopedic Surgeon, in his report of October 11, 1997, made reference to Dr. Manji by referring to "bizarre pain in the left arm for which I cannot give a specific diagnosis". He found her "highly pain focused" and presenting with non-anatomical physical signs eg. giving way to resisted examination in the left upper limb.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ensure that these comments are not misconstrued such as to suggest in some way that Dr. Manji does not have a bonafide pain condition, the following remarks need to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Manji's presentation in fact, fits with an individual who has some elements of neuropathic pain, but where the individual has developed some additional centralization of the pain into the central nervous system. Some of the qualities of her left shoulder and left arm pain including superficial burning pain with variable dysesthesia (the feeling of ants under the skin), numbness, tingling, pins and needles, all of a variable distribution fit with intermittent pressure on the neurovascular bundle in the left thoracic outlet. Her physical findings by numerous examiners of </w:t>
      </w:r>
      <w:r>
        <w:rPr>
          <w:rFonts w:ascii="arial" w:eastAsia="arial" w:hAnsi="arial" w:cs="arial"/>
          <w:b/>
          <w:color w:val="000000"/>
          <w:sz w:val="20"/>
          <w:lang w:val="en-US" w:eastAsia="en-US" w:bidi="ar-SA"/>
        </w:rPr>
        <w:t>hyperalgesia</w:t>
      </w:r>
      <w:r>
        <w:rPr>
          <w:rFonts w:ascii="arial" w:eastAsia="arial" w:hAnsi="arial" w:cs="arial"/>
          <w:color w:val="000000"/>
          <w:sz w:val="20"/>
          <w:lang w:val="en-US" w:eastAsia="en-US" w:bidi="ar-SA"/>
        </w:rPr>
        <w:t xml:space="preserve"> in the left upper limb and left shoulder fits with centralization of her pain as does the autonomic disturbance identified in the left upper limb by this writer. These findings all point to a bonafide neuropathic pain syndrome which is hardly "bizarre". A thorough history and examination demonstrates her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comments of "non-oganic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findings" by Dr. Hepburn are inappropriate. Symptom magnification or inappropriate illness behaviour as initially described by Dr. Ian Waddell, Orthopedic Surgeon, and his co-author Dr. Chris Main, Psychologist, for low back, were developed specifically to help identify patients who are psychologically distressed. They were never intended for the medical-legal purposes. However, the Caveate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that Doctors Waddell and Main provided in their initial papers was that all other pathological causes need to be excluded before the so called "non-organic signs could be interpreted as having psychologically distressed origin". In this case, Dr. Manji presents with symptoms of hyperalgesia and her giving way of an examination of the left upper limb was due to a protective maneuver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to avoid severe pain. (Please note the writer is a personal acquaintance of Dr. Waddell and has collaborated with him.)</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above portions represent a minute example of the nature of some of the expert reports in this case and Dr. Hunt's report is just one of the 20 reports filed to date. In that regard I note that in addition to Dr. Hunt's report the following expert reports have been produced to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Cortese, chiropractor, dated March 24,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Cortese, chiropractor, dated January 25,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Ladhani, family doctor, dated December 19,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Ladhani, family doctor, dated March 5,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Nelems, TOS specialist, dated May 31,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Regan, shoulder surgeon, dated October 4,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Salvian, TOS specialist, dated August 2,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Salvian, TOS specialist, dated August 7,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Salvian, TOS specialist, dated January 28,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Schibler, psychologist, dated July 22,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Shuckett, rheumatologist, dated September 7,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Shuckett, rheumatologist, dated January 15,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Hawkins, shoulder specialist, dated May 15,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Hepburn, orthopaedic surgeon, dated October 11,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Magrega, vocational consultant, dated May 31,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Munro, TOS specialist, dated January 9,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Munro, TOS specialist, dated March 4,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Weekes, physiatrist, dated December 17,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Fenton, rheumatologist, dated March 10,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that the above list, with the exception of Dr. Fenton's recent report, does not include whatever further reports are generated by the recently ordered 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addition, the legal issues presented by this case are likely to be exceedingly complicated. I agree with the submission made on behalf of the plaintiff that the law related to the issue of causation in this case, including the interjection of the defence of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is very complex even for those trained in law. Assessing the quantum of damages under the various heads claimed and apportioning damages as between the two sets of defendants is likely to be an exceedingly difficult and complex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note that the Doorandish defendant submits, and the Chandra defendants agree, that the circumstances of the present case are "essentially indistinguishable at law" from the circumstances of the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case. With respect, I must disagree. Besides the length of trial, which as noted will be more than double what was predicted in that case, the number of expert reports in the case at bar is likely to approach 30, while the number of anticipated expert witnesses to date is likely to exceed 20.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the court only mentioned six medical/legal reports and four or five expert medical witnesses. Many of the expert medical reports in this case contain complicated, detailed, and sometimes conflicting medical opinions, all of which the trier of fact must understand, retain, and consider to reach the necessary factual and legal conclusions. The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case, in my view, stands in stark contrast to the matter before the Court today, contrary to 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Therefore, in this case I am firmly of the view that a prolonged examination of this volume of reports with their frequent complexity, accompanied by numerous expert witnesses, some of whom I expect will express very complex and subtly conflicting opinions, cannot conveniently be carried out by a jury. The test for convenience, as set out in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and followed in </w:t>
      </w:r>
      <w:r>
        <w:rPr>
          <w:rFonts w:ascii="arial" w:eastAsia="arial" w:hAnsi="arial" w:cs="arial"/>
          <w:i/>
          <w:color w:val="000000"/>
          <w:sz w:val="20"/>
          <w:lang w:val="en-US" w:eastAsia="en-US" w:bidi="ar-SA"/>
        </w:rPr>
        <w:t>Guichon</w:t>
      </w:r>
      <w:r>
        <w:rPr>
          <w:rFonts w:ascii="arial" w:eastAsia="arial" w:hAnsi="arial" w:cs="arial"/>
          <w:color w:val="000000"/>
          <w:sz w:val="20"/>
          <w:lang w:val="en-US" w:eastAsia="en-US" w:bidi="ar-SA"/>
        </w:rPr>
        <w:t xml:space="preserve">, focuses on the ability of a jury to both understand evidence and </w:t>
      </w:r>
      <w:r>
        <w:rPr>
          <w:rFonts w:ascii="arial" w:eastAsia="arial" w:hAnsi="arial" w:cs="arial"/>
          <w:color w:val="000000"/>
          <w:sz w:val="20"/>
          <w:u w:val="single"/>
          <w:lang w:val="en-US" w:eastAsia="en-US" w:bidi="ar-SA"/>
        </w:rPr>
        <w:t>retain</w:t>
      </w:r>
      <w:r>
        <w:rPr>
          <w:rFonts w:ascii="arial" w:eastAsia="arial" w:hAnsi="arial" w:cs="arial"/>
          <w:color w:val="000000"/>
          <w:sz w:val="20"/>
          <w:lang w:val="en-US" w:eastAsia="en-US" w:bidi="ar-SA"/>
        </w:rPr>
        <w:t xml:space="preserve"> that understanding to the end of trial, and then engage in a reasoned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my view, this would not be achieved conveniently in the case at bar, considering both the nature of the evidence as described above, but also in particular, the anticipated length of the trial, presently set for 35 days, or seven weeks (not adjusting for the two statutory holidays during that time). I further note that if the hard-fought and time-consuming pre-trial applications to date, which to a significant degree have pertained to matters often agreed upon by opposing counsel in litigation of this type, are any indication of how the trial will unfold, I expect the trial may well exceed its scheduled time. The trial in the present case as scheduled is significantly longer than cases where the jury was maintained, as in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(where the trial was set for 15 days), and in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(where the trial was set for 25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To conclude, I find the six reasons advanced by the plaintiff at the outset do indeed compel that the jury notice in this case be struck. In terms of the alleged prejudice to the defendants regarding their case preparation to date, I note that the proposed length and complexity of the trial in relation to the first accident alone most legitimately could have given rise to an application to strike the jury notice. However, counsel for the plaintiff advised that the plaintiff as well sought trial by jury until the second accident gave rise to the additional complications of a second action. Further, I note that the second accident was in its relatively early investigative stages when counsel agreed to having both actions heard together, thus multiplying the volume of complex medical and other expert evidence, expanding the time frame covered by the claims of the plaintiff, and essentially doubling the time estimate for trial. After this occurred the defendants sought an additional ten IMEs. At the end of the day it cannot be unexpected that this matter will proceed before judge alone. Eight months remain prior to the commencement of the trial. I have no doubt that experienced counsel for all parties can properly prepare for a judge-alone trial in the interim. The prejudice, if any, is shared by the plaintiff and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the words of the late Chief Justice McEachern in </w:t>
      </w:r>
      <w:r>
        <w:rPr>
          <w:rFonts w:ascii="arial" w:eastAsia="arial" w:hAnsi="arial" w:cs="arial"/>
          <w:i/>
          <w:color w:val="000000"/>
          <w:sz w:val="20"/>
          <w:lang w:val="en-US" w:eastAsia="en-US" w:bidi="ar-SA"/>
        </w:rPr>
        <w:t>Dunne v. Kokan</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[1982] B.C.J. No. 1519</w:t>
        </w:r>
      </w:hyperlink>
      <w:r>
        <w:rPr>
          <w:rFonts w:ascii="arial" w:eastAsia="arial" w:hAnsi="arial" w:cs="arial"/>
          <w:color w:val="000000"/>
          <w:sz w:val="20"/>
          <w:lang w:val="en-US" w:eastAsia="en-US" w:bidi="ar-SA"/>
        </w:rPr>
        <w:t xml:space="preserve"> (S.C.),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view of the foregoing I have a discretion to order that the trial be heard by a Judge without a jury, and I so order because, in my respectful view, all parties have a better chance of a satisfactory trial by Judge alone, notwithstanding the presumed superior "wisdom" of a jury. </w:t>
      </w:r>
      <w:r>
        <w:rPr>
          <w:rFonts w:ascii="arial" w:eastAsia="arial" w:hAnsi="arial" w:cs="arial"/>
          <w:b/>
          <w:i/>
          <w:color w:val="000000"/>
          <w:sz w:val="20"/>
          <w:lang w:val="en-US" w:eastAsia="en-US" w:bidi="ar-SA"/>
        </w:rPr>
        <w:t>Wisdom is not the question. It is rather a question of managing facts and issues for which a trial by Judge alone is more suitable in a case such as this.</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these reasons I find that the plaintiff has satisfied both the tests under Rule 39(27)(a) and I order the jury notice for the upcoming trial to be struck and that the matter proceed before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application is allowed and the jury notice that was filed on January 20, 2003,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costs arising from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Agresso Corp. v. Temple Insurance Co., [2007] B.C.J. No. 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VI 04-4133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2007 BCSC 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63 B.C.L.R. (4th) 340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44 C.C.L.I. (4th) 181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[2007] I.L.R. I-4572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154 A.C.W.S. (3d) 707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2007 CarswellBC 21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Agresso Corporation, Plaintiff, and Temple Insurance Company, Continental Casualty Company and Certain Underwriters at Lloyd's under Contract No. ENC1-10,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9"/>
      <w:bookmarkEnd w:id="66"/>
      <w:r>
        <w:rPr>
          <w:rFonts w:ascii="arial" w:eastAsia="arial" w:hAnsi="arial" w:cs="arial"/>
          <w:b/>
          <w:color w:val="000000"/>
          <w:sz w:val="20"/>
          <w:lang w:val="en-US" w:eastAsia="en-US" w:bidi="ar-SA"/>
        </w:rPr>
        <w:t>Insurance law — Applicant's duty of disclosure — Default in duty to disclose — Loss of remedies — Application by applicant software company for a declaration that the respondent insurer, which had denied coverage, was obliged to defend it in an action against it from a client — Application dismissed — Coverage under the contract of insurance was excluded as a result of the applicant's failure to disclose material information about a potential claim against it by the plaintiff client in its application.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Insurers — Duties — Duty to defend — Application by applicant software company for a declaration that the respondent insurer, which had denied coverage, was obliged to defend it in an action against it from a client — Application dismissed — Coverage under the contract of insurance was excluded as a result of the applicant's failure to disclose material information about a potential claim against it by the plaintiff client in its application.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The insurance contract — Termination or breach — By insured — Application by applicant software company for a declaration that the respondent insurer, which had denied coverage, was obliged to defend it in an action against it from a client — Application dismissed — Coverage under the contract of insurance was excluded as a result of the applicant's failure to disclose material information about a potential claim against it by the plaintiff client in its application.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9"/>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Agresso for a declaration that Temple was obliged to defend it -- Agresso designed, installed and maintained computer software systems -- In September and October 2000, it entered software licence, implementation and maintenance agreements with Sault College for an academic management information system which used software developed by Agresso -- The maintenance agreement was to continue until September 24, 2005, or when cancelled by one of the parties -- On January 14, 2002, Agresso applied for Information Technology Errors and Omissions insurance from Temple -- A policy was issued for the period from February 28, 2002 to February 28, 2003 -- Under the policy, Agresso was insured for "wrongful acts" that occurred within the policy period -- Agresso considered the implementation agreement with Sault College to be successfully completed by May 30, 2002 -- However, there were on-going problems with the implementation -- Agresso continued to work with Sault College to solve these problems -- By January 20, 2003, Agresso was aware that Sault College was not satisfied with its progress on solving a major problem and believed that Agresso was not able to solve it -- Agresso considered a change to its support mechanism in order to address the core issue -- On February 21, 2003, Agresso applied for a second policy -- It did not disclose to Temple that there was a potential claim from Sault College -- The defendants issued a new policy on the same terms as the first one, for a policy period from March 28, 2003 to March 28, 2004, and a retroactive date of February 28, 2002 -- In April 2003, Sault College abandoned the Agresso contract -- On June 30, 2003, counsel for Sault College wrote to Agresso and advises that his firm had been retained to initiate legal proceedings for losses sustained as a consequence of the failed implementation of the software, and inquired whether Agresso was interested in resolving the matter by meeting with Sault College on a without prejudice basis -- Agresso and Sault College communicated about various issues through their respective counsel -- On January 20, 2004, Agresso notified Temple of a potential claim and a voluntary mediation with Sault College -- On February 10, 2004, Temple advised Agresso that there was no coverage due to non-disclosure of this potential claim in the application form of February 21, 2003 -- On July 28, 2004, Sault College commenced an action against Agresso in the Ontario Superior Court for misrepresentation and breach of contract -- Temple denied coverage -- Agresso contended that the statement of claim in the Sault Action made claims in breach of contract that fell within the scope of the insurance coverage under both policies -- It would be difficult to apportion the costs of defending the breach of contract claim and the misrepresentation claim, so therefore, the duty to defend applied to all defence costs -- Temple denied that they were obliged to defend Agresso in the Sault College action because Agresso failed to disclose information that was material to the insurance coverage in the February 21, 2003 application form -- HELD: Application dismissed with costs -- Coverage under the contract of insurance was excluded as a result of Agresso's failure to disclose material information about a potential claim by Sault College in its application of February 21, 2003 -- Not only was Agresso aware of Sault College's view that a key problem could not be solved, but Sault College had also abandoned the entire system only a few months later, and notified Agresso of its intent to start legal proceedings a few months after that -- A reasonable person in Agresso's position at the time the application for insurance was made would have been of the opinion that the circumstances indicated that there was a reasonable likelihood that a claim would be made against it by Sault College -- If Temple had been informed of the situation with Sault College, they would have acted differently and refused to accept the risk or imposed special conditions -- Accordingly, Temple had established that Agresso failed to disclose information that arose from this was excluded from coverage, and under s. 13 of the Insurance Act, the insurance contract was void.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Legislation Cited_6"/>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Act, s.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9" w:name="Counsel_9"/>
      <w:bookmarkEnd w:id="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Van Driesum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J.R. Singleton,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9"/>
      <w:bookmarkEnd w:id="70"/>
      <w:r>
        <w:pict>
          <v:line id="_x0000_s1075"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FISHER J."/>
            <w:bookmarkEnd w:id="71"/>
            <w:r>
              <w:rPr>
                <w:rFonts w:ascii="arial" w:eastAsia="arial" w:hAnsi="arial" w:cs="arial"/>
                <w:b/>
                <w:color w:val="000000"/>
                <w:sz w:val="30"/>
                <w:lang w:val="en-US" w:eastAsia="en-US" w:bidi="ar-SA"/>
              </w:rPr>
              <w:t>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application under Rule 18A of the , the primary issue is whether the defendant insurers are obliged to defend the plaintiff in an action brought against the plaintiff in the Province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Agresso Corporation, designs, installs and maintains computer software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September and October 2000, Agresso entered software licence, implementation and maintenance agreements with Sault College of Applied Arts and Technology ("Sault College") for an academic management information system, using software developed by Agresso known as Agresso InTuition. The maintenance agreement was to continue until September 24, 2005, or when cancelled by one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January 14, 2002, Agresso applied for Information Technology Errors and Omissions insurance from the defendants. A policy was issued for the period from February 28, 2002 to February 28, 2003. Under the policy, Agresso was insured for "wrongful acts" that occurred within the policy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Agresso considered the implementation agreement with Sault College to be successfully completed by May 30, 2002. However, there were on-going problems with the implementation. Agresso continued to work with Sault College to solve these problems. By January 20, 2003, Agresso was aware that Sault College was not satisfied with its progress on solving a major problem and believed that Agresso was not able to solve it. Agresso was considering a change to its support mechanism in order to address the core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21, 2003, Agresso applied for a second policy. It did not disclose to the defendants that there was a potential claim from Sault College. The defendants issued a new policy on the same terms as the first one, for a policy period from March 28, 2003 to March 28, 2004, and a retroactive date of February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April 2003, Sault College abandoned the Agresso contract. On June 30, 2003, counsel for Sault College wrote to Agresso advising that his firm had been retained to initiate legal proceedings "for losses sustained as a consequence of the failed implementation" of the InTuition software, and inquiring whether Agresso was interested in resolving the matter by meeting with Sault College on a "without prejudice"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this, Agresso and Sault College were communicating about various issues through their respective counsel. On January 20, 2004, Agresso notified the defendants of a potential claim and a voluntary mediation with Sault College. On February 10, 2004, the defendants advised Agresso that there was no coverage due to non-disclosure of this potential claim in the application form of February 21,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28, 2004, Sault College commenced an action against Agresso in the Ontario Superior Court for misrepresentation and breach of contract (the "Sault Action"). Agresso notified the insurers of this claim on August 12, 2004. On August 25, 2004, the insurers denied coverage. Agresso then filed a statement of defence in the Sault Action, and commenced this action, seeking a declaration that the insurers are obliged to defend and indemnify it under the contracts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motion, Agresso seeks only a declaration that the defendants have a duty to defend it in the Sault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parties agreed that it was appropriate that the issue of the duty to defend be determined under Rule 18A. None of the relevant facts are in dispute, and the issue involves the interpretation of a contract of insurance. I agree with counsel that this application is suitable for disposition in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Agresso says that the statement of claim in the Sault Action makes claims in breach of contract that fall within the scope of the insurance coverage under both policies. It would be difficult to apportion the costs of defending the breach of contract claim and the misrepresentation claim, therefore, the duty to defend applies to all defence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deny that they are obliged to defend Agresso in the Sault Action because:</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excluded from coverage, as they occurred prior to the retroactive date of the policies;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breach of contract are not claims for which coverage is provided under the policies;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Agresso failed to disclose information that was material to the insurance coverage in the February 21, 2003 application form;</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were not "made and reported" within the policy period;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Agresso delayed in reporting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terms of the policies</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application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application forms for both policies were substantially the same. William Vanderlinde, the CFO for Agresso, signed both applications. On signing, Mr. Vanderlinde made the following declaration and agreed that the form would become part of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Applicant for this insurance declares that, to the best of his/her knowledge and belief, the statements set forth herein are true and correct and that reasonable efforts have been made to obtain sufficient information to facilitate the proper and accurate completion of the Application form. The undersigned further agrees that if any significant change in the condition of the Applicant is discovered between the date of this Application form and the effective date of the policy, which would render this Application form inaccurate or incomplete, notice of such change will be reported immediately in writing to the Insurance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signing of this Application form does not bind the Applicant to purchase the insurance, the undersigned Applicant agrees that this form and the information formalised pursuant hereto shall be the basis of the contract should a policy be issued and this form will become part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Vanderlinde was required to answer a number of questions regarding knowledge of prior errors or claims. The most significant questions in the second policy, which were answered in the negative, were:</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attach a list and status of all claims, disputes, suits or allegations of non-performance made during the past five years against the Applicant or any director, officer, employee or partner of the Applicant.</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Applicant or any of his/her employees aware of any facts, circumstances or situations which may reasonably give rise to a claim other than as advised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section of the application included the following exclusion: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limitation of any other remedy available to the insurer, it is agreed that if there be knowledge of any such fact, circumstance or situation, any claim or action subsequently emanating therefrom is excluded from coverage under the proposed insurance.</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two policies are the same, except for the applicable policy period. They both have a retroactive date of February 28, 2002. Under "Part II - Insuring Agreements", the defendants agreed "to defend the INSURED against any CLAIM seeking DAMAGES payable under this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"claim"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Written or oral notice received by the INSURED from any party advising that it is the intention of such party to hold the INSURED responsible for a WRONGFUL ACT or INFRINGEMENT.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"Damages" are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Compensatory damages and, where insurable by law, punitive damages which the INSURED is legally obligated to pay as a result of a judgement or settlement. DAMAGES does not include: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fines, taxes or penalties;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fees, expenses or other charges of the INSURED; or</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return of all or any part of payments made to the INSURED by customers for INSURED SERVICES;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injunctive relief or any other non-monetary liability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"Insured services" include one or more of the following:</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development, design, installation, modification or servicing of computers, computer hardware, firmware and/or software, computerized networks or similar electronic information systems or Internet services for a fee,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 of computer system or network related consulting, analysis, programming, training or support for a fee, or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 leasing, licensing, distribution or installation of computers or computer hardware, firmware and software,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computer related services provided for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insurance applies to "wrongful acts" which are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actual or alleged negligent act, error or omission committed solely in the performance of or failure to perform INSURED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policy contains a number of exclusions. Clause 14 excludes "prior acts", which are any wrongful acts that occurred before the retroactive date. Clause 6 excludes any claim based on or arising out of "criminal acts",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criminal, fraudulent, dishonest or discriminatory act or omission, or any malicious or intentional WRONGFUL ACT or INFRINGEMENT committed by or at the direction of any INSURED. However, this exclusion shall not apply to any INSURED who did not commit, participate or have knowledge of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Clause 7 excludes a claim based on any:</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in the performance of any contract or agreement, unless such delay is due to a WRONGFUL ACT on the part of the INSURED;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 or implied warranty or guarantee;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guarantee or cost estimate; or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disputes involving the INSURED'S fees or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policy is a "claims-made and reported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applies only to CLAIMS first made against the INSURED during the policy period and then only if reported to the INSURANCE MANAGER during the policy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Agresso was required to give notice of a claim in accordance with these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provisions of this policy:</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INSURED shall deliver written notice by mail, facsimile or by hand to the INSURANCE MANAGER at the address indicated in the Declarations as soon as practicable after being made aware of a CLAIM.</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during the policy period the INSURED becomes aware of a WRONGFUL ACT or INFRINGEMENT which could reasonably give rise to a CLAIM, the INSURED shall provide written notice thereof to the INSURANCE MANAGER as soon as is practicable and prior to the expiration date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Sault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its Statement of Claim, Sault College makes claims in both tort and contract, alleging misrepresentation and a fundamental breach of contract, and claims both compensatory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alleged misrepresentations occurred before February 28, 2002, the retroactive date of the policies. Sault College claimed that it relied on representations made in proposals in May and August 1999 and in a presentation made in July 2000, that Agresso's InTuition software had the capability to meet the needs of Sault College regarding an academic management information system. One of its essential requirements was a Web Interface component. Another was that Agresso would provide a team to implement and install the software and give on-going support during and after implementation. As a result of its reliance on these representations, Sault College entered into contracts with Agresso in September and October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Sault College alleges that shortly after the implementation process started, the InTuition software did not perform as represented, and that it identified and communicated the deficiencies to Agresso in October and November 2000. In December 2000, Sault College advised Agresso of "12 serious issues and shortcomings" and complained that Agresso personnel did not provide adequate support. Problems continued throughout 2001 and the "go live" date had to be extended from August 1, 2001 to May 27, 2002, with no Web Interface.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October 2002, Sault College advised Agresso of a number of continuing "functionality gaps". It claims that Agresso failed to address these gaps and thus "committed a breach of contract". It decided to abandon the InTuition software in the spring of 2003. It frames its claim for fundamental breach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the inability of Agresso to provide software which properly addressed the needs of Sault College constituted a fundamental breach of contract and Agresso is liable to Sault College for all damages which it sustained as a consequence of the failed implementation and purchase of the Agresso software. Sault College states that it was deprived of the whole benefit of the contract in that the defects in the software and failure to provide the Web Interface component was so substantial, that Sault College would not have entered into the Agreement had it known of the deficiencies and functionality gaps in the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scope of the duty to defend?</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claims made by Sault College covered under the policies?</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Agresso fail to disclose a material fact in the application for insurance of February 21, 2003?</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Agresso report the claim by Sault College in accordance with the terms of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duty to defend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law is clear that the duty to defend is governed by the pleadings. The defendants will only have a duty to defend Agresso if Sault College's statement of claim alleges a state of facts that, properly construed, would support an action that could potentially fall within coverage: </w:t>
      </w:r>
      <w:r>
        <w:rPr>
          <w:rFonts w:ascii="arial" w:eastAsia="arial" w:hAnsi="arial" w:cs="arial"/>
          <w:b/>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at para. 90, </w:t>
      </w:r>
      <w:r>
        <w:rPr>
          <w:rFonts w:ascii="arial" w:eastAsia="arial" w:hAnsi="arial" w:cs="arial"/>
          <w:b/>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at para. 16</w:t>
      </w:r>
      <w:bookmarkStart w:id="72"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2"/>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general rule regarding the scope of the pleadings was stated in </w:t>
      </w:r>
      <w:r>
        <w:rPr>
          <w:rFonts w:ascii="arial" w:eastAsia="arial" w:hAnsi="arial" w:cs="arial"/>
          <w:b/>
          <w:i/>
          <w:color w:val="000000"/>
          <w:sz w:val="20"/>
          <w:lang w:val="en-US" w:eastAsia="en-US" w:bidi="ar-SA"/>
        </w:rPr>
        <w:t>Bacon v. McBride</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(1984), 51 B.C.L.R. 228</w:t>
        </w:r>
      </w:hyperlink>
      <w:r>
        <w:rPr>
          <w:rFonts w:ascii="arial" w:eastAsia="arial" w:hAnsi="arial" w:cs="arial"/>
          <w:color w:val="000000"/>
          <w:sz w:val="20"/>
          <w:lang w:val="en-US" w:eastAsia="en-US" w:bidi="ar-SA"/>
        </w:rPr>
        <w:t xml:space="preserve"> (S.C.)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pleadings govern the duty to defend - not the insurer's view of the validity or the nature of the claim or the possible outcome of the litigation. If the claim alleges a state of facts which, if proven, would fall within the coverage of the policy, the insurer is obliged to defend the suit regardless of the truth or falsity of such allegations. If the allegations do not come within the policy coverage, the insurer has no such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pleadings must be assessed to ascertain the substance and true nature of the claims, and the factual allegations must be considered in their entirety to determine whether they could possibly support the plaintiff's claims: </w:t>
      </w:r>
      <w:r>
        <w:rPr>
          <w:rFonts w:ascii="arial" w:eastAsia="arial" w:hAnsi="arial" w:cs="arial"/>
          <w:b/>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at para. 35. In </w:t>
      </w:r>
      <w:r>
        <w:rPr>
          <w:rFonts w:ascii="arial" w:eastAsia="arial" w:hAnsi="arial" w:cs="arial"/>
          <w:b/>
          <w:i/>
          <w:color w:val="000000"/>
          <w:sz w:val="20"/>
          <w:lang w:val="en-US" w:eastAsia="en-US" w:bidi="ar-SA"/>
        </w:rPr>
        <w:t>Scalera</w:t>
      </w:r>
      <w:r>
        <w:rPr>
          <w:rFonts w:ascii="arial" w:eastAsia="arial" w:hAnsi="arial" w:cs="arial"/>
          <w:color w:val="000000"/>
          <w:sz w:val="20"/>
          <w:lang w:val="en-US" w:eastAsia="en-US" w:bidi="ar-SA"/>
        </w:rPr>
        <w:t>, Iacobucci J. developed a three-step process (at paras. 50-52):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a court should determine which of the plaintiff's legal allegations are properly pleaded. In doing so, courts are not bound by the legal labels chosen by the plaintiff. A plaintiff cannot change an intentional tort into a negligent one simply by choice of words, or vice versa. Therefore, when ascertaining the scope of the duty to defend, a court must look beyond the choice of labels, and examine the substance of the allegations contained in the pleadings. This does not involve deciding whether the claims have any merit; all a court must do is decide, based on the pleadings, the true nature of the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second stage, having determined what claims are properly pleaded, the court should determine if any claims are entirely derivative in nature. The duty to defend will not be triggered simply because a claim can be cast in terms of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tort. If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the same harm as the intentional tort, it will not allow the insured to avoid the exclusion clause for intentionally caused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at the third stage the court must decide whether any of the properly pleaded, non-derivative claims could potentially trigger the insurer's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Extrinsic evidence that is explicitly referred to in the pleadings may be considered to determine the substance and true nature of the allegations: </w:t>
      </w:r>
      <w:r>
        <w:rPr>
          <w:rFonts w:ascii="arial" w:eastAsia="arial" w:hAnsi="arial" w:cs="arial"/>
          <w:b/>
          <w:i/>
          <w:color w:val="000000"/>
          <w:sz w:val="20"/>
          <w:lang w:val="en-US" w:eastAsia="en-US" w:bidi="ar-SA"/>
        </w:rPr>
        <w:t>Monenco</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Where a statement of claim alleges several causes of action or theories of recovery against an insured, one of which is within the coverage of the policy and another which is not, the insurer is bound to defend the insured regarding the cause of action which, if proved, would be within coverage: </w:t>
      </w:r>
      <w:r>
        <w:rPr>
          <w:rFonts w:ascii="arial" w:eastAsia="arial" w:hAnsi="arial" w:cs="arial"/>
          <w:b/>
          <w:i/>
          <w:color w:val="000000"/>
          <w:sz w:val="20"/>
          <w:lang w:val="en-US" w:eastAsia="en-US" w:bidi="ar-SA"/>
        </w:rPr>
        <w:t>Bacon v. McBride</w:t>
      </w:r>
      <w:r>
        <w:rPr>
          <w:rFonts w:ascii="arial" w:eastAsia="arial" w:hAnsi="arial" w:cs="arial"/>
          <w:color w:val="000000"/>
          <w:sz w:val="20"/>
          <w:lang w:val="en-US" w:eastAsia="en-US" w:bidi="ar-SA"/>
        </w:rPr>
        <w:t xml:space="preserve"> at para. 12, </w:t>
      </w:r>
      <w:r>
        <w:rPr>
          <w:rFonts w:ascii="arial" w:eastAsia="arial" w:hAnsi="arial" w:cs="arial"/>
          <w:b/>
          <w:i/>
          <w:color w:val="000000"/>
          <w:sz w:val="20"/>
          <w:lang w:val="en-US" w:eastAsia="en-US" w:bidi="ar-SA"/>
        </w:rPr>
        <w:t>Hartup v. BCAA Insurance Corp.</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[2002] B.C.J. No. 1520</w:t>
        </w:r>
      </w:hyperlink>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2002 BCSC 972</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All of this must be considered along with the general principles of insurance contract interpretation. First, the general purpose of insurance is to provide "a mechanism for transferring fortuitous contingent risks":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insurance usually makes economic sense only where the losses covered are unforeseen or accidental.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Scalera</w:t>
      </w:r>
      <w:r>
        <w:rPr>
          <w:rFonts w:ascii="arial" w:eastAsia="arial" w:hAnsi="arial" w:cs="arial"/>
          <w:color w:val="000000"/>
          <w:sz w:val="20"/>
          <w:lang w:val="en-US" w:eastAsia="en-US" w:bidi="ar-SA"/>
        </w:rPr>
        <w:t xml:space="preserve"> at para. 68-69, citing C. Brown and J. Menezes,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xml:space="preserve"> (2nd ed. 1991) at 125-126.)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Second, since insurance contracts are essentially adhesionary, ambiguities are construed against the insurer; coverage provisions should be construed broadly and exclusion clauses narrowly: </w:t>
      </w:r>
      <w:r>
        <w:rPr>
          <w:rFonts w:ascii="arial" w:eastAsia="arial" w:hAnsi="arial" w:cs="arial"/>
          <w:b/>
          <w:i/>
          <w:color w:val="000000"/>
          <w:sz w:val="20"/>
          <w:lang w:val="en-US" w:eastAsia="en-US" w:bidi="ar-SA"/>
        </w:rPr>
        <w:t>Scalera</w:t>
      </w:r>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Third, where the contract is unambiguous, a court should give effect to the clear language, reading the contract as a whole; where there is ambiguity, the court should give effect to the reasonable expectations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[L]iteral meaning should not be applied where to do so would bring about an unrealistic result or a result which would not be contemplated in the commercial atmosphere in which the insurance was contracted. Where words may bear two constructions, the more reasonable one, that which produces a fair result, must certainly be taken as the interpretation which would promote the intention of the parties. Similarly, an interpretation which defeats the intentions of the parties and their objective in entering into the commercial transaction in the first place should be discarded in favour of an interpretation of the policy which promotes a sensible commercial result ... Said another way, the courts should be loath to support a construction which would either enable the insurer to pocket the premium without risk or the insured to achieve a recovery which could neither be sensibly sought nor anticipated at the time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Scalera</w:t>
      </w:r>
      <w:r>
        <w:rPr>
          <w:rFonts w:ascii="arial" w:eastAsia="arial" w:hAnsi="arial" w:cs="arial"/>
          <w:color w:val="000000"/>
          <w:sz w:val="20"/>
          <w:lang w:val="en-US" w:eastAsia="en-US" w:bidi="ar-SA"/>
        </w:rPr>
        <w:t xml:space="preserve"> at para. 71, citing </w:t>
      </w:r>
      <w:r>
        <w:rPr>
          <w:rFonts w:ascii="arial" w:eastAsia="arial" w:hAnsi="arial" w:cs="arial"/>
          <w:b/>
          <w:i/>
          <w:color w:val="000000"/>
          <w:sz w:val="20"/>
          <w:lang w:val="en-US" w:eastAsia="en-US" w:bidi="ar-SA"/>
        </w:rPr>
        <w:t>Consolidated-Bathurst Export Ltd. v. Mutual Boiler and Machinery Insurance Co.</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at 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Considering all of these legal principles, I turn to the contract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Are the claims made by Sault College covered by the policies?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Agresso concedes that Sault College's claims based on misrepresentation are excluded from the policy as the allegations stem from prior acts, occurring before the retroactive date of the policy. Agresso says, however, that the claims based on breach of contract are wrongful acts as defined in the policies, and are not excluded, and the defendants have the duty to defend that cause of action. Mr. Van Driesum submitted that the essence of Sault College's claim is based on the contractual relationship between the parties and allegations of failures by Agresso in the performance of its contractual obligations. He referred to the terms of the contracts between Agresso and Sault College as providing context to the allegations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Singleton submitted that the insurance contract covers claims for "wrongful acts", which include only negligent acts, errors or omissions in performing insured services, not intentional conduct or claims for breach of contract. He submitted that the pleadings do not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delivery of services, but rather that the InTuition software did not conform to contract specifications. These claims are not fortuitous, but rather, relate to a long standing dispute as to whether the software functioned and met the needs of Sault College in the manner represented by Agresso. He referred to the damages claimed by Sault College as being primarily repayment of software purchase costs and refunds of fees paid under the contracts, which he says are excluded, and he says that claims based on breach of warranty are also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contract of insurance in this case provides coverage for "wrongful acts", which are defined as "[a]ny actual or alleged negligent act, error or omission committed solely in the performance of or failure to perform insured services." "Insured services" by their definition must include services provided under contract. In my view, there is coverage for claims alleging a failure to perform contractual services if the failure is due to a wrongful act. There is no general exclusion for claims framed in breach of contract. There are however, exclusions from matters that arise from breach of contract. Clause 7 excludes claims based on express or implied warranties or guarantees, and claims based on delay in the performance of a contract, but it specifically does not exclude a delay that is due to a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mere fact that a claim is sounded in breach of contract does not in itself mean that the claim is not covered. As the Supreme Court of Canada directed in </w:t>
      </w:r>
      <w:r>
        <w:rPr>
          <w:rFonts w:ascii="arial" w:eastAsia="arial" w:hAnsi="arial" w:cs="arial"/>
          <w:b/>
          <w:i/>
          <w:color w:val="000000"/>
          <w:sz w:val="20"/>
          <w:lang w:val="en-US" w:eastAsia="en-US" w:bidi="ar-SA"/>
        </w:rPr>
        <w:t>Scalera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Monenco</w:t>
      </w:r>
      <w:r>
        <w:rPr>
          <w:rFonts w:ascii="arial" w:eastAsia="arial" w:hAnsi="arial" w:cs="arial"/>
          <w:color w:val="000000"/>
          <w:sz w:val="20"/>
          <w:lang w:val="en-US" w:eastAsia="en-US" w:bidi="ar-SA"/>
        </w:rPr>
        <w:t>, I must assess the pleadings to ascertain the substance and true nature of the claims, and I must consider the factual allegations in their entirety to determine whether they could possibly support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statement of claim in the Sault Action is imprecise. It claims specified damages for breach of contract and misrepresentations, "other damages" for "negative impact on Sault College's education and business reputation" and punitive damages. It alleges that Agresso made misrepresentations "knowing that they were not true, or made them recklessly and negligently not knowing or caring whether or not they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statement of claim refers to the contracts with Agresso, as well as other documents. There were three contracts, which worked together. They included services for implementing and maintaining the software system over a period of time; the maintenance agreement was for a five year term, ending September 24, 2005. The allegations in the statement of claim allege that Agresso failed to properly perform these services. Many of the allegations relate to matters that arose before the retroactive date of the policy. However, there were significant problems that continued after the "go-live" date of May 27, 2002. At para. 33 of its statement of claim, Sault College alleges that after this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continued to be serious flaws with the software and its implementation including the fact that there was no web interface. These serious functionality gaps were communicated to Agresso which failed to adequately remedy or address same. By October 15, 2002, Sault College had amassed these functionality gaps and difficulties in a document entitled "Outstanding Items and Activities" and provided it to Agresso. Agresso failed to adequately address these functionality gaps.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para. 35, Sault College alleges that Agresso committed a breach of contract in failing to address and remedy these functionality gaps. At para. 37, Sault College alleges a fundamental breach of contract due to Agresso's inability to provide software that properly addressed its needs. It does not make an explicit claim for breach of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many of the claims arise from events before February 28, 2002, there are a number of alleged failures to address and remedy problems after that date, which are based on failures in the performance of the contracted services. In my view, those alleged failures arise from "wrongful acts" as defined in the policy, and are not derivative of the tort claim. There is an element of fortuitous risk in these breach of contract claims</w:t>
      </w:r>
      <w:bookmarkStart w:id="73"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73"/>
      <w:r>
        <w:rPr>
          <w:rFonts w:ascii="arial" w:eastAsia="arial" w:hAnsi="arial" w:cs="arial"/>
          <w:color w:val="000000"/>
          <w:sz w:val="20"/>
          <w:lang w:val="en-US" w:eastAsia="en-US" w:bidi="ar-SA"/>
        </w:rPr>
        <w:t>. These allegations do not fall within any of the exclusion clauses in the policy. Considering the substance and true nature of the claims in the pleadings, as well as the context and scope of the contracts between Agresso and Sault College as referred to in the pleadings, I conclude that the Sault Action alleges, in part, a state of facts that, properly construed, would support an action that could potentially fall within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Agresso fail to disclose a material fact in its application for insurance?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say that Agresso failed to disclose information that was material to the insurance coverage when it applied for the second policy on February 21, 2003. Mr. Singleton submitted that at that time, Agresso was aware that Sault College had made numerous complaints about its services and was a very unhappy client. He says that on any reasonable interpretation, these complaints constituted "allegations of non-performance" as that term is used in question 42 of the application form. Moreover, in Agresso's own evidence, Shelley Zapp, Agresso's president, deposed that she became aware of a potential claim by Sault College on January 20, 2003. Under the terms of the policy, coverage is expressly excluded where the applicant does not disclose such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Van Driesum submitted that the complaints by Sault College must be viewed in the context of the business relationship between the parties. He says that the parties were dealing with issues that are not unusual in that business environment. Agresso did not consider that Sault College was engaging in a claim, but rather, the parties were still in a dialogue about how to solve on-going problems. He says that the majority of complaints had been resolved by November 2002, and by January 2003 the list was even narrower. In this context, it cannot be said that Agresso failed to disclose material information in its February 21, 2003 application. He relied on the test set out in </w:t>
      </w:r>
      <w:r>
        <w:rPr>
          <w:rFonts w:ascii="arial" w:eastAsia="arial" w:hAnsi="arial" w:cs="arial"/>
          <w:b/>
          <w:i/>
          <w:color w:val="000000"/>
          <w:sz w:val="20"/>
          <w:lang w:val="en-US" w:eastAsia="en-US" w:bidi="ar-SA"/>
        </w:rPr>
        <w:t>Surrey (District) v. General Accident Assurance Co. of Canada</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(1994), 92 B.C.L.R. (2d) 115</w:t>
        </w:r>
      </w:hyperlink>
      <w:r>
        <w:rPr>
          <w:rFonts w:ascii="arial" w:eastAsia="arial" w:hAnsi="arial" w:cs="arial"/>
          <w:color w:val="000000"/>
          <w:sz w:val="20"/>
          <w:lang w:val="en-US" w:eastAsia="en-US" w:bidi="ar-SA"/>
        </w:rPr>
        <w:t xml:space="preserve"> (S.C.), aff'd </w:t>
      </w:r>
      <w:hyperlink r:id="rId228" w:history="1">
        <w:r>
          <w:rPr>
            <w:rFonts w:ascii="arial" w:eastAsia="arial" w:hAnsi="arial" w:cs="arial"/>
            <w:i/>
            <w:color w:val="0077CC"/>
            <w:sz w:val="20"/>
            <w:u w:val="single"/>
            <w:shd w:val="clear" w:color="auto" w:fill="FFFFFF"/>
            <w:lang w:val="en-US" w:eastAsia="en-US" w:bidi="ar-SA"/>
          </w:rPr>
          <w:t>(1996), 19 B.C.L.R. (3d) 186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failure to disclose information in an application for insurance does not render an insurance contract void or voidable unless the failure to disclose is material to the contract. Whether such a failure is material is a question of fact: s. 13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test for determining materiality is objective. The question is whether, if the information had been disclosed, it would have influenced the judgment of a reasonable or prudent insurer in fixing the premium or accepting the risk: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xml:space="preserve"> at para. 49, </w:t>
      </w:r>
      <w:r>
        <w:rPr>
          <w:rFonts w:ascii="arial" w:eastAsia="arial" w:hAnsi="arial" w:cs="arial"/>
          <w:b/>
          <w:i/>
          <w:color w:val="000000"/>
          <w:sz w:val="20"/>
          <w:lang w:val="en-US" w:eastAsia="en-US" w:bidi="ar-SA"/>
        </w:rPr>
        <w:t>Sayle v. Jevco Insurance Co.</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(1984), 58 B.C.L.R. 122</w:t>
        </w:r>
      </w:hyperlink>
      <w:r>
        <w:rPr>
          <w:rFonts w:ascii="arial" w:eastAsia="arial" w:hAnsi="arial" w:cs="arial"/>
          <w:color w:val="000000"/>
          <w:sz w:val="20"/>
          <w:lang w:val="en-US" w:eastAsia="en-US" w:bidi="ar-SA"/>
        </w:rPr>
        <w:t xml:space="preserve"> (S.C.) at para. 14, aff'd </w:t>
      </w:r>
      <w:hyperlink r:id="rId231" w:history="1">
        <w:r>
          <w:rPr>
            <w:rFonts w:ascii="arial" w:eastAsia="arial" w:hAnsi="arial" w:cs="arial"/>
            <w:i/>
            <w:color w:val="0077CC"/>
            <w:sz w:val="20"/>
            <w:u w:val="single"/>
            <w:shd w:val="clear" w:color="auto" w:fill="FFFFFF"/>
            <w:lang w:val="en-US" w:eastAsia="en-US" w:bidi="ar-SA"/>
          </w:rPr>
          <w:t>(1985) 16 C.C.L.I. 309</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[1985] B.C.J. No. 2574</w:t>
        </w:r>
      </w:hyperlink>
      <w:r>
        <w:rPr>
          <w:rFonts w:ascii="arial" w:eastAsia="arial" w:hAnsi="arial" w:cs="arial"/>
          <w:color w:val="000000"/>
          <w:sz w:val="20"/>
          <w:lang w:val="en-US" w:eastAsia="en-US" w:bidi="ar-SA"/>
        </w:rPr>
        <w:t xml:space="preserve"> (C.A.). The onus is on the insurer to prove both the failure to disclose and that the failure was material: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xml:space="preserve"> at para. 48, </w:t>
      </w:r>
      <w:r>
        <w:rPr>
          <w:rFonts w:ascii="arial" w:eastAsia="arial" w:hAnsi="arial" w:cs="arial"/>
          <w:b/>
          <w:i/>
          <w:color w:val="000000"/>
          <w:sz w:val="20"/>
          <w:lang w:val="en-US" w:eastAsia="en-US" w:bidi="ar-SA"/>
        </w:rPr>
        <w:t>Sayle</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xml:space="preserve">, the insurer claimed that an insurance policy was void under s. 13 (then s. 15)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because the insured, Surrey, had failed to disclose complaints made by the owner of a golf course about increased flooding due to drainage problems caused by urbanization. The policy period was from October 31, 1982 to October 31, 1983. During that time, the golf course repaired a flume that it had installed some years earlier, which had been damaged over time by increased flows of water. In December 1982, Surrey refused the golf course's request to share the costs of repairing the flume, as it did not want such action to be viewed as a precedent. In 1986, the golf course started an action against Surrey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unjust enrichment. In 1989, its claim for unjust enrichment was allowed after a trial and in 1990 the damage award was increased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application form required Surrey to advise of "any error, omission, negligent act, unresolved job dispute or circumstance which may result in a claim being made against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Allan J. concluded that a prudent insurer would have made further enquiries if it had known about the flooding or drainage problems at the time, and in that sense the fact was material. However, she found that Surrey did not fail to disclose a material fact. Surrey had received many complaints about flooding over the years, but no claims had been made before the golf course started its action in 1986. The judge did not consider that the communications between Surrey and the golf course about the flooding problems at the time of the application were "circumstances which may result in a claim being made"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of Appeal agreed with these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already mentioned, Surrey was and is a large and rapidly expanding municipality. It receives many enquiries that may or may not be properly characterized as complaints. At the time of the insurance, Surrey had been in communication with Peace Portal for some time and there had never been the slightest suggestion of a claim. Surrey cannot be expected to enumerate every area of discussion in which it has engaged or to editorialize in an application for insurance about the various everyday problems it is experiencing. While communications between the parties focused on a very specific problem, no claim was made until well after the policy was issued. Instead, even after the policy was issued, Peace Portal "requested" Surrey to share the expenses of its proposed flume repairs, in a way which was hardly calculated to lead Surrey to anticipate a claim. In any event, Surrey's obligation was to advise of anything that might result in a claim. Viewed objectively, I do not find any evidence that should have led Surrey to think that anything it had done or not done vis-a-vis Peace Portal would result in a claim. Surrey's manager says he was not made aware of any claim until some years later, "around 1986", presumably when the action was started. (para. 31 of </w:t>
      </w:r>
      <w:hyperlink r:id="rId228" w:history="1">
        <w:r>
          <w:rPr>
            <w:rFonts w:ascii="arial" w:eastAsia="arial" w:hAnsi="arial" w:cs="arial"/>
            <w:i/>
            <w:color w:val="0077CC"/>
            <w:sz w:val="20"/>
            <w:u w:val="single"/>
            <w:shd w:val="clear" w:color="auto" w:fill="FFFFFF"/>
            <w:lang w:val="en-US" w:eastAsia="en-US" w:bidi="ar-SA"/>
          </w:rPr>
          <w:t>(1996), 19 B.C.L.R. (3d) 186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Sayle</w:t>
      </w:r>
      <w:r>
        <w:rPr>
          <w:rFonts w:ascii="arial" w:eastAsia="arial" w:hAnsi="arial" w:cs="arial"/>
          <w:color w:val="000000"/>
          <w:sz w:val="20"/>
          <w:lang w:val="en-US" w:eastAsia="en-US" w:bidi="ar-SA"/>
        </w:rPr>
        <w:t>, the insured realty company was sued by both the vendor and the purchaser of a collapsed real estate transaction. No damages were sought against the realtor in the writ and its principal understood that her company, which held the deposit, was merely joined as a stakeholder. Her solicitors applied for and obtained court orders confirming that the company need not defend against any allegations in the pleadings nor conduct or be subject to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realtor applied for and received errors and omission coverage from the defendant insurer. The application form required the realtor to advise of "any circumstance which is likely to give rise to a claim against the firm, or their predecessors in business, or any of the present or former Partners". To this the realtor answered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McLachlin J. (as she then was) determined that the insurer established materiality but did not establish that the realtor's answer was inaccurate. She held (at para. 17) that an applicant is not obliged to inform an insurer of every complaint or suggestion of incompetence that has been raised against him or her: "what must be reported are claims or potential claims, not fanciful possibilities." She concluded that only circumstances which indicated some likelihood of suit were required to be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McLachlin J. was satisfied that a reasonable person in the insured's position at the time of the application for insurance would not have been of the opinion that there were circumstances which were "likely to give rise to a claim". The realtor knew that the purchaser had alleged that the interim agreement was void for uncertainty, but had made no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her or her company, and the only claim made was as stakeholder for the deposit. This was confirmed by her solicitors and by court order. At the time of the application, the litigation had been ongoing for almost ten months without any suggestion by either party that the realtor or her company might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Van Driesum submitted that the facts of this case are stronger than those in </w:t>
      </w:r>
      <w:r>
        <w:rPr>
          <w:rFonts w:ascii="arial" w:eastAsia="arial" w:hAnsi="arial" w:cs="arial"/>
          <w:b/>
          <w:i/>
          <w:color w:val="000000"/>
          <w:sz w:val="20"/>
          <w:lang w:val="en-US" w:eastAsia="en-US" w:bidi="ar-SA"/>
        </w:rPr>
        <w:t>Sayle</w:t>
      </w:r>
      <w:r>
        <w:rPr>
          <w:rFonts w:ascii="arial" w:eastAsia="arial" w:hAnsi="arial" w:cs="arial"/>
          <w:color w:val="000000"/>
          <w:sz w:val="20"/>
          <w:lang w:val="en-US" w:eastAsia="en-US" w:bidi="ar-SA"/>
        </w:rPr>
        <w:t xml:space="preserve"> and are analogous to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xml:space="preserve">. He says that in both this case and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the parties had long term relationships, the insured was aware that the other party had complaints but was not aware that the complaints would result in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disagree that the facts here are stronger than those in </w:t>
      </w:r>
      <w:r>
        <w:rPr>
          <w:rFonts w:ascii="arial" w:eastAsia="arial" w:hAnsi="arial" w:cs="arial"/>
          <w:b/>
          <w:i/>
          <w:color w:val="000000"/>
          <w:sz w:val="20"/>
          <w:lang w:val="en-US" w:eastAsia="en-US" w:bidi="ar-SA"/>
        </w:rPr>
        <w:t>Sayle</w:t>
      </w:r>
      <w:r>
        <w:rPr>
          <w:rFonts w:ascii="arial" w:eastAsia="arial" w:hAnsi="arial" w:cs="arial"/>
          <w:color w:val="000000"/>
          <w:sz w:val="20"/>
          <w:lang w:val="en-US" w:eastAsia="en-US" w:bidi="ar-SA"/>
        </w:rPr>
        <w:t xml:space="preserve">. I agree that the circumstances are somewhat analogous to those in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but Agresso's own evidence confirms that it first became aware of a "potential claim" on January 20, 2003, a month before the application was completed. At issue is whether a reasonable person would have concluded that the circumstances constituted a "dispute", "allegations of non-performance", or "facts, circumstances or situations which may reasonably give rise to a claim", as required in questions 42 and 43 of the application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circumstances were these. Agresso considered the Sault College contract successfully completed as of May 30, 2002, after the College had "turned the switch" and started using the software for its student administration requirements. Before this, it had been involved with Sault College in implementing the system and working out problems. Agresso was aware of various complaints about the software, but only became aware that Sault College believed it was not able to solve a key issue on January 20, 2003, when Ron van der Wees, Agresso's project manager, wrote to Andrew Clark, the Vice-President, about a telephone conversation with Jim Erb, Sault College's registrar. Mr. van der Wees reported that the registrar, on behalf of Sault College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strongly expressed their dissatisfaction with the rate of progress on solving the whole issue of students accounts receivable. It is their belief at this point that we are unable to solve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Jim expressed many of the same ideas that we are accustomed to (i.e. no resolution to outstanding items, no partnership, lengthy implementation, poor support) including the long held belief that we don't know how to support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however that we may well have identified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need to change the mechanism by which the college's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 are resolved and it stems from their viewpoint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we did not implement the product to their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satisfaction. Whether we agree to that statement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Jim's viewpoint does identify that our support mechanism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not be the method by which we solve their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college is not asking for anything in particular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us other than to be able to deal with someone who nows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[sic] what there [sic] are doing and can solve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problem. Whether this comes in the form of on-site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assistance (at our expense of course) or via webex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some other means, they don't care ...... let's just get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done is the message they are delivering.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continue to use the support mechanism, we may potentially never deal with the core issue (see below). The support mechanism by its nature only reacts to a specific complaint from the client (as logged through ServiceWise). In Sault's case, I believe (like Jim) that there may well be an underlying implementation issue that should have focussed on a particular process (like student AR). If we can find a way internally to provide a process based solution (perhaps via a BA session of some kind), then we may be on the right road, but we may want to talk about how this can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a process based description, there is only one real issue to deal with: students account receivable is not achieving the results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[other issues are listed]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I'll assume that you will call me after you have had a chance to read this. I believe as I hinted above, that we may need to do some implementation work here rather than just rely on the support mechanism. I believe we can take a project approach to this but its not going to be billable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February 19, 2003, Andrew Clark and Shelley Zapp received information in an e-mail that Sault College was going back to its older system for invoicing and billing, but would continue with the Agresso system for student records "at least for the time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Van Driesum submitted that at the time of the application, Agresso was not aware that Sault College's complaints were serious enough to engage a claims process. They were still trying to find solutions to the problems. The contracts provided a mechanism for alternative dispute resolution. Sault College did not begin to engage this process until June 30, 2003. Until then, he says, it cannot be concluded that Agresso was aware of a circumstance that could reasonably give rise to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considerable difficulty with Mr. Van Driesum's submission in light of Ms. Zapp's evidence that Agresso "did not become aware of any potential claim by Sault College until January 20, 2003 when a representative of Sault informed a representative of the Plaintiff that Sault believed that the plaintiff was unable to solve the problems Sault was having with the software." The e-mail from Mr. van der Wees to Mr. Clark makes it quite clear that Sault College's complaints were serious and that any solution would involve significant work at Agresso's expense. Moreover, only two days before the application, Agresso became aware that Sault College was going back to its older system in part. Although it appears that Sault College was not advising Agresso of the extent of its planning at that point, it was clear that the problems were indeed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my view, the circumstances known to Agresso at the time of the application were quite different than those known to the applicants in both the </w:t>
      </w:r>
      <w:r>
        <w:rPr>
          <w:rFonts w:ascii="arial" w:eastAsia="arial" w:hAnsi="arial" w:cs="arial"/>
          <w:b/>
          <w:i/>
          <w:color w:val="000000"/>
          <w:sz w:val="20"/>
          <w:lang w:val="en-US" w:eastAsia="en-US" w:bidi="ar-SA"/>
        </w:rPr>
        <w:t>Sayle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xml:space="preserve"> cases. In </w:t>
      </w:r>
      <w:r>
        <w:rPr>
          <w:rFonts w:ascii="arial" w:eastAsia="arial" w:hAnsi="arial" w:cs="arial"/>
          <w:b/>
          <w:i/>
          <w:color w:val="000000"/>
          <w:sz w:val="20"/>
          <w:lang w:val="en-US" w:eastAsia="en-US" w:bidi="ar-SA"/>
        </w:rPr>
        <w:t>Sayle</w:t>
      </w:r>
      <w:r>
        <w:rPr>
          <w:rFonts w:ascii="arial" w:eastAsia="arial" w:hAnsi="arial" w:cs="arial"/>
          <w:color w:val="000000"/>
          <w:sz w:val="20"/>
          <w:lang w:val="en-US" w:eastAsia="en-US" w:bidi="ar-SA"/>
        </w:rPr>
        <w:t xml:space="preserve">, an action was in progress but there were no allegations against the insured and the realtor's role as stakeholder only had been confirmed in court orders. In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no action was commenced for close to four years after the application for insurance. In this case, not only was Agresso aware of Sault College's view that a key problem could not be solved, but the College also abandoned the entire system only a few months later, and notified Agresso of its intent to start legal proceedings a few months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questions regarding potential claims in </w:t>
      </w:r>
      <w:r>
        <w:rPr>
          <w:rFonts w:ascii="arial" w:eastAsia="arial" w:hAnsi="arial" w:cs="arial"/>
          <w:b/>
          <w:i/>
          <w:color w:val="000000"/>
          <w:sz w:val="20"/>
          <w:lang w:val="en-US" w:eastAsia="en-US" w:bidi="ar-SA"/>
        </w:rPr>
        <w:t>Sayle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Surrey</w:t>
      </w:r>
      <w:r>
        <w:rPr>
          <w:rFonts w:ascii="arial" w:eastAsia="arial" w:hAnsi="arial" w:cs="arial"/>
          <w:color w:val="000000"/>
          <w:sz w:val="20"/>
          <w:lang w:val="en-US" w:eastAsia="en-US" w:bidi="ar-SA"/>
        </w:rPr>
        <w:t xml:space="preserve"> were quite similar to question 43 in the application at issue here. I am satisfied that a reasonable person in Agresso's position at the time the application for insurance was made would have been of the opinion that the circumstances indicated that there was a reasonable likelihood that a claim would be made against it by Sault College. I am also satisfied that if the defendants had been informed of the situation with Sault College, they would have acted differently by refusing to accept the risk or imposing special conditions. Accordingly, the defendants have established that Agresso failed to disclose information that was material to the contract. Under the terms of the policy, any claim emanating from this is excluded from coverage, and under s. 13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the insurance contract is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will add that I do not consider Agresso's answer to question 42 of the application to be inaccurate. That question required Agresso to attach </w:t>
      </w:r>
      <w:r>
        <w:rPr>
          <w:rFonts w:ascii="arial" w:eastAsia="arial" w:hAnsi="arial" w:cs="arial"/>
          <w:color w:val="000000"/>
          <w:sz w:val="20"/>
          <w:u w:val="single"/>
          <w:lang w:val="en-US" w:eastAsia="en-US" w:bidi="ar-SA"/>
        </w:rPr>
        <w:t>a list</w:t>
      </w:r>
      <w:r>
        <w:rPr>
          <w:rFonts w:ascii="arial" w:eastAsia="arial" w:hAnsi="arial" w:cs="arial"/>
          <w:color w:val="000000"/>
          <w:sz w:val="20"/>
          <w:lang w:val="en-US" w:eastAsia="en-US" w:bidi="ar-SA"/>
        </w:rPr>
        <w:t xml:space="preserve"> of all "claims, disputes, suits or allegations of non-performance made during the past five years". The phrase "allegations of non-performance" is in itself very broad and quite ambiguous. Given that this phrase follows the words "claims", "disputes" and "suits", and given that question 43 asks about "circumstances or situations which may reasonably give rise to a claim other than as advised above", I would interpret this narrowly to require some sort of active legal matter that is capable of being put in a list. As McLachlin J. said in </w:t>
      </w:r>
      <w:r>
        <w:rPr>
          <w:rFonts w:ascii="arial" w:eastAsia="arial" w:hAnsi="arial" w:cs="arial"/>
          <w:b/>
          <w:i/>
          <w:color w:val="000000"/>
          <w:sz w:val="20"/>
          <w:lang w:val="en-US" w:eastAsia="en-US" w:bidi="ar-SA"/>
        </w:rPr>
        <w:t>Sayle</w:t>
      </w:r>
      <w:r>
        <w:rPr>
          <w:rFonts w:ascii="arial" w:eastAsia="arial" w:hAnsi="arial" w:cs="arial"/>
          <w:color w:val="000000"/>
          <w:sz w:val="20"/>
          <w:lang w:val="en-US" w:eastAsia="en-US" w:bidi="ar-SA"/>
        </w:rPr>
        <w:t>, an applicant is not obliged to inform an insurer of every complaint or suggestion of incompetence. Given its ambiguity, any other interpretation would not promote the intention of the parties and in my opinion, would bring about an unreasonable or unfair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Agresso report the claim in accordance with the terms of the policies?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defendants say that the Sault College claim was made during the policy period under the first policy, but reported during the policy period under the second. Mr. Singleton submitted that Agresso's failure to report the claim during the same policy period in which the claim was made amounts to non-compliance of a "claims made and reported" policy, and coverage is not available for that reason as well. He relied on </w:t>
      </w:r>
      <w:r>
        <w:rPr>
          <w:rFonts w:ascii="arial" w:eastAsia="arial" w:hAnsi="arial" w:cs="arial"/>
          <w:b/>
          <w:i/>
          <w:color w:val="000000"/>
          <w:sz w:val="20"/>
          <w:lang w:val="en-US" w:eastAsia="en-US" w:bidi="ar-SA"/>
        </w:rPr>
        <w:t>Stuart v. Hutchins</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(1998), 40 O.R. (3d) 321</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Brelih v. St. Paul Companies Inc.</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[2006] O.J. No. 1369</w:t>
        </w:r>
      </w:hyperlink>
      <w:r>
        <w:rPr>
          <w:rFonts w:ascii="arial" w:eastAsia="arial" w:hAnsi="arial" w:cs="arial"/>
          <w:color w:val="000000"/>
          <w:sz w:val="20"/>
          <w:lang w:val="en-US" w:eastAsia="en-US" w:bidi="ar-SA"/>
        </w:rPr>
        <w:t xml:space="preserve"> (Ont. S.C. of J.) and </w:t>
      </w:r>
      <w:r>
        <w:rPr>
          <w:rFonts w:ascii="arial" w:eastAsia="arial" w:hAnsi="arial" w:cs="arial"/>
          <w:b/>
          <w:i/>
          <w:color w:val="000000"/>
          <w:sz w:val="20"/>
          <w:lang w:val="en-US" w:eastAsia="en-US" w:bidi="ar-SA"/>
        </w:rPr>
        <w:t>Jesuit Fathers of Upper Canada v. Guardian Insurance Co. of Canada</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also say that Agresso did not report the claim until January 2004, which was a delay that prejudiced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Van Driesum submitted that the Sault College claim was made and reported during the second policy period and in any event, if compliance was imperfect in these circumstances, there are grounds for the court to relieve from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light of my conclusion regarding non-disclosure, it is not necessary to determine this issue. However, I note that the cases cited by Mr. Singleton primarily involved circumstances where the claims were reported to the insurer after the expiration of the policy. In this case, Agresso reported the claim related to Sault College in January 2004, which was during the policy period. The issue here is whether the Sault College claim was made before or after March 28, 2003. While I have determined that before this date, Agresso failed to disclose to the defendants that there was a reasonable likelihood that a claim would be made against it by Sault College, it does not necessarily follow that Sault College had made a claim against Agresso at that time. Under the policy, the claim was made when Agresso received written or oral notice from Sault College advising that it was the College's intention to hold Agresso responsible for a wrongful act. Based on the evidence, this did not occur until June 30, 2003, when Agresso received the letter from Sault College's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Coverage under the contract of insurance is excluded as a result of Agresso's failure to disclose material information about a potential claim by Sault College in its application of February 21, 2003. As a result, Agresso's application for a declaration that the defendants are obliged to defend it in the Sault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will have costs at the usual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76" style="position:absolute;z-index:25186816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74"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7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duty to defend is broader than the duty to indemnify "in the sense that the duty to defend arises where the claim alleges acts or omissions falling within the policy coverage, while the duty to indemnify arises only where such allegations are proven at trial": </w:t>
      </w:r>
      <w:r>
        <w:rPr>
          <w:rFonts w:ascii="arial" w:eastAsia="arial" w:hAnsi="arial" w:cs="arial"/>
          <w:b/>
          <w:i/>
          <w:color w:val="6D6E71"/>
          <w:sz w:val="18"/>
          <w:lang w:val="en-US" w:eastAsia="en-US" w:bidi="ar-SA"/>
        </w:rPr>
        <w:t>Reform Party of Canada v. Western Union Insurance Co</w:t>
      </w:r>
      <w:r>
        <w:rPr>
          <w:rFonts w:ascii="arial" w:eastAsia="arial" w:hAnsi="arial" w:cs="arial"/>
          <w:color w:val="6D6E71"/>
          <w:sz w:val="18"/>
          <w:lang w:val="en-US" w:eastAsia="en-US" w:bidi="ar-SA"/>
        </w:rPr>
        <w:t xml:space="preserve">., </w:t>
      </w:r>
      <w:hyperlink r:id="rId235" w:history="1">
        <w:r>
          <w:rPr>
            <w:rFonts w:ascii="arial" w:eastAsia="arial" w:hAnsi="arial" w:cs="arial"/>
            <w:i/>
            <w:color w:val="0077CC"/>
            <w:sz w:val="18"/>
            <w:u w:val="single"/>
            <w:shd w:val="clear" w:color="auto" w:fill="FFFFFF"/>
            <w:lang w:val="en-US" w:eastAsia="en-US" w:bidi="ar-SA"/>
          </w:rPr>
          <w:t>2001 BCCA 274</w:t>
        </w:r>
      </w:hyperlink>
      <w:r>
        <w:rPr>
          <w:rFonts w:ascii="arial" w:eastAsia="arial" w:hAnsi="arial" w:cs="arial"/>
          <w:color w:val="6D6E71"/>
          <w:sz w:val="18"/>
          <w:lang w:val="en-US" w:eastAsia="en-US" w:bidi="ar-SA"/>
        </w:rPr>
        <w:t xml:space="preserve">, </w:t>
      </w:r>
      <w:hyperlink r:id="rId235" w:history="1">
        <w:r>
          <w:rPr>
            <w:rFonts w:ascii="arial" w:eastAsia="arial" w:hAnsi="arial" w:cs="arial"/>
            <w:i/>
            <w:color w:val="0077CC"/>
            <w:sz w:val="18"/>
            <w:u w:val="single"/>
            <w:shd w:val="clear" w:color="auto" w:fill="FFFFFF"/>
            <w:lang w:val="en-US" w:eastAsia="en-US" w:bidi="ar-SA"/>
          </w:rPr>
          <w:t>87 B.C.L.R. (3d) 299</w:t>
        </w:r>
      </w:hyperlink>
      <w:r>
        <w:rPr>
          <w:rFonts w:ascii="arial" w:eastAsia="arial" w:hAnsi="arial" w:cs="arial"/>
          <w:color w:val="6D6E71"/>
          <w:sz w:val="18"/>
          <w:lang w:val="en-US" w:eastAsia="en-US" w:bidi="ar-SA"/>
        </w:rPr>
        <w:t xml:space="preserve"> at para. 3, citing </w:t>
      </w:r>
      <w:r>
        <w:rPr>
          <w:rFonts w:ascii="arial" w:eastAsia="arial" w:hAnsi="arial" w:cs="arial"/>
          <w:b/>
          <w:i/>
          <w:color w:val="6D6E71"/>
          <w:sz w:val="18"/>
          <w:lang w:val="en-US" w:eastAsia="en-US" w:bidi="ar-SA"/>
        </w:rPr>
        <w:t>Scalera</w:t>
      </w:r>
      <w:r>
        <w:rPr>
          <w:rFonts w:ascii="arial" w:eastAsia="arial" w:hAnsi="arial" w:cs="arial"/>
          <w:color w:val="6D6E71"/>
          <w:sz w:val="18"/>
          <w:lang w:val="en-US" w:eastAsia="en-US" w:bidi="ar-SA"/>
        </w:rPr>
        <w:t xml:space="preserve"> and </w:t>
      </w:r>
      <w:r>
        <w:rPr>
          <w:rFonts w:ascii="arial" w:eastAsia="arial" w:hAnsi="arial" w:cs="arial"/>
          <w:b/>
          <w:i/>
          <w:color w:val="6D6E71"/>
          <w:sz w:val="18"/>
          <w:lang w:val="en-US" w:eastAsia="en-US" w:bidi="ar-SA"/>
        </w:rPr>
        <w:t>Nichols</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5"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7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w:t>
      </w:r>
      <w:r>
        <w:rPr>
          <w:rFonts w:ascii="arial" w:eastAsia="arial" w:hAnsi="arial" w:cs="arial"/>
          <w:b/>
          <w:i/>
          <w:color w:val="6D6E71"/>
          <w:sz w:val="18"/>
          <w:lang w:val="en-US" w:eastAsia="en-US" w:bidi="ar-SA"/>
        </w:rPr>
        <w:t>Cultus Lake Park Board v. Gestas Inc.</w:t>
      </w:r>
      <w:r>
        <w:rPr>
          <w:rFonts w:ascii="arial" w:eastAsia="arial" w:hAnsi="arial" w:cs="arial"/>
          <w:color w:val="6D6E71"/>
          <w:sz w:val="18"/>
          <w:lang w:val="en-US" w:eastAsia="en-US" w:bidi="ar-SA"/>
        </w:rPr>
        <w:t xml:space="preserve"> </w:t>
      </w:r>
      <w:hyperlink r:id="rId236" w:history="1">
        <w:r>
          <w:rPr>
            <w:rFonts w:ascii="arial" w:eastAsia="arial" w:hAnsi="arial" w:cs="arial"/>
            <w:i/>
            <w:color w:val="0077CC"/>
            <w:sz w:val="18"/>
            <w:u w:val="single"/>
            <w:shd w:val="clear" w:color="auto" w:fill="FFFFFF"/>
            <w:lang w:val="en-US" w:eastAsia="en-US" w:bidi="ar-SA"/>
          </w:rPr>
          <w:t>(1995), 15 B.C.L.R. (3d) 89</w:t>
        </w:r>
      </w:hyperlink>
      <w:r>
        <w:rPr>
          <w:rFonts w:ascii="arial" w:eastAsia="arial" w:hAnsi="arial" w:cs="arial"/>
          <w:color w:val="6D6E71"/>
          <w:sz w:val="18"/>
          <w:lang w:val="en-US" w:eastAsia="en-US" w:bidi="ar-SA"/>
        </w:rPr>
        <w:t xml:space="preserve"> (C.A.), the Court of Appeal upheld the trial judge's similar characterization of an action in breach of contract, and his conclusion that the insurers were obligated to pay the defence costs and the damages awarded.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Amerato v. Nanaimo (City), [2006] B.C.J. No. 3099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6 - 9,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3099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 M.P.L.R. (4th) 213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979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2950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Carmela Amerato (formerly known as Roper), Plaintiff, and City of Nanaimo,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6" w:name="Keywords_10"/>
      <w:bookmarkEnd w:id="7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Action for personal injuries suffered by plaintiff in park owned by defendant City — Plaintiff fell while roller skating — Action dismissed — Plaintiff failed to establish that there was candy spilled on rink that caused fall.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Action for personal injuries suffered by plaintiff in park owned by defendant City — Plaintiff fell while roller skating — Action dismissed — Plaintiff failed to establish that there was candy spilled on rink that caused fall.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7" w:name="Case Summary_10"/>
            <w:bookmarkEnd w:id="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by plaintiff in park owned by defendant City -- Plaintiff fell while roller skating -- Plaintiff alleged she fell because of candies on surface of roller skating rink and that City and its employees were negligent in not clearing rink surface of debris that caused the plaintiff's fall -- City denied that its employees were negligent -- Plaintiff claimed she saw young boy spilling candy onto rink -- Candy was very visible and scattered around rink during evening -- Plaintiff had skated through candy before her fall -- Plaintiff did not report spilled candy to any of City's staff -- No food or drink allowed on rink -- City had staff patrolling rink looking for debris and water spills on surface -- Staff did not see any candy on rink at time plaintiff fell -- HELD: Action dismissed -- Plaintiff did not establish that there was candy on rink -- Court accepted City's evidence that rink was patrolled regularly and that no candy was found -- Unlikely that plaintiff would not have mentioned candies to staff if she had fallen over candy.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Legislation Cited_7"/>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44"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s.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9" w:name="Counsel_10"/>
      <w:bookmarkEnd w:id="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de Turberville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J.D. Martin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10"/>
      <w:bookmarkEnd w:id="80"/>
      <w:r>
        <w:pict>
          <v:line id="_x0000_s1081" style="position:absolute;z-index:25182310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Corrigenda were released by the Court December 6 and 20, 2006. The corrections have been made to the text and the Corrigenda are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SHABBITS J."/>
            <w:bookmarkEnd w:id="81"/>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Carmela Amerato (formerly known as Roper) fell while roller skating at the Beban Park Area in Nanaimo. She was seriously injured in the fall. She claims damages from the City of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Beban Park Area is owned and maintained by the City of Nanaimo. On June 4, 2004, the City was in physical possession of the area and it had responsibility for, and control over, the condition of the arena, the activities conducted within it and the persons allowed to enter it. The City was an occupier of the arena within the meaning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January 4, 2004, the City sponsored a disco roller skate at the arena. It lasted from 7:00 p.m. to 10:00 p.m. The first hour of the skate was a family skate. The second two hours were open to the general public. This was a special event. The City had sponsored an earlier disco roller skate on May 7, 2004, and it had sponsored one disco roller skate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June 4, 2004, event featured special lighting and music. The defendant's staff at the event included Jessica McGarrigle, who was the event organizer; Phyllis Ritchie and Jordan Braid, who were the patrollers; Gary Paterson and Adam Mitchell, who were the skate-shop personnel; Robert Pakulak, the maintenance worker and a cashier.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4, 2004, Mr. Pakulak was responsible for the maintenance of this building and an adjoining building owned by the defendant. He was back and forth between the two buildings during the course of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Amerato was a resident of Nanaimo. She and her daughter, Maria Elliott and her daughter's husband, Jeremy Elliot, and her son, Adam and a number of persons from Ms. Amerato's church, including Marina Hasselwander, attended the disco roller skate special event. They paid the defendant the fee for entry. They rented roller skates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City of Nanaimo owed the plaintiff the duty of care set out in s.3(1)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Subsection 2 provides that that duty of care applied in relation to the condition of the arena, the activities within it, and the conduct of third parties within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alleges that she fell because of candies on the surface of the roller skating rink and that the City and its employees were negligent in not clearing the rink surface of the debris that caused the plaintiff's fall. The City denies that its employees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evidence is that there was no debris on the surface of the rink. Alternatively, the defendant submits that the plaintiff has not shown on a balance of probabilities that any of its employees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were nine witnesses that testified at this trial in respect of that issue. The plaintiff and three witnesses testified that there was candy on the surface of the rink near where the plaintiff fell. The plaintiff said that the manner in which she fell is consistent only with the inference that she fell over the candy.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Five employees of the defendant testified. Their evidence is consistent only with the conclusion that there was no candy on the floor of the arena, or, alternatively,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or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Because of that conflict, I will refer to the evidence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Amerato testified that she was a proficient roller skater. She said that she arrived at Beban Park Arena with her daughter and her son and with her son-in-law, not long after the start of the family skate.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said that she went out on the rink before the disco flashing lights and strobe lights came on, and at a time when there were just a handful of people on the rink. She said that she saw no debris on the rink when she first went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surface of the rink is 200 feet in length and 85 feet in width. The entrance for the skaters was at the end of the rink nearest the cashier and skate rental area. During the trial, that end of the rink was referred to as being in the six o'clock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Amareto said that not long after she went out alone, she saw a young bag who was with his father and who was spilling candy out of a grocery plastic type of bag. She said the boy was then at the seven or eight o'clock position of the rink, and that the candy trailed behind him as the boy and his father walked to the entrance. They left the rink. Ms. Amareto said that there was a fair amount of candy spilled, and that it was very noticeable.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Amareto said that the candy was very visible. Ms. Amareto said that the candy was scattered all around the rink as the evening wore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Amareto said that she saw the candy being spilled about 15 minutes after she first got on the rink, and that she fell about 45 minutes after that. When she fell, Ms. Amareto was skating with the other patrons in a counter-clockwise direction. She said that she skated through the candy throughout the night until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Amareto said that she was with her daughter and her son in law when it felt like her right foot was being grabbed. She said her left foot went ahead, she spun and fell. Ms. Amareto said that she fell at about the four o'clock position on the surface of the ice, and that there was candy around that whole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Ms. Amareto's evidence is accepted, there can be little doubt but that spilled candy caused her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Amareto testified that she had no complaints with the lighting, even though it was altered to accommodate the disco theme, and that although the skates she had rented were not the best, they fit and they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Amareto said that she could not tell who was staff and who was not staff on the ice surface. In cross examination, Ms. Amareto adopted a statement she made at discovery, that being, "we knew it was not safe to have things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Amareto did not report the spilled candy to any of the defendant's staff. She said the candy was obvious, and that she assumed that they would have noticed it and cleared it up. Ms. Amareto was badly injured in the fall, and suffered much pain. Ms. Amareto said that the first indication she gave to the defendant that she had tripped on candy was some weeks after the accident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Jeremy Elliot is the plaintiff's son in law. He said that he went to the arena with the plaintiff, and with his wife Maria and with Adam, who is Maria's brother. He said they arrived at about 6:30, although he was not sure of the time. Mr. Elliot had no previous experience roller skating, although he was an ice skater.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Elliot said he did not see the plaintiff fall. He did see Skittles on the skating surface on the rink before the fall. He said he was alone when he saw a group of little kids who were sharing candies out of their pockets. He said they were Skittles. He said he saw one of them drop about a full regular size package of Skittles on the surface of the arena. That was at about the 11 o'clock position or the rink. He said they were quite visible, and as he later skated around the rink, he saw that they were being spread out. He said that people were skating around the candy, and that he did not see anybody clear the candies off the rink. He said he thought the candies would be cleaned up by the defendant's staff. He said he did see staff on the rink, although the staff did not spend much time on the rink. He said they skated around a few times, but for the most part they were in the players' bench and not on the skating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said the plaintiff was behind him when he heard her scream as a result of her fall. He said there were Skittles all around the area where she fell. He said the plaintiff said that her skate had gotten caught.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cross examination, Mr. Elliot agreed that he knew that no food or beverages were allowed on the skating surface. He said there was one female employee of the defendant on the players' bench and two male employees patrolling on skates. He said that he saw three staff members on the bench before the fall. He said that after his mother in law fell, two male staff members came from the players' bench to attend to her. He said the group that spilled the candy included four or five boys of about 7 to 11 years of age. He said that after the spill, the boys got off of the rink "pretty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Elliot testified that the candy wasn't his responsibility, and that he thought it would be cleared up. He said he did not report the spill to any of the defendant's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daughter, Maria Elliot, testified that she saw Skittles on the surface of the rink. She said that she noticed them "pretty much immediately as soon as we got out there." She said that the Skittles she saw were at about the six o'clock position of the rink, at the entrance of the skating surface. She said there were quite a few of them and they were "pretty noticeable." She did not see any staff take any steps to clean up the Skittles. She said that the staff that she saw was in the players' bench, or going from the entrance to the players' bench. She said that that was the only skating that she saw them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Elliot did not report the spill to any of the defendant's staff. She said she thought that they would clean it up. Ms. Elliot had no complaints or concerns about the lighting before the accident. Ms. Elliot said that she did not see anybody spill candies on to the surface of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Elliot said that just before the accident, she noticed as they were going around the rink that the Skittles were getting kicked around and being moved about. She said that it was then that she warned the others with her about the Skittles. Ms. Elliot said she really didn't need to tell the defendant's staff about the Skittles, because the Skittles were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said that after the accident, her mother told her that something had gotten caught under her skates or her skate.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Elliot said that she saw the defendant's staff in the players' bench a number of times as she went around the rink. She said they were just talking and laughing and looking like they were having a good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Marion Hasselwander testified that she saw Skittles near where the plaintiff fell. She said that after the plaintiff fell, she saw candy on the floor near where she had fallen. She said that the candy that she saw was within several feet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Hasselwander said that she had been at the rink about 25 minutes before the fall. She said the candy she saw was between where she was standing and the plaintiff as the plaintiff lay on the surface of the rink. That was a distance of several feet. She said she did not pick up any of the candy, nor did she tell any of the defendant's staff about there being candy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plaintiff was taken to the hospital, Ms. Hasselwander stayed at the rink and continued to skate. She agreed that she continued to do so even though she had seen candy on the surface of the rink, although she said that made her nervous.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Jessie McGarrigle is 24 years of age. She was employed and trained as a skate patroller. On June 4, 2004, she was the organizer or person in charge of the disco roller skate. She said the event started at 7:00 a.m. and her shift started at 5:30 p.m. She wore a staff uniform, which included a black shirt with writing on it that identified her as a City employee. She did not wear skates. She was in shoes. Her preparation work included helping to set up the special lighting for the event and checking the surface of the rink to ensure it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said that there is no food or drink allowed on the skating surface, not even gum or jaw breakers. That rule is enforced. It applies to ice skate and roller skate events. She identified prominent signage that was displayed that evening that included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said that what she did during the evening included attending to the sale of strobe lights, as well as going out onto the surface of the rink every ten to thirty minutes and standing in the penalty box to survey the skaters. She said that she was looking for anybody with food, and for debris on the rink surface, and water spills on the surface, and for people causing trouble. She said that she did not recall anybody bringing food onto the surface of the rink during the event. She said that before the accident, she had gone out onto the surface of the rink about a half a dozen times. She thought the accident happened near the halfway point of the event. After the accident, she went out with others and took a clipboard out on which she made immediate notes about the incident. The main lights of the arena were turned on as the plaintiff lay injured on the skating surface. Cones were brought out and placed around the area. She said that the plaintiff looked like she was in a lot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said that nobody said anything to her about debris or candy being involved in the accident. She testified that nothing was said to her about the plaintiff having caught her foot on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said that she personally looked for water spills and wrappers or debris in the area, to see if she could see a cause for the fall, but she saw nothing. She said she searched the area alongside the visitor's bench and players' bench and out from the boards a distance of about four meters, but saw nothing on the floor. Nothing was pointed out to her. She saw no candy. She said the patrollers went back to patrolling.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said that she participated in a check of the skating surface after the event, and that there was nothing on the surface. The surface was not swept by the defendant's staff at that time. Ms. McGarrigle said that was not part of their duties, although they were required to check the surface to ensure that nothing was left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 examination, Ms. McGarrigle agreed that the defendants were required to clean up spills or candy should there have been spills or candy.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testified that patrollers do not go in or out of the players' bench or penalty bench during the skate.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two patrollers testified. The first patroller was Phyllis Ritchie. Ms. Ritchie is 20 years of age. She is now a third-year human genetics student at UBC, and continues to work as a skate patroller, although now with the Vancouver Parks Board. She had been employed by the City of Nanaimo as a skate patroller and instructor on a part-time basis from about January, 2003. Her duties were varied. She had earlier been a volunteer. She testified about the training that patrollers received. She said that patrolling included skating around and ensuring that there was no horseplay, and no people eating. She said the patrollers are required to scan the skating surface to see that there is nothing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Ritchie said that she arrived about an hour before the event began and was involved in the setting up of the lights. She said that she wore black pants and a black T-shirt with the white logo identifying her as a City of Nanaimo employee. She also had a name tag. She said that Ms. McGarrigle was the coordinator and was not on roller skates. She said that her fellow patroller was Jordy Braid.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said that before the event began she made sure the surface was smooth without bumps and that it was clear of debris. She said there was absolutely nothing on the surface before the event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said that even with the special lighting, you could see the skating surface very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said it was her job to enforce the rules and to skate around and that she was looking for people chewing or reaching in their garments for food. She said the practice she followed was to periodically stand and watch as the skaters went by her. While employed as a patroller, if she saw somebody with food, she would go up to them and ask them to get off the surface and finish what they were eating. She said she did not see anybody that night with food. She said that she was especially looking for food because it was a special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Nobody came up to her before the accident and reported that there was debris or anything on the surface of the skating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said that if she did see a spill, the procedure was to bring out cones to shield the area from skaters and then to clean up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said that of the three hours of the event, she was actually skating on the surface of the rink for about two hours and forty-five minutes. She took three small breaks during the event. She said that for most of the time, she was actively skating with the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said that the players' box was used only for lighting. She said that she herself never entered the players' box during the event. She said she never saw Jordy Braid in the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said that she did not see the plaintiff fall, and was off the rink surface at the time of the fall. She said that she had been away for a maximum of three minutes, and when she came back she went over to where the plaintiff had fallen. Mr. Braid was there. Ms. Ritchie was the second employee on the scene. Ms. McGarrigle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Ritchie said that she got on her hands and knees near the plaintiff and after asking her about her injuries, looked down and around to see if there was something that had made her trip. Ms. Ritchie said that she did not see anything about. She said that what she was looking for was food, or anything else. She said she saw nothing. She said that she looked toward the boards from the plaintiff, behind the plaintiff, and ahead of her. She did that when she was on her hands and knees. She helped to set up the cones. She said she saw nothing on the surface, and she felt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Her evidence was that before, after and during the event, in all of the areas of the rink, she saw no bumps or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said she saw no Skittles that evening either on the rink surface or in anybody's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Ritchie was adamant that she patrolled right from the beginning of the event, and that she did not have to clean anything from the surface of the rink during the event and that she checked the surface after the event and saw nothing. Ms. Ritchie agreed that debris on the surface is very significant. She made a report about one month after the event. She made no mention of checking the floor for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other patroller was Mr. Jordan Braid. He is 18 years of age. He was about 16 at the time of the plaintiff's fall. On June 4, 2004, he was employed by the defendant as a volunteer skate leader. As a volunteer, he was trained as a patroller. He received a training manual. He was later hired by the defendant as a paid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Braid said the event of June 4, 2004, was a roller skating disco glow-in-the-dark disco. He wore a shirt that stated he was a volunteer. He assisted in setting up the lighting. He later patrolled the surface with Ms. Ritchie. He said part of his job was to look at the condition of the rink surface before the roller skate, and he did that. He said it was not bumpy or anything and that he did inspect the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testified about the rules at the event being posted in two prominent places. He said that he was responsible for enforcing the rules, and he did that by focusing on people's hands and mouths and looking whether they were chewing and he did that as he skated around. He looked at pockets to see if there were bulges in them. He said he saw no skaters bring any food or beverage onto the rink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said he saw no spills or debris or defects on the rink's surface before the plaintiff had her accident. He said he was definitely looking for that. He said he did that by skating around and he said it was easy to notice things because of the way the light hits the surface of the arena. He said he did not skate fast like any of the patrons, but at a slow pace so he could keep an eye on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testified of the procedure for responding to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said that during the event, he spent "the whole evening, almost, on the rink, other than going off for a drink now and again." He said skaters were not permitted to go into the players' or penalty boxes. He said he did not go into those boxes during the actual skate session, and only went into them before and after the event for the set up of the lights and clean up. He said he saw nothing unusual on the rink after the plaintiff's fall. He said that when the area was coned off, he looked around where the cones were but saw no debris or anything unusual. He said he did that because it could have endangered somebody else and he wanted to make sure there was nothing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Nobody reported to him, either before or after the accident, that there was candy spilled on the rink's surface. After the event, he said he went around and made sure that there was nothing on the surface, so that the arena keeper didn't have to do too much, and that "we didn't find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asked whether he would have seen a couple of dozen Skittles candies spilled on the rink surface that night, Mr. Braid said he definitely would have seen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Gary Paterson is an employee of the defendant. He was employed in the shop. He said that he wasn't particularly looking at the surface of the arena during the event, although he said that had he noticed anything on the surface, he would have ensured it was cleaned up. Mr Paterson did not see the plaintiff fall. He took the first aid kit and followed Mr. Braid out to the plaintiff after Mr. Braid reported the incident to him. He said that he got on his hands and knees to look at the plaintiff's injuries. He asked that the lights be turned up and that the cones be brought out. He said the plaintiff was in obvious pain. He said that he was not told why the fall had occurred. He said nobody said anything to him about how the accident had happened, and nobody pointed out any debris or candy on the surface of the rink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Paterson said that at the conclusion of the event, he helped in the clean up and he saw nothing on the rink surface. Like all the other witnesses at the trial, he saw nobody clean anything up off the surface. Nothing was reported to Mr. Paterson.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Chet Lines, who is an employee of the defendant, was at the event with his family as a patron. He arrived at about 7:30 in the evening, and stayed the entire evening. He rented skates. He said that he took one break during the event, but otherwise was on the floor during the whole of the evening. He said the surface of the rink was clear. He said he had no difficulty seeing the skating surface. He said he saw nobody bring food or drink out on the skating surface, and that he would have notified the patrol if he had seen any food. He said food is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said he recalled one of the patrollers requiring people who entered the players' or penalty box to leave the box. Neither of the patrollers gave evidence about that. He said he saw the orange cones put up when the lady had fallen but saw nothing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Robert Pakulak testified that his position for the City is that of ice maker, and his duties include maintenance at the Beban Park Arena. He said he checked the floor area before the special event, and dry mopped it. He said he helped a bit with the light set up, but was otherwise between Beban Park Arena and another building during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said he entered Beban Park Arena after the plaintiff had fallen. He said the main lights were on, and there were cones on the floor. He said he walked the area and saw nothing on the floor and nothing wrong with the floor. He said he was on the floor about ten minutes to look around the area where the plaintiff had fallen looking for debris or something amiss. He saw nothing and cleaned nothing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said after the event, he walked the floor and there was nothing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did not sweep the floor after the event and he did not make a record of his observations about there being no debris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not in dispute that the defendant is liable and negligent if there were Skittles on the skating surface of the rink for any appreciable period of time. The presence of any food or liquid on the skating surface is a known and unacceptable danger to skaters.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submissions on behalf of the plaintiff are that liability must be found, as it should have been obvious to the defendants' employees that there were Skittles on the skating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for the plaintiff submitted that the claim has been established, because the plaintiff's witnesses testified positively about seeing Skittles, while the defendant's witnesses testified about not seeing anything in circumstances where they were not looking for Skittles. He submitted that to dismiss the plaintiff's claim would be to find that all four of the plaintiff's witnesses fabricated their evidence. Ms. Hasselwander was only a casual acquaintance of the plaintiff and she was there only because she was in the same church group as was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Counsel for the plaintiff asked rhetorically if four witnesses were not enough to make out the plaintiff's case, then, how many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Counsel for the plaintiff said it was in the personal interests of some of the witnesses for the defendant to give evidence denying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all of the witnesses for the defendant were employed by the defendant. He said they gave evidence favouring their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two patrollers no longer work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are a number of considerations that are of note:</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 large number of people at the event. The paid attendance for the evening was 97. That includes the two events extending from 7 p.m. to 10 p.m. The plaintiff's evidence is that the Skittles were on the rink surface for about 45 minutes before she fell. Nobody made any report to the defendant's staff about the Skittles. It is, in my opinion, not credible that a large number of people would continue to skate by and even scatter an obvious hazard without reporting it to the staff. The hazard was a danger to all who were there. Reporting it would have been prudent for the safety of others but also for the safety of whoever reported it. Each patron who saw this danger would have known that they were at risk of falling by continuing to skate through candies;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evidence that the two patrollers were not doing their job, by largely remaining off the skating surface in the players' box or penalty box and socializing. In my opinion, that evidence is not credible. The very purpose of the patrollers being there was to be on the surface of the skating area. Both of them were adamant that neither of them were in the boxes at all during the event. Ms. Ritchie and Mr. Braid testified in a forthright and thoughtful manner. Each was definite and firm in their evidence. In my opinion, it is not credible that both patrollers would have reneged on their duties and that Miss McGarrigle, who was acting as coordinator or organizer would have tolerated that during the occasions that she went out to check on the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reject the evidence that the patrollers were in the penalty box or players' boxes during the event.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patrollers were patrolling, and I find that they were, they must have seen the Skittles if the Skittles were there. I do not accept that the patrollers skated by an obvious hazard time and again while doing nothing to remove it.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Miss McGarrigle, Ms. Ritchie, Mr. Pakulak and Mr. Paterson all went to the area near where the plaintiff fell, and did not see Skittles or debris. Mr. Pakulak was in charge of maintenance. He inspected the area to ensure there was no danger.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one of the four witnesses who said at trial that they saw Skittles said anything to the staff about Skittles or candy at the time. If the plaintiff had fallen over candy, it seems to me that the plaintiff would have said something to the staff.</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Lines is that he was at the skate as a patron with his family. He testified that he was on the rink surface for virtually the whole of the evening. He said he went around and around, and saw nothing. Either Mr. Lines has fabricated his evidence about being there, or he continued to skate in the face of an obvious hazard, or there was no hazard. Mr. Lines testified that food on the rink is dangerous. He said he would have notified the patrol if there had been anything on the surface. I see no reason to think that Mr. Lines was not there, or that he ignored a hazard endangering his family.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plaintiff and of Mr. Elliott about seeing candy being spilled differed as to who was there and how it occurred and where it occurred. They seemed to be describing different events.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anybody did any clean up during the event. All of the employees of the defendant who would likely have been involved in a cleanup testified. The surface was checked after the event by the patrollers and by the maintenance employee. There was no debris on the surface. The explanation as to where Skittles might have ended up is unanswered.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Of most significance, is that both Miss Ritchie and Mr. Braid were adamant that they were patrolling and keeping a lookout and that they saw no hazards. In my opinion, both of them gave persuasive and convincing evidence. I believe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am of the opinion that the weight of the evidence is against the plaintiff. The plaintiff has not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or its employees. Her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Although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arise, in my opinion had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been established, there would necessarily have been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 submitted that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The plaintiff relied on </w:t>
      </w:r>
      <w:r>
        <w:rPr>
          <w:rFonts w:ascii="arial" w:eastAsia="arial" w:hAnsi="arial" w:cs="arial"/>
          <w:b/>
          <w:i/>
          <w:color w:val="000000"/>
          <w:sz w:val="20"/>
          <w:lang w:val="en-US" w:eastAsia="en-US" w:bidi="ar-SA"/>
        </w:rPr>
        <w:t>Potozny v. The City of Burnaby</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B.C.J. No. 1224</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BCSC 837</w:t>
        </w:r>
      </w:hyperlink>
      <w:r>
        <w:rPr>
          <w:rFonts w:ascii="arial" w:eastAsia="arial" w:hAnsi="arial" w:cs="arial"/>
          <w:color w:val="000000"/>
          <w:sz w:val="20"/>
          <w:lang w:val="en-US" w:eastAsia="en-US" w:bidi="ar-SA"/>
        </w:rPr>
        <w:t>. In that case, the defendant municipality was found negligent for not attending to an accumulation of water and debris on an ice surface that the defendant should have reasonably foreseen might cause skaters to trip. However, Burnyeat J., when addressing the issue of the acceptance of "inherent risk," said he took into account the question of whether patrons would appreciate and assume the risks that were present. He said that it was not reasonable to assume that Miss Potozny or any other patron that day in Burnaby would appreciate that the area would not be cleaned in accordance with the area's own standard or industry standards or that debris would be allowed to fall and remain on the ice surface, or that staff would not be diligent in keeping children away from a Christmas display thereby causing debris to go to the surface or that inadequate separation of the display from the ice surface would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facts here are different. Miss Amerato testified that she knew that there were Skittles on the ice. She said she had seen the Skittles. She said the Skittles were an obvious hazard. She said she continued to skate through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of the opinion that if the plaintiff's own evidence was to be accepted then it must be found that the plaintiff herself was negligent in exposing herself to that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Unless costs are spoken to, I order that the defendant recover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style of cause on the front page of the Reasons for Judgment should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Carmela Amerato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(formerly known as Carmela 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annotated style of cause on the top portion of each page should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Amerato (formerly known as Roper) v. City of Nanaimo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two, paragraph one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"Carmela Amerato </w:t>
      </w:r>
      <w:r>
        <w:rPr>
          <w:rFonts w:ascii="arial" w:eastAsia="arial" w:hAnsi="arial" w:cs="arial"/>
          <w:b/>
          <w:i/>
          <w:color w:val="000000"/>
          <w:sz w:val="20"/>
          <w:lang w:val="en-US" w:eastAsia="en-US" w:bidi="ar-SA"/>
        </w:rPr>
        <w:t>(formerly known as Roper)</w:t>
      </w:r>
      <w:r>
        <w:rPr>
          <w:rFonts w:ascii="arial" w:eastAsia="arial" w:hAnsi="arial" w:cs="arial"/>
          <w:color w:val="000000"/>
          <w:sz w:val="20"/>
          <w:lang w:val="en-US" w:eastAsia="en-US" w:bidi="ar-SA"/>
        </w:rPr>
        <w:t xml:space="preserve"> fell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annotated style of cause on the top portion of each page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Roper v. City of Nanaimo</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Armstrong v. West Vancouver (District), [2002] B.C.J. No. 254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17 and 18,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C996141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M.P.L.R. (3d) 129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645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Wendy Armstrong, plaintiff, and The Corporation of the District of West Vancouver,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2" w:name="Keywords_11"/>
      <w:bookmarkEnd w:id="82"/>
      <w:r>
        <w:rPr>
          <w:rFonts w:ascii="arial" w:eastAsia="arial" w:hAnsi="arial" w:cs="arial"/>
          <w:b/>
          <w:color w:val="000000"/>
          <w:sz w:val="20"/>
          <w:lang w:val="en-US" w:eastAsia="en-US" w:bidi="ar-SA"/>
        </w:rPr>
        <w:t xml:space="preserve">Limitation of actions — Actions in tort — When time begins to run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when time begins to run.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3" w:name="Case Summary_11"/>
            <w:bookmarkEnd w:id="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West Vancouver to dismiss Armstrong's claim. Armstrong had commenced a claim against West Vancouver for economic loss suffered when she sold her home. She had bought the home in 1987. When her walls began cracking and she had a mudslide in her back yard, she retained an engineer who concluded that the house had been built on improper fill. Armstrong then began an action against West Vancouver whose employees had inspected the house in 1963 and had issued a certificate of occupancy. West Vancouver argued that the action was barred by the 30-year limitation period prescribed by section 8 of the Limitation Act. Armstrong argued that the limitation period did not begin to run until the defect was discoverable.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4" w:name="Holdings of Court_8"/>
            <w:bookmarkEnd w:id="84"/>
            <w:r>
              <w:rPr>
                <w:rFonts w:ascii="arial" w:eastAsia="arial" w:hAnsi="arial" w:cs="arial"/>
                <w:color w:val="000000"/>
                <w:sz w:val="20"/>
                <w:lang w:val="en-US" w:eastAsia="en-US" w:bidi="ar-SA"/>
              </w:rPr>
              <w:t>HELD: Application allowed, Armstrong's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the purpose of determining when the cause of action arose under section 8, discoverability was irrelevant. The right to bring such an action for pure economic loss did not arise when the defect moved from being a latent to being a patent defect. Rather, the cause of action arose after it was inspected in 1963.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5" w:name="Legislation Cited_8"/>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ss. 6(1)(a), 6(1)(b), 6(2), 6(3)(a), 6(3)(b), 6(3)(c), 6(3)(d), 6(3)(e), 6(3)(f), 6(3)(g), 6(3)(h), 6(4)(a), 6(4)(b), 6(5)(a), 6(5)(b)(i), 6(5)(b)(ii), 6(6), 6(7), 6(8), 8(1)(a), 8(1)(b), 8(1)(c), 8(2), 8(3).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6" w:name="Counsel_11"/>
      <w:bookmarkEnd w:id="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Armstrong, for the plaintiff. T.W. Barnes,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11"/>
      <w:bookmarkEnd w:id="87"/>
      <w:r>
        <w:pict>
          <v:line id="_x0000_s1086"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ROGERS J."/>
            <w:bookmarkEnd w:id="88"/>
            <w:r>
              <w:rPr>
                <w:rFonts w:ascii="arial" w:eastAsia="arial" w:hAnsi="arial" w:cs="arial"/>
                <w:b/>
                <w:color w:val="000000"/>
                <w:sz w:val="30"/>
                <w:lang w:val="en-US" w:eastAsia="en-US" w:bidi="ar-SA"/>
              </w:rPr>
              <w:t>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pursuant to R. 18A to dismiss the plaintiff's claim against the defendant. The action is set for trial on April 15,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1963 the defendant's employees inspected the fill and foundation work for the construction of a house at 590 Newdale Place, in West Vancouver. The work was approved and in May 1963 a certificate of occupancy was issued. The house was then occupied. The evidence does not reveal how many people owned the house through the years, but it does appear to have been lived in throughout the 60's, 70's, 80's, and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purpose of the summary trial the defendant did not contest the plaintiff's allegation that the fill on which the house was built was not up to standard. Whether the defendant's employees were negligent in their duties was not relevant to the application and was not addressed in evidence or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problem with the fill under the house was that it had organic matter in it. That organic matter included logs. Eventually those logs decomposed. As the wood rotted away gaps developed in the ground soil. Soil moved in to fill those gaps. In the result, the foundation of the house lost support. The foundation settled and cracks appeared in the walls of the house's basement. Those cracks were evident when the plaintiff purchased the house in 1987 but she paid them no particular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About four years after moving into the house the plaintiff noticed that the floor of the house was uneven. However, nothing much was done about the problem. Then, in January 1999, the plaintiff saw that a mudslide had taken place in her backyard. She retained a geo-technical engineer to assess the cause of the slide and to recommend a remedy. The engineer determined that the house was built on improper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September 1999 the plaintiff moved out of the house. On November 22, 1999 she issued her writ against the defendant claiming, inter alia,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failure to properly inspect the house during its construction phase. In December 1999 she sold the property for, she alleges, a substantial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says that the plaintiff's action is barred by the 30-year limitation period prescribed by s. 8(1)(c) of the Limitation Act. Sections 6 and 8 of the Limitation Act are relevant to the conclusions I have reached. Those sections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running of time with respect to the limitation period set by this Act for an action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fraudulent breach of trust to which a trustee was a party or privy, or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from a trustee trust property, or the proceeds from it, in the possession of the trustee or previously received by the trustee and converted to the trustee's own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postponed and does not begin to run against a beneficiary until that beneficiary becomes fully aware of the fraud, fraudulent breach of trust, conversion or other act of the trustee on which the action is based.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burden of proving that time has begun to run so as to bar an action rests on the trustee.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to knowledge is in question ought, in the person's own interests and taking the person's circumstances into account, to be able to bring an action.</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numPr>
          <w:numId w:val="10"/>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claims through a predecessor in right, title or interest, the knowledge or means of knowledge of the predecessor before the right, title or interest passed is that of the first mentioned person, and</w:t>
      </w:r>
    </w:p>
    <w:p>
      <w:pPr>
        <w:numPr>
          <w:numId w:val="10"/>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question arises about the knowledge or means of knowledge of a deceased person, the court may have regard to the conduct and statements of the deceased person.</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Subsections (3) and (4) do not operate to the detriment of a purchaser in good faith for value.</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set by this Act with respect to an action relating to a future interest in trust property does not begin to run against a beneficiary until the interest becomes a present interest.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Subject to section 3(4) and subsection (2) of this section but despite a confirmation made under section 5, a postponement or suspension of the running of time under section 6 or 11(2) or a postponement or suspension of the running of time under section 7 in respect of a person who is not a minor, no action to which this Act applies may be brought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a hospital, as defined in section 1 of the Hospital Act, or against a hospital employee acting in the course of employment as a hospital employee,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after the expiration of 6 years from the date on which the right to do so arose,</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a medical practitioner, based on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malpractice, after the expiration of 6 years from the date on which the right to do so arose, or</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case, after the expiration of 30 years from the date on which the right to do so arose.</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7(6), the running of time with respect to the limitation periods set by subsection (1) for an action referred to in subsection (1) is postponed and time does not begin to run against a plaintiff until the plaintiff reaches the age of majority.</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(1), the effect of sections 6 and 7 and subsection (2) of this section is cumulative.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falls to the court on this application to determine the date on which the plaintiff's right to bring an action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arose. If that date was between May 1963 and November 21, 1969, then the plaintiff's writ was issued more than 30 years after her right to sue arose and the action must be barred. If the cause of action arose on November 22, 1969, or later, or if the date cannot be determined, then the plaintiff says that s. 8(1)(c) can have no application to her action and as such, the defendant's application must be dismissed and, the case must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to be determined are: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for the purpose of s. 8(1)(c) of the Limitation Act </w:t>
      </w:r>
      <w:hyperlink r:id="rId1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does a cause of action arise;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claim is for pure economic loss, is the claimant's knowledge of the elements of a cause of action a necessary ingredient to the beginning of the running of time under s. 8(1)(c).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central question here is: "When did the plaintiff's right to bring an action arise"? The test for determining the happening of that event was articulated by Esson J.A., in Bera v. Marr </w:t>
      </w:r>
      <w:hyperlink r:id="rId253"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(C.A.), at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discussion of the limitations issue in Kamloops v. Nielsen, </w:t>
      </w:r>
      <w:hyperlink r:id="rId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does not involve any interpretation of the words of the Act and does not, in my view, support the conclusion that when the Act uses the words "the right to do so" *(i.e., to bring action) it refers to any time other than that which has traditionally been held to be the time in which a cause of action accrues, i.e., when all the elements exist irrespective of the plaintiff's state of knowledge or, in the words of Lord Pearce in Cartledge which I quoted earlier:"... the time runs from the accrual of the cause of action whether known or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statement stands for the proposition that for the purpose of determining when a cause of action arises so as to start the running of the limitation, the plaintiff's knowledge of the existence of the elements of the action is not relevant. Whether the facts were 'known or unknown' or were, as other authorities have termed them, 'discoverable', is relevant only to the application of s. 6 of the Limitation Act. Section 6 contains provisions that operate to suspend or postpone the running of a limitation period. Those provisions do not relate to when the cause of action itself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held in Bera, the cause of action arises when 'all the elements exist'. The elements that form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were discussed in Brook Enterprises Ltd. v. Wilding et. al. </w:t>
      </w:r>
      <w:hyperlink r:id="rId254" w:history="1">
        <w:r>
          <w:rPr>
            <w:rFonts w:ascii="arial" w:eastAsia="arial" w:hAnsi="arial" w:cs="arial"/>
            <w:i/>
            <w:color w:val="0077CC"/>
            <w:sz w:val="20"/>
            <w:u w:val="single"/>
            <w:shd w:val="clear" w:color="auto" w:fill="FFFFFF"/>
            <w:lang w:val="en-US" w:eastAsia="en-US" w:bidi="ar-SA"/>
          </w:rPr>
          <w:t>(1973), 38 D.L.R. (3d) 472</w:t>
        </w:r>
      </w:hyperlink>
      <w:r>
        <w:rPr>
          <w:rFonts w:ascii="arial" w:eastAsia="arial" w:hAnsi="arial" w:cs="arial"/>
          <w:color w:val="000000"/>
          <w:sz w:val="20"/>
          <w:lang w:val="en-US" w:eastAsia="en-US" w:bidi="ar-SA"/>
        </w:rPr>
        <w:t xml:space="preserve"> (B.C.S.C.), where McIntyre J. held at 476: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pointed out in that case, to have a cause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three elements must be present, a duty, a breach of duty,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the present application, the duty and the breach of duty are givens for the narrow purpose of determining the s. 8(1)(c) limitation issue. The real question is whether the damage that completes the elements of the cause of action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extant on or before November 21, 1969, i.e. more than 30 years before the writ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says that the damage was not present, or in the alternative, that the presence of damage by November 23, 1969 has not been proven by the defendant. The plaintiff argues that in the context of a claim for the defective construction of a house, 'damage' means physical damage to the structure. In this case, the plaintiff says that the only physical damage in evidence is the cracking of the foundation and that we cannot know when the cracking first appeared. It may have been before November 21, 1969, or it may have been after. The plaintiff says that without proof that the physical damage was extant by November 21, 1969, there is no proof that the cause of action arose more than 30 years before she issued her writ and her claim cannot be barred by s. 8(1)(c).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support of her position, the plaintiff compiled an intricate argument founded on the interrelationships of, among other things, decisions of various courts, including Sparham-Souter and others v. Town and Country Developments (Essex) Ltd. and another, [1976] 2 All E.R. 65 (C.A.), Pirelli General Cable Works Ltd. v. Oscar Faber &amp; Partners, [1983] 1 All E.R. 65 (H.L.), and Kamloops v. Nielsen, </w:t>
      </w:r>
      <w:hyperlink r:id="rId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comes down to the plaintiff saying that the claim arising out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for pure economic loss. She says that because such a claim is founded on damage to or diminution in the value of the property, and because value can only be determined when there is enough known about the property to appreciate its worth, then if one is ignorant of a defect in the property, there is no reason to discount its value. If there is no reason to discount value, then no loss has been suffered and as such, there is no damage and no right to sue. The plaintiff concludes that if there is no right to sue, then the clock does not start to run under s. 8(1)(c) of the Limitation Act. This position, if correct, would make it necessary to assess the 'discoverability' of a defect when a claim for pure economic loss is brought. As the plaintiff would have it, no cause of action arises until the defect on which a claim for pure economic loss is based, is discoverable by the party advancing that claim. She maintains, therefore, that a claim for pure economic loss for a defect in property cannot arise until that defect transits from latent to patent.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 the plaintiff says that she had no cause of action until she acquired the property. The plaintiff cites Brook Enterprises in support of that proposition. In Brook Enterprises, the plaintiff was the subsequent owner of an improperly designed motel, and had no contractual relationship with the negligent architect. McIntyre J. held in Brook Enterprises at 476: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 complained of here is associated with the motel building. The plaintiff had, therefore, suffered no damage until the motel building was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for its part, argues that the cause of action arose when the house was built on defective soil. The defendant says that the later development of cracks in the foundation was a consequence of the underlying defect, that is the defective soil, and the cracks are not the defect on which the action is founded. The damage, then, according to the defendant, was visited upon the property as soon as the house was constructed. The home owner was, and here I paraphrase Lord Diplock in Bagot v. Stevens, Scanlan &amp; Co., [1964] 3 All ER 577 (Q.B.) at 579, damaged when he was landed with property which had bad foundations when he ought to have been provided with property which had good soil and the damage, accordingly, occurred on that date. What happened later when the house settled and cracks appeared was merely a consequence of the damage resulting from the original breach that occurred when the bad soil was installed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question of whether a property is damaged by bad construction and before its consequences are physically manifested was considered by this court in Privest Properties Ltd. v. Foundation Co. of Canada </w:t>
      </w:r>
      <w:hyperlink r:id="rId255" w:history="1">
        <w:r>
          <w:rPr>
            <w:rFonts w:ascii="arial" w:eastAsia="arial" w:hAnsi="arial" w:cs="arial"/>
            <w:i/>
            <w:color w:val="0077CC"/>
            <w:sz w:val="20"/>
            <w:u w:val="single"/>
            <w:shd w:val="clear" w:color="auto" w:fill="FFFFFF"/>
            <w:lang w:val="en-US" w:eastAsia="en-US" w:bidi="ar-SA"/>
          </w:rPr>
          <w:t>(1995), 11 B.C.L.R. (3d) 1</w:t>
        </w:r>
      </w:hyperlink>
      <w:r>
        <w:rPr>
          <w:rFonts w:ascii="arial" w:eastAsia="arial" w:hAnsi="arial" w:cs="arial"/>
          <w:color w:val="000000"/>
          <w:sz w:val="20"/>
          <w:lang w:val="en-US" w:eastAsia="en-US" w:bidi="ar-SA"/>
        </w:rPr>
        <w:t xml:space="preserve"> (S.C.), aff'd </w:t>
      </w:r>
      <w:hyperlink r:id="rId256" w:history="1">
        <w:r>
          <w:rPr>
            <w:rFonts w:ascii="arial" w:eastAsia="arial" w:hAnsi="arial" w:cs="arial"/>
            <w:i/>
            <w:color w:val="0077CC"/>
            <w:sz w:val="20"/>
            <w:u w:val="single"/>
            <w:shd w:val="clear" w:color="auto" w:fill="FFFFFF"/>
            <w:lang w:val="en-US" w:eastAsia="en-US" w:bidi="ar-SA"/>
          </w:rPr>
          <w:t>(1997), 31 B.C.L.R. (3d) 114</w:t>
        </w:r>
      </w:hyperlink>
      <w:r>
        <w:rPr>
          <w:rFonts w:ascii="arial" w:eastAsia="arial" w:hAnsi="arial" w:cs="arial"/>
          <w:color w:val="000000"/>
          <w:sz w:val="20"/>
          <w:lang w:val="en-US" w:eastAsia="en-US" w:bidi="ar-SA"/>
        </w:rPr>
        <w:t xml:space="preserve"> (C.A.), leave to appeal to S.C.C. refused </w:t>
      </w:r>
      <w:hyperlink r:id="rId257" w:history="1">
        <w:r>
          <w:rPr>
            <w:rFonts w:ascii="arial" w:eastAsia="arial" w:hAnsi="arial" w:cs="arial"/>
            <w:i/>
            <w:color w:val="0077CC"/>
            <w:sz w:val="20"/>
            <w:u w:val="single"/>
            <w:shd w:val="clear" w:color="auto" w:fill="FFFFFF"/>
            <w:lang w:val="en-US" w:eastAsia="en-US" w:bidi="ar-SA"/>
          </w:rPr>
          <w:t>[1997] S.C.C.A. No. 216</w:t>
        </w:r>
      </w:hyperlink>
      <w:r>
        <w:rPr>
          <w:rFonts w:ascii="arial" w:eastAsia="arial" w:hAnsi="arial" w:cs="arial"/>
          <w:color w:val="000000"/>
          <w:sz w:val="20"/>
          <w:lang w:val="en-US" w:eastAsia="en-US" w:bidi="ar-SA"/>
        </w:rPr>
        <w:t>. The plaintiff there made claims for the cost of removing asbestos fireproofing, known as MK-3, that had been installed in its building. The asbestos worked fine, but the plaintiff argued that it was simply too dangerous a material to remain in proximity to the building's occupants. A question arose: when did the building owner's cause of action arise? Was it when the asbestos was installed or on some other date? Drost J. stated, at para. 158 of the trial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clear that all of the elements necessary to the plaintiffs' cause of action came into existence during the period 1973 to 1975, when the MK-3 was installed in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nothing in that case to indicate that physical manifestation of damage is a prerequisite for giving rise to a cause of action. The B.C. Court of Appeal did not disturb Drost J.'s conclusion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This question arose also in the case of Emms v. Prince George (City) </w:t>
      </w:r>
      <w:hyperlink r:id="rId258" w:history="1">
        <w:r>
          <w:rPr>
            <w:rFonts w:ascii="arial" w:eastAsia="arial" w:hAnsi="arial" w:cs="arial"/>
            <w:i/>
            <w:color w:val="0077CC"/>
            <w:sz w:val="20"/>
            <w:u w:val="single"/>
            <w:shd w:val="clear" w:color="auto" w:fill="FFFFFF"/>
            <w:lang w:val="en-US" w:eastAsia="en-US" w:bidi="ar-SA"/>
          </w:rPr>
          <w:t>(1999), 3 M.P.L.R. (3d) 106</w:t>
        </w:r>
      </w:hyperlink>
      <w:r>
        <w:rPr>
          <w:rFonts w:ascii="arial" w:eastAsia="arial" w:hAnsi="arial" w:cs="arial"/>
          <w:color w:val="000000"/>
          <w:sz w:val="20"/>
          <w:lang w:val="en-US" w:eastAsia="en-US" w:bidi="ar-SA"/>
        </w:rPr>
        <w:t xml:space="preserve"> (B.C.S.C.), aff'd </w:t>
      </w:r>
      <w:hyperlink r:id="rId259" w:history="1">
        <w:r>
          <w:rPr>
            <w:rFonts w:ascii="arial" w:eastAsia="arial" w:hAnsi="arial" w:cs="arial"/>
            <w:i/>
            <w:color w:val="0077CC"/>
            <w:sz w:val="20"/>
            <w:u w:val="single"/>
            <w:shd w:val="clear" w:color="auto" w:fill="FFFFFF"/>
            <w:lang w:val="en-US" w:eastAsia="en-US" w:bidi="ar-SA"/>
          </w:rPr>
          <w:t>(2001), 18 M.P.L.R. (3d) 200</w:t>
        </w:r>
      </w:hyperlink>
      <w:r>
        <w:rPr>
          <w:rFonts w:ascii="arial" w:eastAsia="arial" w:hAnsi="arial" w:cs="arial"/>
          <w:color w:val="000000"/>
          <w:sz w:val="20"/>
          <w:lang w:val="en-US" w:eastAsia="en-US" w:bidi="ar-SA"/>
        </w:rPr>
        <w:t xml:space="preserve"> (C.A.). Loo J. had to consider there whether a cause of action arose when a building was completed in 1972 on improperly built foundations, or at some later date. There was some evidence in that case that cracks began to appear in the building's walls some time after construction was completed. Loo J. referred to Privest, and concluded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all of the elements necessary to the plaintiffs' cause of action, on which its claim is founded, including constructing the building on organic soil without a proper foundation, and the failure, if any, to tie the wall to the roof, arose between the fall of 1971 and the spring of 1972.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Emms was affirmed by the Court of Appeal, and they did not consider Loo J.'s conclusion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great respect for the research and intellectual effort expended in the preparation of the plaintiff's argument. It is nearly, but not quite, persuasive. I accept that the property at 590 Newdale Place in West Vancouver was damaged in 1963 when it was constructed on bad fill. The plaintiff's narrow focus on the house and its damage does, with the greatest respect, miss the point. The cause of action arose because the fill was bad. The later cracking of the foundation walls was a manifestation of that damage. That the property was damaged can be established by asking this rhetorical question: On the day after taking possession in 1963, if the original owner of the home decided to sue for improper construction and inspection, would he have had a cause of action? At that point in time he would have paid full price for a property that was supposed to have been built on solid ground. Instead, he got a house built, in part, on logs. Would the original owner have had to wait until his foundation started to crack before he could be said to have suffered damage? The answer is no - the property was delivered to him in damaged condition and he could have sued for that damage then. All the elements of his cause of action were therefore in place on the day in 1963 when the house was occupied. As noted in Bera, for the purposes of determining when a cause of action arises, discoverability of the damage element is irrelevant. Discoverability only becomes relevant if and when s. 6 of the Limitation Act applies, and s. 6 is specifically excluded from the application of s. 8(1)(c).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argues as well that a new cause of action arose each time a new owner acquired the house. She says, then, that her cause of action arose in May 1987 when she bought the property. Simply put, she says that the 'cause of action' contemplated by the Limitation Act is her cause of action, not a cause of action having to do with the property that could have been brought by the original or successive owners of the property. As the argument goes, because she could not have sued for damage to the property before she owned the property, then her cause of action did not arise until she bought it in May 1987, and not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urges me to conclude that Loo J. in Emms was wrong when she discussed the effect of s. 6(5)(c)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importantly, the plaintiffs cannot overcome s. 6(5)(c) of the Act. The knowledge of or means of knowledge of any previous owner is attributed to any subsequent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points out that s. 6(5)(c) is expressly limited in its application to facts that involve a consideration of s. 6(4). Section 6(4) has to do with the suspension of the running of a limitation period based on issues having to do with discoverability. Loo J. found it was necessary for her to discuss the application of s. 6(5)(c) in the case before her. In the case before me, we are dealing with the ultimate limitation period and because s. 6 has no application to that ultimate limitation period, I do not need to consider whether Emms was rightly or wrongly decided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cannot accede to the plaintiff's argument that a new cause of action arises every time the property changes hands. To do so would be to render the ultimate limitation period prescribed by the Limitation Act nugatory, and would frustrate the policy reason for its existence. That policy reason was described by Esson J.A. in Bera at 27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strong policy reasons for not construing the date as of which the right to bring action arose in a manner different from that which has heretofore been given to them in the Limitation Act. To do so would be destructive of a balanced legislative scheme. Sections 6 and 8 are obviously designed to work together with s. 3(1) to provide relief against the injustice which can be created by hidden facts and, on the other hand, to provide reasonable protection against stale claims. All of that is premised upon the 'right to do so" meaning the date of accrual of the cause of action without reference to knowledge. If that premise is disturbed, s. 6 will be made more difficult of application and s. 8 will cease to provide any real protection against stale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would observe that if the 30 year ultimate limitation period exists to protect against stale claims, then how can the section provide such protection when all that needs happen to create a new cause of action is the transfer of the property from one party to another? How could s. 8 provide protection to potential defendants if that were the law? It could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for this reason that I conclude that I am not bound to come to the same conclusion on this point as McIntyre J. did in Brook Enterprises. In Brook Enterprises, McIntyre J. was not considering the ultimate limitation period. I cannot say whether he would have reached the same conclusion he did if he had been wrestling with s. 8(1)(c). Further, it has to be noted that when he decided Brook Enterprises in 1973 he did not have then, as I have now, the benefit of Esson J.A.'s description of the policy that underpins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cannot adopt the plaintiff's position that the right to bring an action for pure economic loss for a defect arises when that defect moves from being latent to being patent. To accept that proposition would be to frustrate the purpose of the ultimate limitation prescribed by s. 8 of the Limitation Act. Also, if discoverability were a necessary element in determining when a cause of action for pure economic loss arises, then we would not need the saving and postponing portions of the s. 6 of the Limitation Act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here will, no doubt, complain that it is unfair to deny her the right to sue for a defect visited on her property long before it came into her possession. I have no answer to that complaint, other than to say that the Legislature, in its wisdom, must have felt that the utility of preserving defendants from claims for misdeeds 30 or more years past outweighs the utility of permitting such claims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conclude, therefore, that the defendant's application for summary dismissal of the plaintiff's action must succeed. The plaintiff's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Bagri v. British Columbia (Workers' Compensation Board), [2009] B.C.J. No. 1846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17-20,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L050797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1846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2482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395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Avtar Singh Bagri, Petitioner, and Workers' Compensation Board of British Columbia,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9" w:name="Keywords_12"/>
      <w:bookmarkEnd w:id="89"/>
      <w:r>
        <w:rPr>
          <w:rFonts w:ascii="arial" w:eastAsia="arial" w:hAnsi="arial" w:cs="arial"/>
          <w:b/>
          <w:color w:val="000000"/>
          <w:sz w:val="20"/>
          <w:lang w:val="en-US" w:eastAsia="en-US" w:bidi="ar-SA"/>
        </w:rPr>
        <w:t>Workplace health, safety and compensation law — Worker's compensation — Benefits — Entitlement to benefits — Causation — Appeal and judicial review — Natural justice — Procedural fairness — Application by Bagri for judicial review of Medical Review Panel Certificate denying him compensation for alleged work-related injury allowed — Applicant suffered injuries at work in 1992 — Applicant subsequently diagnosed with fibromyalgia — Certificate stated that while work injury might have unearthed applicant's anxiety disorder, it did not cause it — Review Board denied applicant's compensation for his psychiatric condition based on Certificate — Applicant did not expect Panel to deal with any psychiatric complaints but to deal only with fibromyalgia — As not all psychiatric reports were before Panel, applicant was not given a fair hearing.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0" w:name="Case Summary_12"/>
            <w:bookmarkEnd w:id="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Bagri for judicial review of a Medical Review Panel Certificate denying him compensation for an alleged work-related injury. The applicant suffered a back and soft tissue injury in 1992 while at work. He developed multiple complaints and was diagnosed with fibromyalgia. He had not worked since 1993. The Medical Review Panel found that the applicant did not have fibromyalgia but a deep seated Generalized Anxiety Disorder that was not caused by the work injury. Except for one report, none of the other psychiatric and psychological reports that were available were placed before the Review Panel. The Certificate stated that while the work injury might have unearthed the applicant's anxiety disorder, it did not cause it. On the basis of the Certificate, the Review Board denied the applicant's compensation for his psychiatric condition. The applicant argued that the Review Panel and the Board breached the rules of procedural fairness by failing to ensure that the Review Panel had all relevant records before it, and by addressing his psychiatric or psychological condition despite his reasonable expectation that the Panel would be dealing with fibromyalgia. He also argued that the Panel with specialists in rheumatology exceeded its jurisdiction by determining psychiatric issues and acted unreasonably by not recommending that a separate psychiatric Panel be constituted or arranging a psychiatric examination.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1" w:name="Holdings of Court_9"/>
            <w:bookmarkEnd w:id="9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the Review Board and the applicant's counsel expected the Review Panel to deal with the issue of whether the applicant suffered from fibromyalgia and whether it was compensable. The applicant clearly did not expect the Panel to deal with any psychiatric explanations for his complaints. It could not be said that he was given a fair opportunity to be heard or given a fair hearing. Without a fair hearing or consideration of all the relevant material, it could not be said that the Certificate was reasonable. Even if the applicant had received a fair hearing, the Board's decision was unreasonable. The Board was bound by the finding in the Certificate that the applicant suffered from a generalized anxiety disorder, but it had to apply the law in deciding whether that injury was caused by the compensable work injury. In arriving at its finding, the Board was required to apply the law relating to causation. It was insufficient at law to say that the disorder was not caused by the work injury and therefore compensation was not payable. The Board simply adopted the findings as set out in the Certificate that the anxiety disorder was not caused by the work injury. It ignored the Review Panel's findings that it concurred with the diagnosis that the work injury might have unearthed or triggered the disorder. In doing so, the Review Board failed to apply the legal test with respect to causation and its decision was unreasonable.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Legislation Cited_9"/>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Judicial Review Procedure Act, </w:t>
      </w:r>
      <w:hyperlink r:id="rId267" w:history="1">
        <w:r>
          <w:rPr>
            <w:rFonts w:ascii="arial" w:eastAsia="arial" w:hAnsi="arial" w:cs="arial"/>
            <w:i/>
            <w:color w:val="0077CC"/>
            <w:sz w:val="20"/>
            <w:u w:val="single"/>
            <w:shd w:val="clear" w:color="auto" w:fill="FFFFFF"/>
            <w:lang w:val="en-US" w:eastAsia="en-US" w:bidi="ar-SA"/>
          </w:rPr>
          <w:t>RSBC 1996, CHAPTER 241, s. 8</w:t>
        </w:r>
      </w:hyperlink>
      <w:r>
        <w:rPr>
          <w:rFonts w:ascii="arial" w:eastAsia="arial" w:hAnsi="arial" w:cs="arial"/>
          <w:color w:val="000000"/>
          <w:sz w:val="20"/>
          <w:lang w:val="en-US" w:eastAsia="en-US" w:bidi="ar-SA"/>
        </w:rPr>
        <w:t>(1), s.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1969, c. 492, s. 2, s. 5, s. 35, s. 58, s. 61(1), s. 61(3), s. 65, s. 90, s. 91, s. 96(1)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3" w:name="Counsel_12"/>
      <w:bookmarkEnd w:id="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Petitioner: C. Paterson.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S.A. Nielsen, L. Courtenay.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2"/>
      <w:bookmarkEnd w:id="94"/>
      <w:r>
        <w:pict>
          <v:line id="_x0000_s1091"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L.A. LOO J."/>
            <w:bookmarkEnd w:id="95"/>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Avtar Singh Bagri applies for judicial review of a Medical Review Panel ("MRP") Certificate denying him compensation for what he contends is a work-related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1992 Mr. Bagri was working in a sawmill when he injured his back and suffered a soft tissue injury that was expected to resolve. However, he developed multiple complaints and was diagnosed with fibromyalgia. He has not worked since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MRP found that Mr. Bagri did not have fibromyalgia but a "deep seated Generalized Anxiety Disorder" that was not caused by the work injury. The MRP Certificate stated that while the work injury "may have unearthed Mr. Bagri's anxiety disorder, it did not cause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basis of the MRP Certificate, the Workers' Compensation Board (the "Board") Review Board denied Mr. Bagri compensation for his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hearing of this application, Mr. Bagri's argument was disorganized and at times difficult to follow, but he essentially contends that the MRP and/or the Board breached the rules of procedural fairness by failing to ensure that the MRP had all relevant records before it, and by addressing his psychiatric or psychological condition despite his reasonable expectation that the MRP would be dealing with fibromyalgia. He also argues that the MRP with specialists in rheumatology exceeded its jurisdiction by determining psychiatric issues and acted unreasonably by not recommending that a separate psychiatric MRP be constituted or arranging a psychiatric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not set out in the petition, Mr. Bagri must be challenging the decision of the Review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Board contends that a decision on a medical issue is at the heart of the MRP's specialized jurisdiction, and that a MRP Certificate is final, conclusive, and binding on the Board pursuant to s. 65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R.S.B.C. 1969, c. 492,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Given the privative clause and the purpose of ss. 58 to 65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(1) the MRP is a highly specialized and expert tribunal and its decision was at the core of its expertise; (2) the standard of review is reasonableness and the MRP Certificate was reasonable; and (3) the petition should be dismissed due to unreasonable delay or barred by the passage of time pursuant to ss. 8(1) and 11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The Certificate was issued over 10 years ago and by Bill 63-2002, </w:t>
      </w:r>
      <w:r>
        <w:rPr>
          <w:rFonts w:ascii="arial" w:eastAsia="arial" w:hAnsi="arial" w:cs="arial"/>
          <w:i/>
          <w:color w:val="000000"/>
          <w:sz w:val="20"/>
          <w:lang w:val="en-US" w:eastAsia="en-US" w:bidi="ar-SA"/>
        </w:rPr>
        <w:t>Workers Compensation Amendment Act (No. 2), 2002</w:t>
      </w:r>
      <w:r>
        <w:rPr>
          <w:rFonts w:ascii="arial" w:eastAsia="arial" w:hAnsi="arial" w:cs="arial"/>
          <w:color w:val="000000"/>
          <w:sz w:val="20"/>
          <w:lang w:val="en-US" w:eastAsia="en-US" w:bidi="ar-SA"/>
        </w:rPr>
        <w:t>, MRPs were abolished on March 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Bagri, who is now 58 years old, worked for a sawmill in Quesnel as a lumber grader. On September 11, 1992 (17 years ago) he was trying to remove a board that was stuck in a machine when he experienced pain on the upper right side of his back. Later that day he saw his family doctor, Dr. R. Adojan, who advised him to rest over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Within a week, Dr. Adojan noted that Mr. Bagri's back pain worsened, and that he was complaining of headaches and pain in his right eye. He advised Mr. Bagri to see an optometrist, and referred him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16, 1992, Dr. Adojan noted that Mr. Bagri continued to complain of back pain, neck pain, headaches, and right eye pain. Dr. Adojan was "at a loss to explain his symptoms, given the seemingly minor nature of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Bagri applied for workers' compensation benefits for his injury. By letter dated November 18, 1992, a Board claims adjudicator accepted his claim for upper and mid-thoracic back strain, but denied his claim for headaches and eye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24, 1992, Mr. Bagri began a graduated returned to work, but continued to complain of pain. He returned to work full time in April 1993, but still complained of back, head, neck, eye, and ear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December 1992, Mr. Bagri filed an appeal of the decision letter of November 18, 1992. The Board dealt with this appeal concurrently with Mr. Bagri's other appeals in January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Bagri saw a myriad of practitioners and specialists including a physiotherapist, chiropractor, optometrist, orthopaedic surgeon, ophthalmologist, ENT (ear, nose, and throat) specialist, internal medicine specialist, and rheumatologist. He was seen by the Board's physicians and travelled from Quesnel to attend the Board's Rehabilitation Centre in Richmond. While in the Lower Mainland, he managed to see other specialists and psychiatrists. As the Board noted in its argument, even Mr. Bagri's general practitioner was uncertain of which specialist Mr. Bagri was seeing or how he obtained the referrals. A November 21, 1996 clinical entry of Dr. J. Leroux, a physician at the Holley Clinic in Quesnel that Mr. Bagri attended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been getting down at the coast for various specialist and physicians of which I don't have any knowledge or know how he got referred to them in the first place. He's fairly vague and non-specific as to how he got to see the psychiatrist as well as the rest of the physicians he did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Fibromyalgia was first raised as a possible diagnosis for Mr. Bagri's continuing pain in a brief handwritten Board Physician's Progress Report form prepared by Dr. Mamacos on October 12, 1993. Dr. Mamacos apparently saw Mr. Bagri only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Bagri was referred by Ms. Palbinder Shergill (his counsel at the time) to Dr. John Wade, a rheumatologist, who examined him on October 28, 1994. In his report of October 20, 1994 to Ms. Shergill, Dr. Wade stated "it is likely that the fibromyalgia is at least in part a result of the soft tissue injury from the accident" of September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November 15, 1994, Ms. Shergill sent Dr. Wade's report to the Board for it to consider "whether fibromyalgia is a compensable injury arising out of the work accident of September 11, 1992." By letter dated December 22, 1994 a claims adjudicator denied fibromyalgia as a compensable claim because "it cannot be said with any certainty that there is a direct causal link between fibromyalgia and trauma." In a memo to file dated December 19, 1994, the claims adjudicator wrote that he was rejecting the fibromyalgia claim because "it is not shown that there is a clear cause for the diagnosis. ... [T]rauma is not any more likely than any other explanation if, in fact, the diagnosis is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January 31, 1995, Mr. Bagri filed an appeal to the Review Board claiming that his "fibromyalgia is compensable and as a result of the work related injury". On January 19, 1996, the Review Board found there was insufficient evidence to conclude that Mr. Bagri developed a fibromyalgia condition from the work injury, or that his headaches, eye, ear, or TMJ (temporomandibular) problems arose from the work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February 1996, Mr. Bagri appealed the Review Board's findings to the Board's Appeal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Bagri's first psychiatric diagnosis is contained in a report dated March 21, 1996 from a psychiatrist, Dr. C. Roy, to Dr. John D. Farley, an internal medicine specialist. Dr. Roy diagnosed Mr. Bagri with major depression. His report was not provided by Mr. Bagri to the Board until September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August 1, 1996 the Appeal Division found that "although it is possible that the [work] injury was one of the many factors that played a role in the worker's development of fibromyalgia, it is not likely that the injury was a significant causative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August 9, 1996 Mr. Bagri filed a Request for Examination by an MRP. In his "Certificate for Appeal to a Medical Review Panel" dated August 21, 1996, Dr. Wade certified his belief that there was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medical dispute to be resolved and that the medical decision he disputed was that Mr. Bagri's fibromyalgia was not attributable to his 1992 compensable work injury. He opined that Mr. Bagri developed symptoms of fibromyalgia that were in part directly related to his work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fall of 1996, there were two further psychiatric reports regarding Mr. Bagri. In a psychiatric report dated October 3, 1996, Dr. William A. Courtney diagnosed Mr. Bagri as suffering from major depression with suicidal ruminations and panic attacks. As with the reports from Drs. Farley and Roy, Dr. Courtney's report was not provided to the Board until September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December 3, 1996, Dr. H. Davis, a psychiatrist, wrote a report for British Columbia Life and Casualty Company based on his examination of Mr. Bagri on November 27, 1996. Dr. Davis diagnosed Mr. Bagri with a generalized anxiety disorder that was "triggered by his injury" at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Clinical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Avtar Bagri, a forty-five year old married man employed as a Millworker grading lumber since 1985 was apparently injured at work in 1992, significantly a period when he was very concerned about his [parents'] health. This injury resulted in pain in the right shoulder and set off a chain of events with much concern about the future and his family, being the sole breadwinner. As a result, he developed a Generalized Anxiety State ["GAD"] with numerous pains, sleep disturbance, and fears for the future with all physical investigations proving negative and with no response to the usual modes of therapy.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GAD was triggered by his injury with fears for the future and has been compounded by concerns about his [parents'] health. Many individuals with GAD also experience physical symptoms e.g. muscle pain and tension, cold, clammy hands and are particularly prone to depression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Davis also noted that Mr. Bagri had been seen by Dr. Roy and that he was being treated by Dr. Courtney.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March 13, 1997, Ms. Shergill sent a copy of Dr. Davis' December 3, 1996 report to the Board's claims adjudicator requesting that Mr. Bagri be referred "to the psychology department for an assessment of the causal relationship between the depression and the compensable work injury". Until then, there had been no evidence before the Board that Mr. Bagri suffered from a psychiatric or psychological injury. It is at this time, when the appeal to the MRP relating to the fibromyalgia claim was pending, that a claim for compensation for psychiatric or psychological injury first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June 20, 1997, the claims adjudicator denied compensation for psychological injury on the following grounds: Dr. Davis' diagnosis came two and one-half years after the Board considered Mr. Bagri's injury resolved; there were no objective medical findings that the work injury was serious; and Board policies regarding stress as a work-related injury or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Bagri filed a notice of appeal from the June 20, 1997 decision to the Review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By letter dated September 9, 1997, a Medical Appeals Officer from the Medical Review Panel Department informed Mr. Bagri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J. Wade has provided sufficient particulars to define the question in issue. Dr. J. Wade states that you sustained a musculoligamenteous injury of the neck and back subsequent to a work injury. In addition you developed symptoms of fibromyalgia that were in part directly related to that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referring you to a Medical Review Panel for examination under Section 58(3)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determine whether your back problems, diagnosed as Fibromyalgia, is causally related to your compensable injury of September 11, 1992, and if so, to specify the nature and extent of any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Later in September 1997, the specialty for the MRP was designated by both parties as rheumatology.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September 13, 1997 Mr. Bagri was seen by another psychiatrist, Dr. N. Bhanji, at the request of Dr. S. Ngui, a family physician in Delta. Dr. Bhanji diagnosed Mr. Bagri as suffering from "a major depression, possibly with psychotic features or at least quasidelusional thinking. Suicidal ideation was evident. A significant component of anxiety as part of his major depression was also noted". There is no evidence when the Board received a copy of Dr. Bhanji's consultation report, but it was not before the MRP.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letter to Mr. Bagri dated September 22, 1997, the Medical Appeals Officer sent a Statement of Issues setting out the questions the MRP would be asked "based on their examination of you and a review of all available medical records, including reports provided by your doctors." The Statement of Issues dated September 22, 1997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MEDICAL DECISION OF THE BOARD WHICH IS IN DISPUTE: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worker is referred to a Medical Review Panel for examination to determine whether his back problems, diagnosed as [fibromyalgia], is causally related to his compensable injury of September 11, 1992, and if so, to specify the nature and extent of any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September and December 1997, the Medical Appeals Officer sent letters to three of Mr. Bagri's physicians: Dr. Adojan, his general practitioner at the time of the workplace injury; Dr. Mamacos, who made the initial diagnosis of fibromyalgia; and Dr. Pawlovich, who appears to have been his doctor for a brief time after Dr. Adojan. The letters from the Medical Appeals Officer informed the physicians that Mr. Bagri was "to be examined by a Medical Review Panel to determine [whether] his back problems, diagnosed as [fibromyalgia], is causally related to his compensable injury of September 11, 1992"; that he was attempting to obtain all relevant information for the MRP; and that he was requesting them to provide medical information. The letters did not request documents regarding Mr. Bagri's "multiple pain problems", as that wording was not added to the Statement of Issues until December 22, 1997 following the comments of Mr. Bagri's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initial Statement of Issues dated September 22, 1997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condition of the worker with respect to his back? Please include the Panel's diagnosis with respect to his back problems?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worker now have a disability with respect to his back? If not, could the Panel please advise the Board whether historically they believe that the worker did, at any time, have a disability with respect to his back?</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worker has (or had) such a disability, what is (or was) its nature and extent and in what ways does (or did) it affect the body function of the worker?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If the worker has (or had) such a disability, what is (or was) the cause(s)?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compensable injury of September 11, 1992, of causative significance in producing a disability?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If there is (or was) more than one cause of such a disability, how and to what extent is (or was) each cause significant?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already answered, how and to what extent is (or was) the compensable injury of September 11, 1992, of causative significance?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Panel has identified more than one cause of disability with respect to the worker's back, please explain: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each cause independently result in a disability and if so, what proportion of the disability found by the Panel is related to each cause?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each cause did not independently result in a disability, did two or more causes act together to result in a disability? If so, which causes acted together to result in a disability?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has recognized that the worker was temporarily disabled as a result of the compensable injury of September 11, 1992, for the period of September 12, 1992, to March 7, 1993. Would the Panel please state whether they feel that the worker was temporarily disabled for any further period(s) as a result of the compensable injury of September 11, 1992, and, if so, what the nature and extent of the disability was during the further period(s) of time.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Did the worker suffer from any pre-existing condition?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worker suffer from any pre-existing disability?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answer to (a) or (b) is affirmative, would the Panel please state if the pre-existing condition or disability was activated, accelerated or aggravated by the compensable injury of September 11, 1992?</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worker now has a disability related to the compensable injury of September 11, 1992, has it changed to any significant extent since its commencement and, if so, what has been the nature and progress of that change? Is any significant change in the disability reasonably expected in the next 12 months?</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Panel please state whether the worker's back problems, diagnosed as [fibromyalgia], is causally related to his compensable injury of September 11, 1992, and if so, to specify the nature and extent of any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response to the Statement of Issues, by letter dated October 23, 1997 to the Medical Appeals Officer, Mr. Bagri's lawyer stated his concerns about restricting the injuries to back problems "because I think </w:t>
      </w:r>
      <w:r>
        <w:rPr>
          <w:rFonts w:ascii="arial" w:eastAsia="arial" w:hAnsi="arial" w:cs="arial"/>
          <w:color w:val="000000"/>
          <w:sz w:val="20"/>
          <w:u w:val="single"/>
          <w:lang w:val="en-US" w:eastAsia="en-US" w:bidi="ar-SA"/>
        </w:rPr>
        <w:t>that is an unfair restriction of what the diagnosis of fibromyalgia really includes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By letter dated December 2, 1997 the Medical Appeals Officer agreed that Mr. Bagri's diagnosed fibromyalgia condition would be restricted if left as "back problems". He therefore changed "back problems" to "back and/or multiple pain problems" throughout the Statement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Statement of Issues was revised on December 22, 1997 so that immediately after the word "back" under the heading Medical Decision Of The Board Which Is In Dispute, and in paras. 1, 2, 6, and 10 of the heading Issues, the words "and/or multiple pain condition" were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noted earlier, the Medical Appeals Officer made no further request to Mr. Bagri's three physicians, Dr. Adojan, Dr. Mamacos, and Dr. Pawlovich, for information regarding Mr. Bagri's "multiple pain problems" or psychiatric issues. The Medical Appeals Officer made no request for information regarding Mr. Bagri's "multiple pain problems" or psychiatric issues from his family physician Dr. Ngui, Dr. Davis, or any psychiatrist or psychologist treating Mr. Bagri.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29, 1998 Mr. Bagri's counsel sent a written submission to the MRP, describing the MRP as "with respect, principally, to his fibromyalgia." The remainder of the submission is clearly predicated on the presumption that the issues were whether Mr. Bagri suffered from fibromyalgia, and whether fibromyalgia was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MRP took place on June 3, 1998. The MRP chair was a general practitioner, and the two specialists were rheumatologists.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MRP Certificate states that:</w:t>
      </w:r>
      <w:r>
        <w:rPr>
          <w:rFonts w:ascii="arial" w:eastAsia="arial" w:hAnsi="arial" w:cs="arial"/>
          <w:sz w:val="20"/>
          <w:lang w:val="en-US" w:eastAsia="en-US" w:bidi="ar-SA"/>
        </w:rPr>
        <w:cr/>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condition "with respect to his back and/or multiple pain condition" at examination was two-fold: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physical condition of the Worker was found to be good; the Panel found no evidence of organic pathology or disease state.</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emotional or psychological condition was considered to be poor.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Respecting the Worker's diagnoses, the Panel considers these also two-fold: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mild to moderate myofascial soft tissue strain affecting the right shoulder girdle and the right para-cervical soft tissue structures.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 now suffers a deep seated GENERALIZED ANXIETY DISORDER (Axis 1:300.02) which is the Worker's primary disorder.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Specifically, the Panel considers the Worker did not and does not suffer "Fibromyalgia".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 does now suffer an ongoing disability with respect to his multiple pain condition which relates directly and entirely to the aforementioned "generalized anxiety disorder".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Panel considers also that historically the Worker suffered a temporary total disability, namely a mild to moderate myofascial strain of the right shoulder girdle and right paracervical soft tissue structure.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mild to moderate myofascial soft tissue strain of the right shoulder girdle and neck caused mild to moderate pain in these anatomical regions with associated mild to moderate limitation of range of motion which affected the body function of the Worker to the extent he was unable to continue in the workplace as a lumber grader in the sawmill resulting in temporary total disability until 7 March, 1993, at which time physical examination revealed a restoration of normal physical signs and function.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(a&amp;b1) The cause of the Worker's soft tissue myofascial shoulder girdle and right neck pain was the incident of injury in the workplace September 11, 1992 while attempting to dislodge a piece of stacked lumber.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disability secondary to his generalized anxiety disorder is functional in origin as well as being multifactorial and complex. The Panel considers that the Worker's anxiety disorder was not caused by the incident of 11 September 1992 or other activities in the workplace.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The Panel considers there was only one cause of the Worker's compensable disability or myofascial soft tissue strain.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and extent to which the compensable injury of 11 September, 1992 was of causative significance has already been answered.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(a&amp;b) Are not applicable.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Panel considers the Worker was not temporarily disabled for any further periods of time after March 7, 1993 as a result of the compensable injury of 11 September, 1992.</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(a&amp;b) The Worker did not suffer from any pre-existing condition or disability.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the Worker does not now suffer a disability which is related to the compensable injury of 11 September 1992 #9 is not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its narrative report, the MRP Certificate refers to the December 3, 1996 report of Dr. Davis, states that the MRP members concurred with Dr. Davis' diagnosis of a generalized anxiety disorder, and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history taking today Panel members also found marked evidence of excessive anxiety and worry by Mr. Bagri with associated symptoms of shakiness, fatigue, muscle tension ("my head's in a vice"), as well as a disturbed sleep pattern, inability to concentrate, plus ongoing perception of diffuse pain and points of tenderness. The Panel found also the Worker to display moderate depression with flat affect and definite patterns of panic attacks and agoraphobia, as well as concerns about his physical health, particularly his cardiac status. Panel members find the functional components of this Worker's disability very deep seated and complex and consider further that although the Worker's mild to moderate soft tissue </w:t>
      </w:r>
      <w:r>
        <w:rPr>
          <w:rFonts w:ascii="arial" w:eastAsia="arial" w:hAnsi="arial" w:cs="arial"/>
          <w:color w:val="000000"/>
          <w:sz w:val="20"/>
          <w:u w:val="single"/>
          <w:lang w:val="en-US" w:eastAsia="en-US" w:bidi="ar-SA"/>
        </w:rPr>
        <w:t>injury may have unearthed Mr. Bagri's anxiety disorder it did not cause it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By letter to the Review Board dated July 23, 1998, Mr. Bagri's counsel maintained that the MRP had accepted Dr. Davis' opinion and ruled that Mr. Bagri had a compensable psychological disability: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Panel (of rheumatologist[s]) was put together to deal </w:t>
      </w:r>
      <w:r>
        <w:rPr>
          <w:rFonts w:ascii="arial" w:eastAsia="arial" w:hAnsi="arial" w:cs="arial"/>
          <w:color w:val="000000"/>
          <w:sz w:val="20"/>
          <w:u w:val="single"/>
          <w:lang w:val="en-US" w:eastAsia="en-US" w:bidi="ar-SA"/>
        </w:rPr>
        <w:t>expressly</w:t>
      </w:r>
      <w:r>
        <w:rPr>
          <w:rFonts w:ascii="arial" w:eastAsia="arial" w:hAnsi="arial" w:cs="arial"/>
          <w:color w:val="000000"/>
          <w:sz w:val="20"/>
          <w:lang w:val="en-US" w:eastAsia="en-US" w:bidi="ar-SA"/>
        </w:rPr>
        <w:t xml:space="preserve"> with Dr. Wade's Certificate for Appeal, pursuant to Section 58(3) of the Act, which set out the only medical dispute to be resolved as whether, or not, Mr. Bagri's </w:t>
      </w:r>
      <w:r>
        <w:rPr>
          <w:rFonts w:ascii="arial" w:eastAsia="arial" w:hAnsi="arial" w:cs="arial"/>
          <w:color w:val="000000"/>
          <w:sz w:val="20"/>
          <w:u w:val="single"/>
          <w:lang w:val="en-US" w:eastAsia="en-US" w:bidi="ar-SA"/>
        </w:rPr>
        <w:t>fibromyalgia</w:t>
      </w:r>
      <w:r>
        <w:rPr>
          <w:rFonts w:ascii="arial" w:eastAsia="arial" w:hAnsi="arial" w:cs="arial"/>
          <w:color w:val="000000"/>
          <w:sz w:val="20"/>
          <w:lang w:val="en-US" w:eastAsia="en-US" w:bidi="ar-SA"/>
        </w:rPr>
        <w:t xml:space="preserve"> was attributable to his 1992 compensable work injury. </w:t>
      </w:r>
      <w:r>
        <w:rPr>
          <w:rFonts w:ascii="arial" w:eastAsia="arial" w:hAnsi="arial" w:cs="arial"/>
          <w:color w:val="000000"/>
          <w:sz w:val="20"/>
          <w:u w:val="single"/>
          <w:lang w:val="en-US" w:eastAsia="en-US" w:bidi="ar-SA"/>
        </w:rPr>
        <w:t>That part</w:t>
      </w:r>
      <w:r>
        <w:rPr>
          <w:rFonts w:ascii="arial" w:eastAsia="arial" w:hAnsi="arial" w:cs="arial"/>
          <w:color w:val="000000"/>
          <w:sz w:val="20"/>
          <w:lang w:val="en-US" w:eastAsia="en-US" w:bidi="ar-SA"/>
        </w:rPr>
        <w:t xml:space="preserve"> of their Certificate is clearly conclusive and binding upon Mr. Bagri, as well as the Board. In dealing, however, with Mr. Bagri's </w:t>
      </w:r>
      <w:r>
        <w:rPr>
          <w:rFonts w:ascii="arial" w:eastAsia="arial" w:hAnsi="arial" w:cs="arial"/>
          <w:color w:val="000000"/>
          <w:sz w:val="20"/>
          <w:u w:val="single"/>
          <w:lang w:val="en-US" w:eastAsia="en-US" w:bidi="ar-SA"/>
        </w:rPr>
        <w:t>psychological disability</w:t>
      </w:r>
      <w:r>
        <w:rPr>
          <w:rFonts w:ascii="arial" w:eastAsia="arial" w:hAnsi="arial" w:cs="arial"/>
          <w:color w:val="000000"/>
          <w:sz w:val="20"/>
          <w:lang w:val="en-US" w:eastAsia="en-US" w:bidi="ar-SA"/>
        </w:rPr>
        <w:t xml:space="preserve">, the Panel has, unfortunately, </w:t>
      </w:r>
      <w:r>
        <w:rPr>
          <w:rFonts w:ascii="arial" w:eastAsia="arial" w:hAnsi="arial" w:cs="arial"/>
          <w:color w:val="000000"/>
          <w:sz w:val="20"/>
          <w:u w:val="single"/>
          <w:lang w:val="en-US" w:eastAsia="en-US" w:bidi="ar-SA"/>
        </w:rPr>
        <w:t>answered the wrong question with respect to law</w:t>
      </w:r>
      <w:r>
        <w:rPr>
          <w:rFonts w:ascii="arial" w:eastAsia="arial" w:hAnsi="arial" w:cs="arial"/>
          <w:color w:val="000000"/>
          <w:sz w:val="20"/>
          <w:lang w:val="en-US" w:eastAsia="en-US" w:bidi="ar-SA"/>
        </w:rPr>
        <w:t xml:space="preserve">, with all due respect. The issue with respect to psychological disability is not whether it was caused by the incident of 11 September 1992 or other activities in the work place, in the sense that a work place accident would cause a broken leg, but whether the psychological impairment arises secondarily to the pain which does arise as a direct result of the compensable accident. Patently, that is the case. </w:t>
      </w:r>
      <w:r>
        <w:rPr>
          <w:rFonts w:ascii="arial" w:eastAsia="arial" w:hAnsi="arial" w:cs="arial"/>
          <w:color w:val="000000"/>
          <w:sz w:val="20"/>
          <w:u w:val="single"/>
          <w:lang w:val="en-US" w:eastAsia="en-US" w:bidi="ar-SA"/>
        </w:rPr>
        <w:t>But for</w:t>
      </w:r>
      <w:r>
        <w:rPr>
          <w:rFonts w:ascii="arial" w:eastAsia="arial" w:hAnsi="arial" w:cs="arial"/>
          <w:color w:val="000000"/>
          <w:sz w:val="20"/>
          <w:lang w:val="en-US" w:eastAsia="en-US" w:bidi="ar-SA"/>
        </w:rPr>
        <w:t xml:space="preserve"> the accident of 11 September 1992 and the resulting pain caused to Mr. Bagri, he would still be at work. Note, in particular, paragraph 22.33 of the Manual: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"Chronic pain problems" (the exact name of which does not matter, as a matter of law, according to </w:t>
      </w:r>
      <w:r>
        <w:rPr>
          <w:rFonts w:ascii="arial" w:eastAsia="arial" w:hAnsi="arial" w:cs="arial"/>
          <w:color w:val="000000"/>
          <w:sz w:val="20"/>
          <w:u w:val="single"/>
          <w:lang w:val="en-US" w:eastAsia="en-US" w:bidi="ar-SA"/>
        </w:rPr>
        <w:t>Hanney</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[1984] B.C.J. No. 1942</w:t>
        </w:r>
      </w:hyperlink>
      <w:r>
        <w:rPr>
          <w:rFonts w:ascii="arial" w:eastAsia="arial" w:hAnsi="arial" w:cs="arial"/>
          <w:color w:val="000000"/>
          <w:sz w:val="20"/>
          <w:lang w:val="en-US" w:eastAsia="en-US" w:bidi="ar-SA"/>
        </w:rPr>
        <w:t xml:space="preserve">, ) "are also acceptable if the evidence indicates that they </w:t>
      </w:r>
      <w:r>
        <w:rPr>
          <w:rFonts w:ascii="arial" w:eastAsia="arial" w:hAnsi="arial" w:cs="arial"/>
          <w:color w:val="000000"/>
          <w:sz w:val="20"/>
          <w:u w:val="single"/>
          <w:lang w:val="en-US" w:eastAsia="en-US" w:bidi="ar-SA"/>
        </w:rPr>
        <w:t>result from</w:t>
      </w:r>
      <w:r>
        <w:rPr>
          <w:rFonts w:ascii="arial" w:eastAsia="arial" w:hAnsi="arial" w:cs="arial"/>
          <w:color w:val="000000"/>
          <w:sz w:val="20"/>
          <w:lang w:val="en-US" w:eastAsia="en-US" w:bidi="ar-SA"/>
        </w:rPr>
        <w:t xml:space="preserve"> the work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patently Avtar Bagri's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draw to the Board's attention the decision of the Supreme Court of Canada in </w:t>
      </w:r>
      <w:r>
        <w:rPr>
          <w:rFonts w:ascii="arial" w:eastAsia="arial" w:hAnsi="arial" w:cs="arial"/>
          <w:color w:val="000000"/>
          <w:sz w:val="20"/>
          <w:u w:val="single"/>
          <w:lang w:val="en-US" w:eastAsia="en-US" w:bidi="ar-SA"/>
        </w:rPr>
        <w:t>Athey v. Leonati</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The Supreme Court of Canada sets out the law, of course, for the entire country at all levels. In </w:t>
      </w:r>
      <w:r>
        <w:rPr>
          <w:rFonts w:ascii="arial" w:eastAsia="arial" w:hAnsi="arial" w:cs="arial"/>
          <w:color w:val="000000"/>
          <w:sz w:val="20"/>
          <w:u w:val="single"/>
          <w:lang w:val="en-US" w:eastAsia="en-US" w:bidi="ar-SA"/>
        </w:rPr>
        <w:t>Athey</w:t>
      </w:r>
      <w:r>
        <w:rPr>
          <w:rFonts w:ascii="arial" w:eastAsia="arial" w:hAnsi="arial" w:cs="arial"/>
          <w:color w:val="000000"/>
          <w:sz w:val="20"/>
          <w:lang w:val="en-US" w:eastAsia="en-US" w:bidi="ar-SA"/>
        </w:rPr>
        <w:t>, the Supreme Court confirmed the "common sense" principles which were adopted by the Appeal Division in page 120 of Volume 8 and the Supreme Court said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w:t>
      </w:r>
      <w:r>
        <w:rPr>
          <w:rFonts w:ascii="arial" w:eastAsia="arial" w:hAnsi="arial" w:cs="arial"/>
          <w:color w:val="000000"/>
          <w:sz w:val="20"/>
          <w:u w:val="single"/>
          <w:lang w:val="en-US" w:eastAsia="en-US" w:bidi="ar-SA"/>
        </w:rPr>
        <w:t xml:space="preserve">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the Defendant</w:t>
      </w:r>
      <w:r>
        <w:rPr>
          <w:rFonts w:ascii="arial" w:eastAsia="arial" w:hAnsi="arial" w:cs="arial"/>
          <w:color w:val="000000"/>
          <w:sz w:val="20"/>
          <w:lang w:val="en-US" w:eastAsia="en-US" w:bidi="ar-SA"/>
        </w:rPr>
        <w:t xml:space="preserve"> ..." [Emphasis added by petitioner.]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Mr. Bagri's case, again, he would not be psychologically disabled, but for, the work incident and its sequelae of September 11, 1992.</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letter of July 23, 1998 also enclosed two additional psychiatric or psychological reports, one from Dr. David Chan dated October 6, 1997, and another from Dr. Lakshman Rasiah dated September 13,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at this point that the two parallel claims, for compensation for fibromyalgia and for psychiatric or psychological injury, join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letter dated August 11, 1998, a claims adjudicator replied to the July 23, 1998 letter stating that the MRP was unable to relate Mr. Bagri's generalized anxiety disorder to his compensable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November 10, 1998 Mr. Bagri filed an appeal of the August 11, 1998 decision letter. The appeal was heard on July 19,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Rasiah wrote an additional letter dated February 22, 1999 stating that in September 1997, he saw Mr. Bagri's depression as "secondary to" or caused by the work injury, and repeating that "the development of these psychiatric symptoms consequent to the injury at work demonstrated a direct cause or link between the injury and the accompanying physical and psychological stresses and the development of his psychiatric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November 1, 2000 the Review Board issued its Findings that summarized the position of Mr. Bagri and the Board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behalf of the worker, Mr. MacLean submits that the Medical Review Panel Certificate is only binding and conclusive on the issue of fibromyalgia. He submits that the worker's psychological disability is compensable. He states that the Medical Review Panel said nothing about whether or not, the work place injury, combined with the resulting pain, attempts to return to work, worries about finances, etc., caused the disability. Mr. MacLean submits that the "but, for" test has not been applied in determining the cause of the disability, and that the Board failed to fulfill its "duty of fairness" in interpreting the Medical Review Panel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as Appendix A to Mr. MacLean's submission is an earlier submission he made to the Board, dated July 23, 1998. In that submission, Mr. Maclean said that the question should be whether the psychological impairment arises secondarily to the pain which does arise as a direct result of the compensable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behalf of the employer, Mr. Gordon Martin submitted that the Board correctly interpreted the Medical Review Panel's Certificate, and that Certificate is binding on the Board. Mr. Martin submits that the Medical Review Panel did deal with the issue of whether there was a compensable psychological disorder, when, at worker's counsel request, the issue of fibromyalgia was broadened to multiple pain condition.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Review Board's Findings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Regarding Medical Review Panels' Certificates,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states, at Section 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certificate of a panel under sections 58 to 64 is conclusive as to the matters certified and is binding on the board. The certificate is not open to question or review in any court, and proceedings by or before the panel must not be restrained by injunction, prohibition or other process or proceeding in any court or be removable by certiorari or otherwise in any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Findings and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panel denies the worker's appeals. We find there was no ambiguity in the Medical Review Panel's Certificate and that the Board correctly implemented the Certificate's findings by disallowing payment of further benefits on the claim. The Medical Review Panel found that the worker was not disabled beyond March 17, 1993 by reason of his compensable injury. They were well aware of the worker's pain and psychological condition, and certified that the worker's disability with respect to his multiple pain condition relates directly and entirely to the generalized anxiety disorder. They certified that the injury or other activities in the workplace did not cause the generalized anxiety disorder. Finally, the Medical Review Panel certified the worker does not now suffer a disability related to the compensable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no new evidence presented to the Board or to this panel which is significantly different to the evidence before the Medical Review Panel. The Medical Review Panel is the highest level of appeal in the compensation system on medical questions and their findings are binding. Specifically, their findings regarding the cause of the worker's disability are not open to question or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On November 14, 1998 Mr. Bagri filed an appeal of the Review Board's decision to the Appeal Division. It was then agreed that the appeal would be withdrawn until Mr. Bagri received clarification from the MRP with respect to causation based on the "but for" test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On October 31, 2002, Bill 63 received royal assent and the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dealing with Medical Review Panels were repealed.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April 4, 2005 Mr. Bagri filed 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Sections 2 through 35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set out the Board's responsibility and authority with respect to the adjudication of claims and the payment of compensation benefits. Section 5 establishes no fault entitlement to compensation for a worker injured "in the course of employment".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creates a scheme for the payment of compensation benefits and, until March 3, 2003, an appeal structure. At the material times, pursuant to ss. 90 and 91, a decision of the Board affecting a worker could be appealed to the Review Board, and a decision of the Review Board appealed to the Appeal Board. Decisions of the MRP were conclusive and binding on the Board: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A certificate of a panel under sections 58 to 64 is conclusive as to the matters certified and is binding on the board. The certificate is not open to question or review in any court, and proceedings by or before the panel must not be restrained by injunction, prohibition or other process or proceeding in any court or be removable by certiorari or otherwise in any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96 (1) The board has exclusive jurisdiction to inquire into, hear and determine all matters and questions of fact and law arising under this Part, and the action or decision of the board on them is final and conclusive and is not open to question or review in any court, and proceedings by or before the board must not be restrained by injunction, prohibition or other process or proceeding in any court or be removable by certiorari or otherwise into any court, and an action must not be maintained or brought against a governor, officer, appeal commissioner or employee of the board in respect of an act, omission or decision done or made in the belief that it was within the jurisdiction of the board; and, without restricting the generality of the foregoing, the board has exclusive jurisdiction to inquire into, hear and determine</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an injury has arisen out of or in the course of an employment within the scope of this Part;</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and degree of disability by reason of an injury;</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permanence of disability by reason of an injury;</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diminution of earning capacity by reason of an injury;</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average earnings of a worker, whether paid in cash or board or lodging or other form of remuneration, for the purpose of levying assessments, and the average earnings of a worker for purposes of payment of compensation;</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for the purpose of this Part, of the relationship of a member of the family of a worker as defined by this Act;</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dependency;</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industry or a part, branch or department of an industry is within the scope of this Part, and the class to which an industry or a part, branch or department of an industry within the scope of this Part should be assigned;</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worker in an industry within the scope of this Part is within the scope of this Part and entitled to compensation under it; and</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person is a worker, a subcontractor, a contractor or an employer within the meaning of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It is agreed that the appropriate standard of review is reasonableness. The majority in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[2008] 1 S.C.R. 190</w:t>
        </w:r>
      </w:hyperlink>
      <w:r>
        <w:rPr>
          <w:rFonts w:ascii="arial" w:eastAsia="arial" w:hAnsi="arial" w:cs="arial"/>
          <w:color w:val="000000"/>
          <w:sz w:val="20"/>
          <w:lang w:val="en-US" w:eastAsia="en-US" w:bidi="ar-SA"/>
        </w:rPr>
        <w:t>, explained the reasonableness standard as follows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Reasonableness is a deferential standard animated by the principle that ... certain questions that come before administrative tribunals do not lend themselves to one specific particular result. Instead, they may give rise to a number of possible, reasonable conclusions ... In judicial review, reasonableness is concerned mostly with the existence of justification, transparency and intelligibility within the decision making process. It is also concerned with whether the decision falls within a range of possible, acceptable outcomes which are defensible in respect of the facts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Board relies on s. 65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contends that the decision of the MRP and the Board in implementing the decision of the MRP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Bagri argues that the rules of fairness were not met by the Board and the proceedings before the MRP.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Kooner v. British Columbia (Workers' Compensation Board)</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(1991), 54 B.C.L.R. (2d) 83</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78 D.L.R. (4th) 38</w:t>
        </w:r>
      </w:hyperlink>
      <w:r>
        <w:rPr>
          <w:rFonts w:ascii="arial" w:eastAsia="arial" w:hAnsi="arial" w:cs="arial"/>
          <w:color w:val="000000"/>
          <w:sz w:val="20"/>
          <w:lang w:val="en-US" w:eastAsia="en-US" w:bidi="ar-SA"/>
        </w:rPr>
        <w:t xml:space="preserve"> (C.A.), it was the Board rather than the worker that advanced arguments similar to those advanced by Mr. Bagri. In </w:t>
      </w:r>
      <w:r>
        <w:rPr>
          <w:rFonts w:ascii="arial" w:eastAsia="arial" w:hAnsi="arial" w:cs="arial"/>
          <w:i/>
          <w:color w:val="000000"/>
          <w:sz w:val="20"/>
          <w:lang w:val="en-US" w:eastAsia="en-US" w:bidi="ar-SA"/>
        </w:rPr>
        <w:t>Kooner</w:t>
      </w:r>
      <w:r>
        <w:rPr>
          <w:rFonts w:ascii="arial" w:eastAsia="arial" w:hAnsi="arial" w:cs="arial"/>
          <w:color w:val="000000"/>
          <w:sz w:val="20"/>
          <w:lang w:val="en-US" w:eastAsia="en-US" w:bidi="ar-SA"/>
        </w:rPr>
        <w:t>, the Board argued that the MRP, with specialists in neurology, exceeded its jurisdiction by finding that the worker suffered a psychiatric or psychological disability. The Board purported to exercise its statutory discretion to refer the matter to a second medical review panel made up of specialists in psychiatry. The B.C. Court of Appeal stated at paras. 15, 16, and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It is common ground that the statement in s. 65 that the panel's certificate is "conclusive as to the matters certified" and "binding on the board" does not mean it is necessarily to be regarded as "final" -- that is to say, as precluding any later review of the claimant's status by another panel.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This is a point of obvious importance to the outcome of the appeal. In normal circumstances it would be difficult to conceive of a decision being "conclusive" and "binding" and yet not "final." But it is of the essence of the scheme established by the Act that decisions on compensation will be open to review in the light of changing conditions, whether the change be to rehabilitative or employment opportunities, medical knowledge or the medical status of the claimant. Decisions of the board must be open to reconsideration where new considerations arise. It would be incongruous in such circumstances that the decision of a medical review panel on appeal from a decision of the board could not be reconsidered. If that were so, then it would follow that a decision of the board upheld on appeal by a panel would be immutable, whereas a decision not appealed, because the worker had accepted it, could be reconsidered.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board has wide power to decide when to appoint a medical review panel of its own motion under s. 58(5). But its powers with respect to the appointment of panels under s. 58(3) or s. 58(4) are circumscribed. So soon as a proper request is made by claimant or employer, the board must proceed with the establishment of the panel. It must therefore be subject to rules of fairness in deciding the speciality from which nominees are to be chosen, in framing the terms of reference and generally with respect to proceedings leading to the decision and also with respect to its implementation. The panel is not, of course, an advisory body, but an appellate tribunal by which a disputed decision of the board may be reversed. The purpose of the review is to decide whether the board has arrived at the correct decision in a medical matter. It follows that, in regard to the proceedings before the medical review panel and to the manner in which the board deals with the panel's decision, there must be careful adherence to the intent of the statute, including observance of rules of fairness. For such an independent review procedure to be effective, the broad discretionary authority which the board normally enjoys must be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review of the long history of Mr. Bagri's claim indicates that both the Board and Mr. Bagri's counsel expected the MRP to deal with the issue of whether Mr. Bagri suffered from fibromyalgia and whether it was compensable. This is apparent from the correspondence; the documents that were requested by the Medical Appeals Officer from three of Mr. Bagri's physicians, the submissions to the MRP, and the fact that other than the report of Dr. Davis, none of the other psychiatric and psychological reports that were available were placed before the MRP.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Board contends that Mr. Bagri should not be able to now rely on the psychological and psychiatric reports that were in existence at the time of the MRP and not disclosed to the Board and therefore not before the MRP. However, it is apparent that counsel for Mr. Bagri did not consider those reports relevant at the time, because the focus was on whether Mr. Bagri suffered from fibromyalgia. It was not, as the Board suggests, that Mr. Bagri "chose" not to provide the reports to the Board or is now trying to provide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Bagri clearly did not expect the MRP to deal with any psychiatric explanations for his complaints. He and his counsel did not provide to the Board, and the Board in its request letter to the physicians did not seek information relating to his psychiatric or psychological condition. Therefore, it cannot be said that Mr. Bagri was given a fair opportunity to be heard or given a fair hearing. Without a fair hearing or consideration of all the relevant material, it cannot be said that the MRP Certificate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However, if I am wrong, I will turn to Mr. Bagri's argument that the MRP erred by failing to apply the "but for" test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purpose of the MRP is set out in ss. 61(1) and 61(3)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61(1) The decision of a majority of the panel is the decision of the panel, and within a reasonable time after the examination of the worker the chair must certify to the board as to</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the worker;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or non-existence of a disability;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disability, its nature and extent, but not stated in terms of percentage of disability of the whole body;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disability, its cause and, if there is more than one cause, how much of the disability is related to one cause and how much to another;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worker, though no longer disabled, claims that he or she had a longer period of disability, total or partial, than that allowed the worker by the board, then and in that event whether the worker was in fact disabled as a result of the happening or incident which caused the disability for a longer period than that allowed the worker by the board, and if so, for what longer period he or she was disabled and the nature and extent of the disability during the period beyond that allowed the worker by the board, but not stated in terms of percentage of disability of the whole body.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61(3) The board may submit questions to the panel relating to matters enumerated in subsection (1) and the certificate of the panel must include answers to those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function of the MRP is to decide medical issues and answer the questions put to it pursuant to s. 61(3): </w:t>
      </w:r>
      <w:r>
        <w:rPr>
          <w:rFonts w:ascii="arial" w:eastAsia="arial" w:hAnsi="arial" w:cs="arial"/>
          <w:i/>
          <w:color w:val="000000"/>
          <w:sz w:val="20"/>
          <w:lang w:val="en-US" w:eastAsia="en-US" w:bidi="ar-SA"/>
        </w:rPr>
        <w:t>Jones v. British Columbia (Workers' Compensation Board)</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2005 BCCA 458</w:t>
        </w:r>
      </w:hyperlink>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45 B.C.L.R. (4th) 257</w:t>
        </w:r>
      </w:hyperlink>
      <w:r>
        <w:rPr>
          <w:rFonts w:ascii="arial" w:eastAsia="arial" w:hAnsi="arial" w:cs="arial"/>
          <w:color w:val="000000"/>
          <w:sz w:val="20"/>
          <w:lang w:val="en-US" w:eastAsia="en-US" w:bidi="ar-SA"/>
        </w:rPr>
        <w:t xml:space="preserve">, leave to appeal dismissed, </w:t>
      </w:r>
      <w:hyperlink r:id="rId273" w:history="1">
        <w:r>
          <w:rPr>
            <w:rFonts w:ascii="arial" w:eastAsia="arial" w:hAnsi="arial" w:cs="arial"/>
            <w:i/>
            <w:color w:val="0077CC"/>
            <w:sz w:val="20"/>
            <w:u w:val="single"/>
            <w:shd w:val="clear" w:color="auto" w:fill="FFFFFF"/>
            <w:lang w:val="en-US" w:eastAsia="en-US" w:bidi="ar-SA"/>
          </w:rPr>
          <w:t>[2005] S.C.C.A. No. 470</w:t>
        </w:r>
      </w:hyperlink>
      <w:r>
        <w:rPr>
          <w:rFonts w:ascii="arial" w:eastAsia="arial" w:hAnsi="arial" w:cs="arial"/>
          <w:color w:val="000000"/>
          <w:sz w:val="20"/>
          <w:lang w:val="en-US" w:eastAsia="en-US" w:bidi="ar-SA"/>
        </w:rPr>
        <w:t>, [2006] 1 S.C.R. xvi, 233 B.C.A.C. 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is reflected in the Board's Rehabilitation Services and Claims Manual, entitled Review and Appeals -- Medical Review Panels, at para. 103.84: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#103.84</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Cause of the Disability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purpose of the Medical Review Panel is to provide an appeal from "a medical decision of the Board" and it is in that context that the word "cause" must be interpreted. The Board interprets the word cause in section 61(1)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refer to the etiology of a physical or psychological disability. It means cause insofar as it is a matter of medical science, but not cause insofar as it is a matter of moral value [judgments], or law, or non-medical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It is also reflected in </w:t>
      </w:r>
      <w:r>
        <w:rPr>
          <w:rFonts w:ascii="arial" w:eastAsia="arial" w:hAnsi="arial" w:cs="arial"/>
          <w:i/>
          <w:color w:val="000000"/>
          <w:sz w:val="20"/>
          <w:lang w:val="en-US" w:eastAsia="en-US" w:bidi="ar-SA"/>
        </w:rPr>
        <w:t>Appeal Division Decision No. 97-0501</w:t>
      </w:r>
      <w:r>
        <w:rPr>
          <w:rFonts w:ascii="arial" w:eastAsia="arial" w:hAnsi="arial" w:cs="arial"/>
          <w:color w:val="000000"/>
          <w:sz w:val="20"/>
          <w:lang w:val="en-US" w:eastAsia="en-US" w:bidi="ar-SA"/>
        </w:rPr>
        <w:t xml:space="preserve"> (1997), 13 W.C.R. 515 at 525: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61(1)(d) clearly places the issue of cause of a disability within the jurisdiction of the Medical Review Panel, and it is now well established that such cause is limited to the medical cause [or] etiology of the condition (e.g. Decision No. 17, the previous policy #103.11, and the current policy #103.84).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contrast to the MRP deciding the medical issue, the Board, in implementing the MRP Certificate, must decide the legal issue. The Board is bound by the finding in the MRP Certificate that Mr. Bagri suffers from a generalized anxiety disorder, but it must apply the law in deciding whether that injury was caused by the compensable work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Although the Board decisions are not binding on this Court, they are illustrative of the role of the MRP in determining medical issues, and the role of the Review Board in determining entitlement to compensation -- which is a legal issue. In </w:t>
      </w:r>
      <w:r>
        <w:rPr>
          <w:rFonts w:ascii="arial" w:eastAsia="arial" w:hAnsi="arial" w:cs="arial"/>
          <w:i/>
          <w:color w:val="000000"/>
          <w:sz w:val="20"/>
          <w:lang w:val="en-US" w:eastAsia="en-US" w:bidi="ar-SA"/>
        </w:rPr>
        <w:t>Appeal Division Decision No. 2002-0146/0147</w:t>
      </w:r>
      <w:r>
        <w:rPr>
          <w:rFonts w:ascii="arial" w:eastAsia="arial" w:hAnsi="arial" w:cs="arial"/>
          <w:color w:val="000000"/>
          <w:sz w:val="20"/>
          <w:lang w:val="en-US" w:eastAsia="en-US" w:bidi="ar-SA"/>
        </w:rPr>
        <w:t xml:space="preserve"> (2002), 18 W.C.R. 113 at 117, the Appeal Decision set out the test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as the appropriate test to be applied in determining causation:</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test for determining causation in such claims is substantially the same. Instead of using the phrase "causative significance" to describe the test, the courts use the phrase "material contribution." The Supreme Court of Canada described the test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Horsely v. MacLaren</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citations deleted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the necessary preconditions to the injury occurring . . . 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then explained the rationale for this approach: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position is entrenched in our law and there is no reason at present to depart from it. If the law permitted apportionment between tortious causes and non-tortious causes, a plaintiff could recover 100 percent of his or her loss only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w:t>
      </w:r>
      <w:r>
        <w:rPr>
          <w:rFonts w:ascii="arial" w:eastAsia="arial" w:hAnsi="arial" w:cs="arial"/>
          <w:color w:val="000000"/>
          <w:sz w:val="20"/>
          <w:lang w:val="en-US" w:eastAsia="en-US" w:bidi="ar-SA"/>
        </w:rPr>
        <w:t xml:space="preserve"> cause of the injuries. 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considerations apply in the context of causation of injury or occupational disease for the purpose of workers' compensation. Workers' compensation is a no-fault insurance scheme for occupational accidents and diseases. It supplants the tort system for such claims, and benefits are a replacement for civil damages. However, the principles of causation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Appeal Division stated at 118:</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Review Board panel also misconstrued the effect of the Medical Review Panel certificate. The Review Board panel proceeded on the basis that the certificate of the Medical Review Panel dictated the result. The Review Board interpreted the Medical Review Panel certificate to mean that it had found that the occupational disease was 10% compensable. We do not agree with that interpretation. The certificate of the Medical Review Panel does not say anything about the worker's entitlement to compensation; nor should it. A Medical Review Panel certificate is conclusive and binding on the Board with respect to medical issues only: section 65, Act; policy #103.80, </w:t>
      </w:r>
      <w:r>
        <w:rPr>
          <w:rFonts w:ascii="arial" w:eastAsia="arial" w:hAnsi="arial" w:cs="arial"/>
          <w:i/>
          <w:color w:val="000000"/>
          <w:sz w:val="20"/>
          <w:lang w:val="en-US" w:eastAsia="en-US" w:bidi="ar-SA"/>
        </w:rPr>
        <w:t>R.S.C.M.</w:t>
      </w:r>
      <w:r>
        <w:rPr>
          <w:rFonts w:ascii="arial" w:eastAsia="arial" w:hAnsi="arial" w:cs="arial"/>
          <w:color w:val="000000"/>
          <w:sz w:val="20"/>
          <w:lang w:val="en-US" w:eastAsia="en-US" w:bidi="ar-SA"/>
        </w:rPr>
        <w:t xml:space="preserve"> Entitlement to compensation is not a medical issue. It is a legal issue. It involves applying the rules of entitlement to the evidence and reaching a conclusion as to eligibility. The Medical Review Panel certificate is evidence and its findings of medical fact are binding. This includes findings as to the cause of an occupational disease. However, it does not determine legal issues such as entitlement to compensation, even if the finding of medical fact essentially determines the outcome of the claim. Adjudication of legal issues is the responsibility of the Board, the Appeal Division and the Review Board, not the Medical Review Panel. In this case, the certificate made a medical finding of causation, which is binding on the Board. It did not find that compensation was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Mr. Bagri's case, the Review Board panel proceeded on the basis that the MRP Certificate dictated the result. The MRP found that Mr. Bagri did not suffer from any pre-existing condition or disability, but that he suffers from a generalized anxiety disorder that was not caused by the incident of September 11, 1992. However, the MRP concurred with Dr. Davis' diagnosis that while the soft tissue work injury did not cause his generalized anxiety disorder, it may have "unearthed" his disorder. The word "unearthed" is similar to the phrase used by Dr. Davis in his December 3, 1996 report that Mr. Bagri's generalized anxiety disordered was "triggered by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MRP found that Mr. Bagri suffers from a generalized anxiety disorder. It went on to find that the disorder was not caused by the work injury, but "unearthed" by the work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MRP Certificate was binding on the Board with respect to the medical findings. The Board was then required to determine the legal issue based on the medical evidence: did Mr. Bagri's generalized anxiety disorder arise out of his work injury? In arriving at its finding, the Board was required to apply the law relating to causation. It is insufficient at law to say that the disorder was not caused by or solely caused the work injury and therefore compensation is not payable. The Board was required to determine whether Mr. Bagri's disorder was caused by or arose out of his work injury, by applying the legal test for causation as set out by the Supreme Court of Canada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Board in this case simply adopted the findings as set out in the MRP Certificate that the anxiety disorder was not caused by the work injury. It ignored the MRP's findings that it concurred with Dr. Davis' diagnosis that the work injury may have unearthed or triggered the disorder. In doing so, it failed to apply the legal test with respect to causation. The decision of the Review Board cannot be said to be within the range of possible acceptable outcomes that are defensible with respect to the facts and the law; it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Board relies on ss. 8 (which is not really applicable in these circumstances) and 11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and contends that Mr. Bagri has failed to bring his application for judicial review in a timely fashion or at least prior to the repeal of the provisions relating to MRPs.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Section 11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An application for judicial review is not barred by passage of time unless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enactment otherwise provides,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considers that substantial prejudice or hardship will result to any other person affected by reason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Board relies on </w:t>
      </w:r>
      <w:r>
        <w:rPr>
          <w:rFonts w:ascii="arial" w:eastAsia="arial" w:hAnsi="arial" w:cs="arial"/>
          <w:i/>
          <w:color w:val="000000"/>
          <w:sz w:val="20"/>
          <w:lang w:val="en-US" w:eastAsia="en-US" w:bidi="ar-SA"/>
        </w:rPr>
        <w:t>The Burlington Northern Railroad v. Worker's Compensation Board</w:t>
      </w:r>
      <w:r>
        <w:rPr>
          <w:rFonts w:ascii="arial" w:eastAsia="arial" w:hAnsi="arial" w:cs="arial"/>
          <w:color w:val="000000"/>
          <w:sz w:val="20"/>
          <w:lang w:val="en-US" w:eastAsia="en-US" w:bidi="ar-SA"/>
        </w:rPr>
        <w:t>, (30 April 1993), Vancouver A924745 (B.C.S.C.) [</w:t>
      </w:r>
      <w:r>
        <w:rPr>
          <w:rFonts w:ascii="arial" w:eastAsia="arial" w:hAnsi="arial" w:cs="arial"/>
          <w:i/>
          <w:color w:val="000000"/>
          <w:sz w:val="20"/>
          <w:lang w:val="en-US" w:eastAsia="en-US" w:bidi="ar-SA"/>
        </w:rPr>
        <w:t>Burlington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Wojcik v. British Columbia (Workers' Compensation Board)</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(1997), 100 B.C.A.C. 81</w:t>
        </w:r>
      </w:hyperlink>
      <w:r>
        <w:rPr>
          <w:rFonts w:ascii="arial" w:eastAsia="arial" w:hAnsi="arial" w:cs="arial"/>
          <w:color w:val="000000"/>
          <w:sz w:val="20"/>
          <w:lang w:val="en-US" w:eastAsia="en-US" w:bidi="ar-SA"/>
        </w:rPr>
        <w:t xml:space="preserve"> (C.A.). Both cases are in my view distinguishable. In </w:t>
      </w:r>
      <w:r>
        <w:rPr>
          <w:rFonts w:ascii="arial" w:eastAsia="arial" w:hAnsi="arial" w:cs="arial"/>
          <w:i/>
          <w:color w:val="000000"/>
          <w:sz w:val="20"/>
          <w:lang w:val="en-US" w:eastAsia="en-US" w:bidi="ar-SA"/>
        </w:rPr>
        <w:t>Burlington</w:t>
      </w:r>
      <w:r>
        <w:rPr>
          <w:rFonts w:ascii="arial" w:eastAsia="arial" w:hAnsi="arial" w:cs="arial"/>
          <w:color w:val="000000"/>
          <w:sz w:val="20"/>
          <w:lang w:val="en-US" w:eastAsia="en-US" w:bidi="ar-SA"/>
        </w:rPr>
        <w:t>, the Board had decided that the railroad should bear the $88,000 cost of a worker's accident claim that involved the railroad and the City of New Westminster. The worker suffered a brain injury as a result of the accident but was able to continue working for her employer, Canfor. The railroad did not dispute the Board's decision until 18 years later, when it became apparent the worker's brain injury made her unsuitable for further employment after Canfor closed the plant where she had been working. The additional cost to the railroad as a result of the worker being unable to work was $300,000. Almost 18 years after the Board's decision, the railroad brought an application for judicial review of the Board's decision seeking to shift the cost to Canfor. Mr. Justice Low (as he then was), in dismissing the petition on the basis that both Canfor and the City would be prejudiced in attempting to present evidence to the Board on the issue of causation of the accident,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 The 1975 decision was made, without objection as I understand it, solely on the basis of witness statements and other documents. No </w:t>
      </w:r>
      <w:r>
        <w:rPr>
          <w:rFonts w:ascii="arial" w:eastAsia="arial" w:hAnsi="arial" w:cs="arial"/>
          <w:color w:val="000000"/>
          <w:sz w:val="20"/>
          <w:u w:val="single"/>
          <w:lang w:val="en-US" w:eastAsia="en-US" w:bidi="ar-SA"/>
        </w:rPr>
        <w:t>viva voce</w:t>
      </w:r>
      <w:r>
        <w:rPr>
          <w:rFonts w:ascii="arial" w:eastAsia="arial" w:hAnsi="arial" w:cs="arial"/>
          <w:color w:val="000000"/>
          <w:sz w:val="20"/>
          <w:lang w:val="en-US" w:eastAsia="en-US" w:bidi="ar-SA"/>
        </w:rPr>
        <w:t xml:space="preserve"> evidence has been preserved. It would be almost impossible for the various concerned parties to attempt to reconstruct, through evidence, either the scene of the accident or how it physically occurred. The Board would be severely hampered in any attempt to properly adjudicate the matter, a result brought about solely by the delay of Burlington in seeking a quashing of the 1975 decision and a rehearing of the issue.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Wojcik</w:t>
      </w:r>
      <w:r>
        <w:rPr>
          <w:rFonts w:ascii="arial" w:eastAsia="arial" w:hAnsi="arial" w:cs="arial"/>
          <w:color w:val="000000"/>
          <w:sz w:val="20"/>
          <w:lang w:val="en-US" w:eastAsia="en-US" w:bidi="ar-SA"/>
        </w:rPr>
        <w:t>, the worker sought judicial review of the MRP Certificate eight years after the Certificate was issued, on the basis that there was a reasonable apprehension of bias on the part of one of the three members of the MRP. The Court of Appeal set aside the order allowing judicial review on the basis that the evidence did not satisfy the test for bias and overcome the presumption the MRP acted impartially. Chief Justice McEachern added the following comment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I would only add this that I would not in the circumstances of this case refer the matter back for further inquiry because of the very serious delay that has occurred in this case. More than eight years has elapsed since this occurred and it would be futile in my view to expect doctors to be able to reconstruct a conversation or discussion that took place with a patient during the course of a three hour examination.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circumstances of Mr. Bagri's case, the legislation abolishing MRPs occurred while he was seeking clarification from the MRP and appealing the Review Board's decision to the Appeal Division. Mr. Paterson was retained by Mr. Bagri in early 2003. The petition was filed in April 2005. While the hearing of the petition may have taken place earlier than it did, Mr. Paterson attributes the delay to his caseload. He claims that he is only one of 12 lawyers in the Province that specialize in Board work, that he has 120 petitions waiting for hearings, and Mr. Bagri had to wait his turn in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other hand, the Board has not provided evidence that leads me to conclude that it will suffer substantial prejudice or hardship. The fact that by virtue of legislation, there are no longer Medical Review Panels does not amount to substantial prejudice or hardship.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Madam Justice Saunders considered the unavailability of a MRP in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While normally on an issue such as this the matter would be referred back to the statutory delegate to permit it to fulfill its obligation, where, as here, that cannot be done (see the 2001 decision of the Appeal Division which refers to the unavailability of the MRP) it is, in my view, appropriate simply to set the certificate of the MRP aside to permit the matter to be dealt with again through the machinery established by the Act. It follows that I would also set aside the decision of the Appeal Division implementing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accordingly set aside the Review Board decision implementing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Border Enterprises Ltd. v. Beazer East, Inc., [2001] B.C.J. No. 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C974540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1100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Border Enterprises Limited and Atlantic Industries Limited, plaintiffs, and Beazer East, Inc., Canadian National Railway Company, Yburg Holdings Ltd., Besu Holdings Ltd., Otfri Holdings Ltd., Lehreck Holdings Limited, Zug Holdings Ltd., Tierb Holdings Limited, Lehndorff Investors Services Limited, B.U.K. Investments Ltd., Wenzhold Properties Limited, Zichy-Thyssen Real Estate Limited, Maraba Holdings Ltd., Her Majesty the Queen in Right of the Province of British Columbia as represented by the Minister of the Environment, Lands and Parks, and Her Majesty the Queen in Right of Canada as represented by Environment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[Quicklaw note: Supplementary reasons for judgment were released January 15, 2001. See </w:t>
      </w:r>
      <w:hyperlink r:id="rId282" w:history="1">
        <w:r>
          <w:rPr>
            <w:rFonts w:ascii="arial" w:eastAsia="arial" w:hAnsi="arial" w:cs="arial"/>
            <w:i/>
            <w:color w:val="0077CC"/>
            <w:sz w:val="18"/>
            <w:u w:val="single"/>
            <w:shd w:val="clear" w:color="auto" w:fill="FFFFFF"/>
            <w:lang w:val="en-US" w:eastAsia="en-US" w:bidi="ar-SA"/>
          </w:rPr>
          <w:t>[2001] B.C.J. No. 72</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13"/>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M. Sullivan and Michelle B. Pockey, for the plaintiffs. Daniel L. Kiselbach and Anthony J. Crossman, for the defendant, Her Majesty the Queen in Right of Canada. Joyce Thayer, for the defendant, Her Majesty the Queen in Right of the Province of British Columbia. Richard E. Bereti and S. Lesiuk, for the defendant, Canadian National Railway Company. Nicholas R. Hughes, for the defendant, Beazer East,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3"/>
      <w:bookmarkEnd w:id="97"/>
      <w:r>
        <w:pict>
          <v:line id="_x0000_s1094" style="position:absolute;z-index:251723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TYSOE J."/>
            <w:bookmarkEnd w:id="98"/>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Her Majesty the Queen in Right of Canada, (the "Federal Crown") applies under Rule 19(24) to strike out the claims alleged against it in this action for abuse of process, malicious prosecution,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will set out some background facts in order to provide a context for his application. I believe that these background facts are all common ground among the affected parties and I am not purporting to make any findings with respect to 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wood treatment operation was carried on at a site along the Fraser River (the "Site") from 1931 to 1982 and it caused the Site to become contaminated. In the early 1980s, pollution abatement orders were issued under the Pollution Control Act and charges were laid against the operator of the business. The wood treatment operation ceased in 1982 and remedial work was carried out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shares of the company which had operated the wood treatment business were sold to the Plaintiff, Border Enterprises Limited, ("Border") in 1988. In 1993, this company was amalgamated with another subsidiary of Border to become the Plaintiff, Atlantic Industries Limited ("Atlantic").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1995, problems relating to creosote contamination at the Site came to light. In December 1997, an Assistant Regional Waste Manager issued a remediation order under the recently proclaimed Part 4 of the Waste Management act naming Atlantic and two others as persons responsible for the remediation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this action, the Plaintiffs make numerous claims against the Defendants. These claims include breach of contract, negligent and fraudulent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the remedial work done in the 1980s, abuse of process and malicious prosecution. The Plaintiffs also claim pursuant to s. 27(4) of the Waste Management Act for an allocation of responsibility for the remediation of the Site and the costs of the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April 20, 200, granted the Plaintiffs leave to amend their Statement of Claim. For the purposes of the present application, I was provided with an unsigned and unfiled copy of an Amended Statement of Claim which was sent by counsel for the Plaintiffs to counsel for the Federal Crown on November 23, 2000. I will proceed on the basis that this document has been or will be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Federal Crown's application is made under Rule 19(24) of the Supreme Court Rules. The test for such an application was articulated by the Supreme Court of Canada in Hunt v. Carey Can.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 is ...: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 19(24) of the British Columbia Rules of Court should the relevant portions of a plaintiffs statement of claim be struck out under R. 19(24)(a). (p. 289)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also stated (at p. 297) that where a statement of claim reveals a difficult and important point of law, it may well be critical to allow the action to proceed. This comment was recently applied by the B.C. Court of Appeal in Owners, Strata Plan NW 580 v. Canada Mortgage and Housing Corp., </w:t>
      </w:r>
      <w:hyperlink r:id="rId283" w:history="1">
        <w:r>
          <w:rPr>
            <w:rFonts w:ascii="arial" w:eastAsia="arial" w:hAnsi="arial" w:cs="arial"/>
            <w:i/>
            <w:color w:val="0077CC"/>
            <w:sz w:val="20"/>
            <w:u w:val="single"/>
            <w:shd w:val="clear" w:color="auto" w:fill="FFFFFF"/>
            <w:lang w:val="en-US" w:eastAsia="en-US" w:bidi="ar-SA"/>
          </w:rPr>
          <w:t>2000 BCCA 507</w:t>
        </w:r>
      </w:hyperlink>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[2000] B.C.J. No. 1892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Kripps v. Touche Ross &amp; Co. </w:t>
      </w:r>
      <w:hyperlink r:id="rId284"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at p.68, the B.C. Court of Appeal agreed with the chambers judge that the issue on a Rule 19(24) application was whether there was a question fit to be tried, regardless of its complexity or novelty, and that the issue must be decided on the basis of the pleadings as they stand or as they might be amended.</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Two Conceded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Two of the Federal Crown's complaints about the Amended Statement of Claim are that the Plaintiffs allege a malicious prosecution and that the Plaintiffs claim against all of the Defendants for an allocation of responsibility for the remediation of the Site and the costs of remediation. The Plaintiffs respond that they are not seeking any relief in respect of malicious prosecution and that they have abandoned their claims under s. 27(4) of the Waste Management Act against the Federal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the Plaintiffs say that they are not seeking any relief in respect of malicious prosecution, it is frivolous to include the allegation of a malicious prosecution in the Amended Statement of Claim. I order that paragraph 114 of the Amended Statement of Claim, which contains the allegation of a malicious prosecution as an alternative to the Plaintiffs' abuse of process claim, be struck pursuant to Rule 19(24)(b) and be omitted from the further Amended Statement of Claim which will have to be prepared as a result of my other rulings.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prayers for relief contained in the Amended Statement of Claim seek specified forms of relief against named Defendants and then seek relief against all the Defendants for an allocation of responsibility for the remediation of the Site and the costs of remediation. This latter form of relief is based on a claim under s. 27(4) of the Waste Management Act. As the Plaintiffs are not pursuing such a claim against the Federal Crown, I direct that the prayer for relief be amended to exclude the Federal Crown from the Defendants against whom this relief is being sought.</w:t>
      </w:r>
      <w:r>
        <w:rPr>
          <w:rFonts w:ascii="arial" w:eastAsia="arial" w:hAnsi="arial" w:cs="arial"/>
          <w:sz w:val="20"/>
          <w:lang w:val="en-US" w:eastAsia="en-US" w:bidi="ar-SA"/>
        </w:rPr>
        <w:cr/>
      </w:r>
    </w:p>
    <w:p>
      <w:pPr>
        <w:numPr>
          <w:numId w:val="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Process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March 1999, the Federal Crown commenced an action against Atlantic and others in which it claims damages in respect of the contamination of the Site. In the Amended Statement of Claim, the Plaintiffs allege that the Federal Crown's action was commenced in bad faith and solely for the purpose of avoiding liability, expenses or costs relating to the remediation of the Site arising from the Federal Crown's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it was commenced for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agree that the essential elements of the tort of abuse of process are correctly set out by Huddard J. in Carnahan v. Coates </w:t>
      </w:r>
      <w:hyperlink r:id="rId285" w:history="1">
        <w:r>
          <w:rPr>
            <w:rFonts w:ascii="arial" w:eastAsia="arial" w:hAnsi="arial" w:cs="arial"/>
            <w:i/>
            <w:color w:val="0077CC"/>
            <w:sz w:val="20"/>
            <w:u w:val="single"/>
            <w:shd w:val="clear" w:color="auto" w:fill="FFFFFF"/>
            <w:lang w:val="en-US" w:eastAsia="en-US" w:bidi="ar-SA"/>
          </w:rPr>
          <w:t>(1990), 47 B.C.L.R. (2d) 127</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elements of the tort of abuse of process are a wilful misuse or perversion of the court's process for a purpose extraneous or ulterior to that the process was designed to serve, and some damage flowing therefrom... (p. 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the Federal Crown submits that the Plaintiffs claim must be struck because the alleged improper purpose must be extraneous in the sense of being an attempt to obtain a collateral advantage. In this regard, he refers to the following passage from Metropolitan Separate School Board v. Taylor </w:t>
      </w:r>
      <w:hyperlink r:id="rId286" w:history="1">
        <w:r>
          <w:rPr>
            <w:rFonts w:ascii="arial" w:eastAsia="arial" w:hAnsi="arial" w:cs="arial"/>
            <w:i/>
            <w:color w:val="0077CC"/>
            <w:sz w:val="20"/>
            <w:u w:val="single"/>
            <w:shd w:val="clear" w:color="auto" w:fill="FFFFFF"/>
            <w:lang w:val="en-US" w:eastAsia="en-US" w:bidi="ar-SA"/>
          </w:rPr>
          <w:t>(1994), 21 C.C.L.T. (2d) 316</w:t>
        </w:r>
      </w:hyperlink>
      <w:r>
        <w:rPr>
          <w:rFonts w:ascii="arial" w:eastAsia="arial" w:hAnsi="arial" w:cs="arial"/>
          <w:color w:val="000000"/>
          <w:sz w:val="20"/>
          <w:lang w:val="en-US" w:eastAsia="en-US" w:bidi="ar-SA"/>
        </w:rPr>
        <w:t xml:space="preserve"> (Ont. Gen. Div.):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 to be improper within the meaning of the elements of the tort, it is not sufficient that the purpose is to obtain a benefit or advantage to the detriment of the defendant... Cases typically refer to the use of the judicial process as a threat or club to obtain a collateral advantage not involved in the process itself, such as the payment of money through extortion. Thus the act in furtherance must be something which the plaintiff is enabled to commit, or threatens to commit, because of the existence of the law suit, but lying outside its scope... (p. 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Counsel for the Federal Crown says that there is nothing collateral about the alleged purpose of avoiding liability, expenses or costs relating to the remediation of the Site arising from its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legitimate purpose of the Federal Crown's action is to recover damages to which it is legally entitled in respect of the contamination of the Site. However, the allegation in this action is that the Federal Crown commenced its action for the purpose of avoiding liability, expenses or costs. If proven, this purpose would be a collateral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are effectively alleging that in commencing its action, the Federal Crown was seeking not to recover damages to which it is legally entitled, but to avoid liability, expenses or costs which would otherwise properly rest with it. Hence, the Plaintiffs are alleging that the action was not commenced for the legitimate purpose of recovering damages but for the improper collateral purpose of avoiding its legal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Accordingly, the Amended Statement of Claim does plead material facts to support a claim for abuse of process.</w:t>
      </w:r>
      <w:r>
        <w:rPr>
          <w:rFonts w:ascii="arial" w:eastAsia="arial" w:hAnsi="arial" w:cs="arial"/>
          <w:sz w:val="20"/>
          <w:lang w:val="en-US" w:eastAsia="en-US" w:bidi="ar-SA"/>
        </w:rPr>
        <w:cr/>
      </w:r>
    </w:p>
    <w:p>
      <w:pPr>
        <w:numPr>
          <w:numId w:val="4"/>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 of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Counsel for the Federal Crown submits that the claims for negligent misrepresentation and negligent remediation cannot stand because, among other things, they are based on an improper pleading that Her Majesty the Queen in Right of the Province of British Columbia (the "Provincial Crown") was acting as an agent for the Federal Crown without detailing the facts giving rise to an agency relationship. Counsel relies on the following reasoning from Gardner v. The Queen in Right of Ontario </w:t>
      </w:r>
      <w:hyperlink r:id="rId287" w:history="1">
        <w:r>
          <w:rPr>
            <w:rFonts w:ascii="arial" w:eastAsia="arial" w:hAnsi="arial" w:cs="arial"/>
            <w:i/>
            <w:color w:val="0077CC"/>
            <w:sz w:val="20"/>
            <w:u w:val="single"/>
            <w:shd w:val="clear" w:color="auto" w:fill="FFFFFF"/>
            <w:lang w:val="en-US" w:eastAsia="en-US" w:bidi="ar-SA"/>
          </w:rPr>
          <w:t>(1984), 7 D.L.R. (4th) 464</w:t>
        </w:r>
      </w:hyperlink>
      <w:r>
        <w:rPr>
          <w:rFonts w:ascii="arial" w:eastAsia="arial" w:hAnsi="arial" w:cs="arial"/>
          <w:color w:val="000000"/>
          <w:sz w:val="20"/>
          <w:lang w:val="en-US" w:eastAsia="en-US" w:bidi="ar-SA"/>
        </w:rPr>
        <w:t xml:space="preserve"> (Ont. High Ct. of Jus.):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 support the inference that whether or not an agency relationship arises out of the factual context is a matter of law. However, an allegation of the bare conclusion of law is a bad pleading: see Paradis v. Vaillancourt et al., [1943] O.W.N. 359. No facts are pleaded by the plaintiff in the statement of claim so as to support the conclusion of law alleged therein that the Dominion Government was the Band's agent in entering the 1894 agreement. Consequently, the pleading in so far as it alleges the agency relationship as the basis for claiming damages for breach of contract offends the rules. (p. 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Gardner case, it appears that there was a bare allegation of agency and that the pleadings did not contain any facts from which it could be concluded that the Dominion Government was acting as the Band's agent. It was the plaintiff in that case which was alleging that another party had acted as its agent. In the Amended Statement of Claim in this case, the Plaintiffs do not merely assert that the Provincial Crown was the agent of the Federal Crown. They plead other facts regarding the involvement of the Federal Crown in the 1980s remediation and they plead that the Provincial Crown took certain steps on behalf of the Federal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the Plaintiffs have not pleaded a bare conclusion of law. In addition, the Plaintiffs have provided to the Federal Crown particulars from which a trier of fact could potentially conclude that there was a course of conduct establishing that the Provincial Crown was acting as agent for the Federal Crown. If necessary, the Amended Statement of Claim could be further amended to incorporate the details. In addition, the Amended Statement of Claim does contain allegations that the Federal Crown itself (as well as the Provincial Crown as its agent) made a negligent misrepresentation and was negligent in connection with the 1980s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conclude that the Plaintiffs' claims of negligent misrepresentation and negligent remediation should not be struck on the basis that they depend on a pleading of a bare conclusion of law.</w:t>
      </w:r>
      <w:r>
        <w:rPr>
          <w:rFonts w:ascii="arial" w:eastAsia="arial" w:hAnsi="arial" w:cs="arial"/>
          <w:sz w:val="20"/>
          <w:lang w:val="en-US" w:eastAsia="en-US" w:bidi="ar-SA"/>
        </w:rPr>
        <w:cr/>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allege in the Amended Statement of Claim that after the 1980s remedial work was completed, the Federal Crown (as well as the Provincial Crown) negligently misrepresented to the operator of the wood treatment business (which was then named Koppers International (Canada) Ltd. ("Koppers")) that the Site had been cleaned to their satisfaction. It is alleged that the misrepresentation was made by the Federal Crown directly and by the Provincial Crown as agent for the Federal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Federal Crown challenges the sufficiency of this on the following bases:</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duty of care was owed by the Federal Crown to the Plaintiffs;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Claim does not disclose the representation to be untrue, inaccurate or misleading;</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Claim does not disclose a breach of the standard of care;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Claim does not disclose that the Plaintiffs reasonably relied on the representation;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Claim does not disclose damage resulting from the reliance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Each of these bases is grounded on the elements of the tort of negligent misrepresentation as articulated by the Supreme Court of Canada in Queen v. Cognos Inc., </w:t>
      </w:r>
      <w:hyperlink r:id="rId17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required elements for a successful Hedley Byrne claim have been stated in many authorities, sometimes in varying forms.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 (p. 110)</w:t>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Amended Statement of Claim, it is alleged that the Federal Crown Border Enterprises Limited was in a special relationship with Koppers and thereby owed a duty, of care to Koppers and its predecessors and successors, including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issue of whether a duty of care was owed to the Plaintiffs is a question of law. If it is plain and obvious that no duty of care exists, it will be plain and obvious that there is no cause of action and the claim should be struck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alleged in the Amended Statement of Claim that the Federal Crown owed a duty of care to the Plaintiffs because they are "predecessors and successors" of Koppers. As I will explain, Atlantic stands in the same position as Koppers irrespective of whether or not it is technically a successor of Koppers. On the other hand, Border does not stand in the same position as Koppers and it is neither a predecessor nor a successor of Coppers. Border simply became the parent corporation of Koppers when it acquired all of the shares in Koppers. However, as pointed out in the Kripps decision, the issue of whether there is a question to be tried must be decided on the basis of the pleadings as they stand or as they might be amended. The Amended Statement of Claim could be amended to assert that the Federal Crown owed a duty of care to each of the Plaintiffs and I will therefore proceed as if it had been so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element of a duty of care within the context of a claim of negligent misrepresentation was addressed in detail by the Supreme Court of Canada in Hercules Management Ltd. v. Ernst &amp; Young, </w:t>
      </w:r>
      <w:hyperlink r:id="rId28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The Court held that, apart from special considerations stemming from the fact that negligent misrepresentations lead to economic loss as opposed to physical damage, the approach to be taken to the issue of determining whether a duty of care exists in claims of negligent misrepresentation should be the same as the approach taken to the issue of determining whether a duty of care exists in claims of 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approach was first enunciated in Anns v. Merton London Borough Council, [1978] A.C. 728 (H.L.) and, despite the fact that the Anns approach has since been rejected in England, it has been applied by the Supreme Court of Canada in numerous cases before and after its rejection in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two-part test enunciated in Anns was restated in Kamloops (City) v. Nielsen, </w:t>
      </w:r>
      <w:hyperlink r:id="rId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the first decision of the Supreme Court of Canada adopting the test, in the following terms: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[defendant] and the person who has suffered the damage) so that, in the reasonable contemplation of the [defendant], carelessness on its part might cause damage to that person? If so,</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 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this restated test which was applied in the Hercules decision. The first branch of the test is to determine whether a prima facie duty of care exists and the second branch of the test is to determine whether the prima facie duty of care is negatived or limited by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Hercules, the Court held that, within the context of negligent misrepresentations, there will be the required proximity giving rise to a sufficiently close relationship (or, in the terms used in Cognos, a special relationship) if the following two criteria exist: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defendant ought reasonably to foresee that the plaintiff will rely on his or her representation; and (b) reliance by the plaintiff would, in the particular circumstances of the case, be reasonable. (p. 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went on to discuss the fundamental policy consideration under the second part of the test; namely, the consideration first expressed in Ultramares Corp. v. Touche, 174 N.E. 441 (N.Y.C.A. 1931) at p. 444 with respect to the possibility that the person making the representation might be exposed to "liability in an indeterminate amount for an indeterminate tire to an indeterminate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Hercules, the Court was dealing with the potential liability of auditors to shareholders of the auditors' corporate client in connection with the preparation of audit reports. The Court held that there was a legitimate concern about indeterminate liability on behalf of auditors but that the scope of potential liability could be sufficiently delimited by looking at factors such as "knowledge of the plaintiff (or an identifiable class of plaintiffs) on the part of the defendant" and "use of the statements at issue for the precise purpose or transaction for which they were prepared". The Court concluded that a prima facie duty of care was owed by the auditors to the shareholders but that it was negatived by policy considerations because use of the defendant's statement for a purpose or transaction other than that for which it was prepared could lead to indeterminate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now turn to the present case. Counsel for the Federal Crown submits that there is no duty of care based upon a special relationship between the Plaintiffs and the Federal Crown because the alleged misrepresentation was made to Koppers, not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When counsel for the Federal Crown submits that the alleged misrepresentation was not made to Atlantic, he is ignoring the effect of the amalgamation of Koppers and the other Border subsidiary to form Atlantic. In considering legislation equivalent to the legislation pursuant to which Koppers and the other Border subsidiary amalgamated, the Supreme Court of Canada held in R. v. Black &amp; Decker Manufacturing Co. Ltd. </w:t>
      </w:r>
      <w:hyperlink r:id="rId289" w:history="1">
        <w:r>
          <w:rPr>
            <w:rFonts w:ascii="arial" w:eastAsia="arial" w:hAnsi="arial" w:cs="arial"/>
            <w:i/>
            <w:color w:val="0077CC"/>
            <w:sz w:val="20"/>
            <w:u w:val="single"/>
            <w:shd w:val="clear" w:color="auto" w:fill="FFFFFF"/>
            <w:lang w:val="en-US" w:eastAsia="en-US" w:bidi="ar-SA"/>
          </w:rPr>
          <w:t>(1974), 43 D.L.R. (3d) 393</w:t>
        </w:r>
      </w:hyperlink>
      <w:r>
        <w:rPr>
          <w:rFonts w:ascii="arial" w:eastAsia="arial" w:hAnsi="arial" w:cs="arial"/>
          <w:color w:val="000000"/>
          <w:sz w:val="20"/>
          <w:lang w:val="en-US" w:eastAsia="en-US" w:bidi="ar-SA"/>
        </w:rPr>
        <w:t xml:space="preserve"> that no company is created or extinguished on amalgamation and that the effect of an amalgamation is to blend and continue the amalgamating companies into the amalgamated company. Thus, Koppers continues to exist within Atlantic. Any misrepresentation made to Koppers prior to the amalgamation is a misrepresentation made to Atlantic.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no doubt that the required proximity existed between the Federal Crown and Koppers to create a prima facie duty of care. The prima facie duty of care is not negatived or limited by any policy considerations. Hence, the Federal Crown owed a duty of care to Koppers (now Atlantic).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is debatable whether the required proximity existed between the Federal Crown and Border to create a prima facie duly of care. The Hercules case involved shareholders of the company to which the representation was made and, in this case, Border is the shareholder of the company to which the alleged misrepresentation was made. The fact that Border was not a shareholder at the time of the alleged misrepresentation is not determinative (see Haig v. Bamford, </w:t>
      </w:r>
      <w:hyperlink r:id="rId290" w:history="1">
        <w:r>
          <w:rPr>
            <w:rFonts w:ascii="arial" w:eastAsia="arial" w:hAnsi="arial" w:cs="arial"/>
            <w:i/>
            <w:color w:val="0077CC"/>
            <w:sz w:val="20"/>
            <w:u w:val="single"/>
            <w:shd w:val="clear" w:color="auto" w:fill="FFFFFF"/>
            <w:lang w:val="en-US" w:eastAsia="en-US" w:bidi="ar-SA"/>
          </w:rPr>
          <w:t>[1977] 1 S.C.R. 466</w:t>
        </w:r>
      </w:hyperlink>
      <w:r>
        <w:rPr>
          <w:rFonts w:ascii="arial" w:eastAsia="arial" w:hAnsi="arial" w:cs="arial"/>
          <w:color w:val="000000"/>
          <w:sz w:val="20"/>
          <w:lang w:val="en-US" w:eastAsia="en-US" w:bidi="ar-SA"/>
        </w:rPr>
        <w:t>, which was approved in Hercules, where it was held that a duty of care was owed by an accountant to potential investors). Although Border was part of a class of potential purchasers of Koppers, there is no allegation that there was an intention to sell Koppers at the time the representation was made. Thus, it can be argued that the Federal Crown could not reasonably foresee that Border would rely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even if it could be concluded that a prima facie duty of care was owed by the Federal Crown to Border, it is clear that it would be negated by the policy consideration of indeterminate liability. In Hercules, the Court found that concerns over indeterminate liability did not arise in the Haig decision because the financial statements were prepared by the accountants for the purpose of securing financing from potential investors. In the present case, there is the prospect of indeterminate liability because any person could have purchased Koppers. The scope of potential liability cannot be sufficiently delimited by reference to the intended use of the alleged misrepresentation because there is no suggestion that the purpose of the alleged misrepresentation was for use by potential purchasers in deciding whether to acquire Koppers.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conclude it is plain and obvious that the Federal Crown did not owe a duty of care to Border and that Border does not have a cause of action against the Federal Crown for negligent misrepresentation. I direct that the Amended Statement of Claim be revised to delete the claim by Border against the Federal Crown for negligent misrepresentation. As I have concluded that the Federal Crown did not owe a duty of care to Border, I will not address the remainder of the elements of the tort of negligent misrepresentation as they relate to Border.</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Representation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Federal Crown submits that the allegations in the Amended Statement of Claim do not show that the alleged representation was untrue, inaccurate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Amended Statement of Claim does not specifically state that the representation that the Site had been cleaned to the satisfaction of the Federal Crown was untrue, inaccurate or misleading. Paragraph 92 alleges that the representation was made negligently by the Federal Crown when it knew or ought to have known that the Site remained contaminated and that the remaining contaminants would or could cause harm to the environment. Paragraph 93 alleges that the representation was made negligently by the Federal Crown when it knew or ought to have known that the representation was false and misleading. Paragraph 97 alleges that the Federal Crown breached its duty of care by making the representation when it knew or ought to have known that the representation was false and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Paragraphs 93 and 97 indirectly allege that the representation was false and misleading because the Federal Crown could not or should not have known that it was false and misleading unless it was, in fact, false and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Amended Statement of Claim should directly allege that the representation was untrue, inaccurate or misleading. The failure to make the direct allegation is not a basis to strike the claim for negligent misrepresentation if the pleadings can be amended to cure the defect. The Plaintiffs are at liberty to amend the Amended Statement of Claim to directly allege that the representation was untrue, inaccurate or misleading.</w:t>
      </w:r>
      <w:r>
        <w:rPr>
          <w:rFonts w:ascii="arial" w:eastAsia="arial" w:hAnsi="arial" w:cs="arial"/>
          <w:sz w:val="20"/>
          <w:lang w:val="en-US" w:eastAsia="en-US" w:bidi="ar-SA"/>
        </w:rPr>
        <w:cr/>
      </w:r>
    </w:p>
    <w:p>
      <w:pPr>
        <w:numPr>
          <w:numId w:val="10"/>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Federal Crown submits that the Amended Statement of Claim does not disclose a breach of the standard of care. However, paragraphs 92 and 93 allege that the representation was negligently made by the Federal Crown. Paragraph 97 alleges that the Federal Crown breached its duty of care to the Plaintiffs. These pleadings are sufficient to allege the essential element of the tort that the representor acted negligently in making the misrepresentation.</w:t>
      </w:r>
      <w:r>
        <w:rPr>
          <w:rFonts w:ascii="arial" w:eastAsia="arial" w:hAnsi="arial" w:cs="arial"/>
          <w:sz w:val="20"/>
          <w:lang w:val="en-US" w:eastAsia="en-US" w:bidi="ar-SA"/>
        </w:rPr>
        <w:cr/>
      </w:r>
    </w:p>
    <w:p>
      <w:pPr>
        <w:numPr>
          <w:numId w:val="1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the Federal Crown submits that the Amended Statement of Claim does not disclose that the Plaintiffs reasonably relied on the representation. Paragraph 98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[Koppers] and others, including the Plaintiffs, reasonably relied upon the [representation] in conducting and in respect of the Due Diligence and in executing the Agreement and completing the Sale. As a result, the Plaintiffs have suffered damage, loss and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terms "Due Diligence", "Agreement" and "Sale" are defined earlier in the Amended Statement of Claim in connection with the sale of the shares in Koppers to Border.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Federal Crown complains that paragraph 98 amounts to a bare allegation of reasonable reliance and that more is required. I agree that paragraph 98 is flawed but for a different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held that the Federal Crown did not owe a duty of care to Border. Hence, it is irrelevant whether Border relied on the representation. Koppers (now Atlantic) may have reasonably relied on the representation at some stage but it could not have relied on it at the time its shares were being sold to Border. Koppers was the object of the sale and it would not have been relying on the representation to do anything when its shares were being sold to Border. It was Border, not Koppers, which conducted the Due Diligence, executed the Agreement and completed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order that paragraph 98 be struck from the Amended Statement of Claim but I grant Atlantic leave to amend the Amended Statement of Claim to allege that Koppers reasonably relied on the representation.</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the Federal Crown submits that the Amended Statement of Claim does not disclose damage resulting from the reliance on the representation. He says that paragraph 98 is a bare allegation that damage has resulted and no particulars are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do not agree with counsel for the Federal Crown that particulars must be contained in a statement of claim. However, paragraph 98 also dealt with the aspect of reasonable reliance on the alleged misrepresentation and I have already struck it from the Amended Statement of Claim with liberty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Atlantic is given leave to amend the Amended Statement of Claim to allege that it suffered damages as a result of reasonable reliance on the representation.</w:t>
      </w:r>
      <w:r>
        <w:rPr>
          <w:rFonts w:ascii="arial" w:eastAsia="arial" w:hAnsi="arial" w:cs="arial"/>
          <w:sz w:val="20"/>
          <w:lang w:val="en-US" w:eastAsia="en-US" w:bidi="ar-SA"/>
        </w:rPr>
        <w:cr/>
      </w:r>
    </w:p>
    <w:p>
      <w:pPr>
        <w:numPr>
          <w:numId w:val="1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Remediation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allege in the Amended Statement of Claim that the Federal Crown was negligent in connection with the remediation of the Site in the early 1980s. The Federal Crown challenges the sufficiency of the allegation in the following respects: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duty of care exists between the Plaintiffs and the Federal Crown;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Claim does not set out sufficient facts in respect of the alleged breach of the standard of care;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Claim does not disclose any acts of the Federal Crown which caused damages to the Plaintiffs.</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they did in relation to the negligent misrepresentation claim, the Plaintiffs allege in connection with the negligent remediation claim that the Federal Crown owed a duty of care to Koppers and its predecessors and successors, including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the reasons given above with respect to the negligent misrepresentation claim, I conclude it is plain and obvious that the Federal Crown owed a duty of care to Koppers (now Atlantic), but not to Border. I direct that the Amended Statement of Claim be revised to delete the claim by Border against the Federal Crown for negligent remediation.</w:t>
      </w:r>
      <w:r>
        <w:rPr>
          <w:rFonts w:ascii="arial" w:eastAsia="arial" w:hAnsi="arial" w:cs="arial"/>
          <w:sz w:val="20"/>
          <w:lang w:val="en-US" w:eastAsia="en-US" w:bidi="ar-SA"/>
        </w:rPr>
        <w:cr/>
      </w:r>
    </w:p>
    <w:p>
      <w:pPr>
        <w:numPr>
          <w:numId w:val="1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Federal Crown submits that the Amended Statement of Claim does not disclose particulars of the alleged negligent conduct. As previously stated, I do not agree that it is necessary to plead particulars in a statement of claim.</w:t>
      </w:r>
      <w:r>
        <w:rPr>
          <w:rFonts w:ascii="arial" w:eastAsia="arial" w:hAnsi="arial" w:cs="arial"/>
          <w:sz w:val="20"/>
          <w:lang w:val="en-US" w:eastAsia="en-US" w:bidi="ar-SA"/>
        </w:rPr>
        <w:cr/>
      </w:r>
    </w:p>
    <w:p>
      <w:pPr>
        <w:numPr>
          <w:numId w:val="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Federal Crown submits that no acts of the Federal Crown caused the Plaintiffs alleged damages. However, paragraph 101 of the Amended Statement of Claim alleges that as a result of the breach of its duty of care, the Plaintiffs suffered loss, harm and damage. This is a sufficient pleading and particulars need not be included in the Amended Statement of Claim. Of course, paragraph 101 will have to be revised to omit the reference to Border.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both the Federal Crown and the Plaintiffs requested costs of this application but both expressed the preference to make their submissions with respect to costs after receiving my decision. Subject to considering any submissions counsel may wish to make, it is my inclination to order that the costs of the application be costs in the cause between the Plaintiffs and the Federal Crown. If counsel are both content in this regard, such a provision may to included in the formal order flowing from these Reasons for Judgment. If either counsel is not content, he may make arrangements through Trial Division for a hearing to make submissions in respect of costs or, alternatively, if both counsel agree, submissions on the issue of costs may be made in writing and sent to me through Trial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5"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Bouchanskaia v. Bayer Inc., [2003] B.C.J. No. 1969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27 - 29,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S014776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1306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Nata Bouchanskaia, plaintiff, and Bayer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3"/>
      <w:bookmarkEnd w:id="99"/>
      <w:r>
        <w:rPr>
          <w:rFonts w:ascii="arial" w:eastAsia="arial" w:hAnsi="arial" w:cs="arial"/>
          <w:b/>
          <w:color w:val="000000"/>
          <w:sz w:val="20"/>
          <w:lang w:val="en-US" w:eastAsia="en-US" w:bidi="ar-SA"/>
        </w:rPr>
        <w:t>Practice — Persons who can sued and be sued — Individuals and corporations, status or standing — Class or representative action, for damages — Class actions, certifications (incl. when class action appropriate) — Class actions, certification, appointment of representative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3"/>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Bouchanskaia to certify her claim as a class proceeding. Bouchanskaia claimed that she suffered health problems after she used the defendant Bayer's drug Baycol. She took Baycol to reduce her cholesterol. She wanted herself and another plaintiff, named Bovard, appointed as representative plaintiffs. The claim was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also alleged violations of the Trade Practice Act and Competition Act. Bayer claimed that the a class proceeding was not the preferable course of action. The individual claims would overwhelm the class issues.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0"/>
            <w:bookmarkEnd w:id="10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certified as a class proceeding. The pleadings disclosed a cause of action. There was an identifiable class of two or more persons. The class consisted of British Columbia residents who ingested Baycol. The claim raised common issues. It was alleged that Bayer should not have distributed the drug, based on its knowledge of the side effects. It was also claimed that Bayer should have removed it from distribution earlier than it did. There were three issues that were certified. The first was whether Bayer breached its duty of care. Claims for negligent misrepresentation were not certified. However, this issue related to Bayer's state of knowledge at the time Baycol was first marketed. It did not relate to the specific circumstances of each person who used the drug. The second and third issues were whether Bayer's sale and marketing of Baycol was a deceptive practice, contrary to the Trade Practice Act, and whether it violated the Competition Act through its representations about the drug. The claim of breach under the Competition Act raised questions about Bayer's public representations that were common for everyone in the class. The court refused to certify the question whether Bayer owed a duty of care to persons who used the medication. This question had to be answered affirmatively. It would not advance the litigation. The class proceeding was the preferable procedure to efficiently resolve the common issues. The common issues predominated over the individual issues. No members of the class were interested in individually controlling the prosecution of separate actions. The class proceeding did not involve claims that were the subject of other proceedings. The representative plaintiffs would fairly and adequately represent the interests of the class.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Legislation Cited_10"/>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298" w:history="1">
        <w:r>
          <w:rPr>
            <w:rFonts w:ascii="arial" w:eastAsia="arial" w:hAnsi="arial" w:cs="arial"/>
            <w:i/>
            <w:color w:val="0077CC"/>
            <w:sz w:val="20"/>
            <w:u w:val="single"/>
            <w:shd w:val="clear" w:color="auto" w:fill="FFFFFF"/>
            <w:lang w:val="en-US" w:eastAsia="en-US" w:bidi="ar-SA"/>
          </w:rPr>
          <w:t>R.S.B.C. 1996, c. 50, ss. 1</w:t>
        </w:r>
      </w:hyperlink>
      <w:r>
        <w:rPr>
          <w:rFonts w:ascii="arial" w:eastAsia="arial" w:hAnsi="arial" w:cs="arial"/>
          <w:color w:val="000000"/>
          <w:sz w:val="20"/>
          <w:lang w:val="en-US" w:eastAsia="en-US" w:bidi="ar-SA"/>
        </w:rPr>
        <w:t>, 4(1), 4(1)(a), 4(1)(b), 4(1)(c), 4(1)(e)(i), 4(1)(e)(ii), 4(1)(e)(iii), 4(2), 7, 7(a), 12, 14, 15, 18, 26, 27, 35, 37, 38, 39.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Competition Act, R.S.C., c. C-34, ss. 36(1)(a), 52.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Trade Practice Act, R.S.B.C. 1996, c. 457, ss. 1, 3(1), 3(2), 3(3)(r), 4(1), 4(2), 4(3)(b), 4(4), 22, 22(1), 22(1)(a), 22(1)(b), 22(1)(c).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4"/>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Ward K. Branch, Sarando Matheos, and Joseph M. Prodor, for the plaintiff. Susan A. Griffin, Clayton W. Caverly, and Peter Cavanagh,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4"/>
      <w:bookmarkEnd w:id="104"/>
      <w:r>
        <w:pict>
          <v:line id="_x0000_s1099"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GRAY J."/>
            <w:bookmarkEnd w:id="105"/>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Dr. Bouchanskaia, alleges that she suffered pain, nausea, muscle weakness and other symptoms after using the prescription drug cerivastatin sodium, distributed under the brand name Baycol. Dr. Bouchanskaia took Baycol in an effort to reduce her cholesterol and thereby reduce her risk of heart disease and stroke. The defendant, Bayer Inc., distributed Baycol in Canada for about three and one-half years, but has voluntarily withdrawn it from the market. Dr. Bouchanskaia alleges that Bayer was negligent, and breached both the Trade Practice Act and 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Bouchanskaia sought to certify her claim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Bouchanskaia asked the court to appoint both Dr. Bouchanskaia and the proposed additional plaintiff, Ms. Bovard, as representative plaintiffs. Bayer did not object to the addition of Ms. Bovard as a representative plaintiff, if the claim were certified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reserved my decision on the application for certification. Mr. Matheos, of counsel for the plaintiff, advised that, because Baycol was withdrawn from the market on August 8, 2001, individuals who would be members of the class, if certified, might be advised to commence actions prior to August 7, 2003 if the matter was not certified by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August 1, 2003, I sent a memorandum to counsel advising them of my conclusions, with reasons to follow. I concluded that this action should be certified as a class proceeding, and the class should be described as "All persons resident in British Columbia who ingested Baycol." That was the classification proposed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concluded that the common issues to be certified were the following three questions: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Bayer breach the duty of care it owed to persons who ingested Baycol in its role with Baycol, including in designing, manufacturing and/or distributing Baycol and, if so, when did the breach begin?</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Bayer's marketing and sale of Baycol constitute deceptive or unconscionable acts or practices pursuant to the Trade Practice Act, </w:t>
      </w:r>
      <w:hyperlink r:id="rId299"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Bayer's marketing and sale of Baycol breach s. 52 of the Competition Act, R.S.C., c. C-34?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These are my reasons for those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any certification application, the court must consider whether the statutory requirements for certification have been met. If so, the Court must certify what will be the common issues and who will be the representative plaintiff or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defence raised these issues: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are issues common to class members, the resolution of which will materially advance the litigation;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class proceeding is the preferable procedure for the fair and efficient resolution of any common issues;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proposed plaintiffs have produced a workable litigation plan;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certification will promote the policy objectives of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Baycol and other Statins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detail relevant facts as they appear from the affidavits filed. Some of these may be contentious. I am not making findings of fact on these issues, but simply setting out information which gives context to the issues. Conflicts in the evidence cannot be resolved at a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Doctors often advise people with high cholesterol to try reducing their cholesterol levels through diet, aerobic exercise, smoking cessation, and weight loss. If those efforts fail, doctors may prescribe cholesterol-reducing drugs. The patients prescribed drug therapy are generally the ones with the more severe problems, such as heart disease, diabetes, and multiple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Baycol is a drug in the class of cholesterol-lowering drugs commonly referred to as "statins". Baycol works by blocking the liver from using a substance it needs to create cholesterol. Increasing the dosage of Baycol increases the corresponding cholesterol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Baycol and other statins can cause serious side effects, including one which can be fatal. If detected and treated early enough, the side effects are usually reversible.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three important potential side effects are hepatoxicity, myalgia, and myopathy. Hepatoxicity is liver damage or dysfunction. Myalgia is muscle ache, and may not be related to statin use. Myopathy is muscle disease, either myositis or rhabdomyolysis, and is generally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Myositis typically resolves within a few days of cessation of use of the drug, without hospitalization or other medical intervention and without serious or permanent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Rhabdomyolysis is the most serious form of myopathy. It is usually reversible if recognized and treated early. If it is not reversed, rhabdomyolysis can be fatal or result in permanent loss of kidney function. Most people recover from rhabdomyolysis within days after stopping the use of the statin. Two common symptoms of rhabdomyolysis are dark urine, typically brown in colour, and elevated CPK levels. As a result, it is often possible to diagnose rhabdomyolysis soon after it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Both myositis and rhabdomyolysis can arise from causes other than use of a statin like Baycol. Other possible causes range from cocaine or opiate abuse, to viral infection, to trauma and other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Baycol is used in combination with another drug called gemfibrozil, the risk of rhabdomyolysis increases. The risk also increases when Baycol is used in higher doses.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all statins create some risk of the side effects, Baycol creates a higher risk than other statins when used in combination with gemfibrozil. Gemfibrozil is not commonly prescribed in Canada. It is more commonly prescribed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Co-prescription of Baycol and gemfibrozil is generally not recommended owing to the risk of rhabdomyolysis. However, in some difficult cases, the benefits of co-prescription may outweigh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Testing and Distribution of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Baycol was available in some places outside Canada commencing in April 1997. It was available for prescription in Canada from March 2, 1998 until August 8, 2001. 1.3 million prescriptions of Baycol were dispensed before Bayer withdrew Baycol from the market on August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Bayer admits sponsoring Baycol in Canada, seeking regulatory approval from Health Canada to market Baycol, and jointly marketing it in Canada with Fournier Pharma, Inc. That marketing included sales representatives from both Bayer and Fournier communicating with physicians and occasionally pharmacists.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Bayer's position is that it distributed Baycol but did not manufacture it. Counsel for the plaintiff is not prepared to agree without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are some documents which suggest that Bayer was in the position of manufacturer. Bayer may be able to demonstrate that these references wrongly suggest that Bayer was a manufacturer. I refer for example to the Health Canada Notice of Compliance, dated December 22, 1999, which is addressed to Bayer and includes the words "As a manufacturer, you are further reminded of your obligations...". I also refer to the Bayer website which states that "Bayer Inc. is part of the Bayer Group of Companies...In Canada, Bayer Inc. has five operating divisions...Between them...producing products that fight diseases. The company invests approximately $50 million in research and development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process of drug approval in Canada involves a number of steps, including preclinical studies and four phases of clinical trials. Bayer says that it did not participate in the preclinical studies of Baycol, which are essentially animal studies to assess the potential therapeutic activity and potential toxicity of the drug. The initial clinical trials are Phase I trials on healthy humans, and Phase II trials on patients for whom the drug is ultimately intended. The Phase III studies are large scale trials required to obtain regulatory approval. Phase IV clinical trials are conducted after the drug has received regulatory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Bayer admits that it participated in two Phase II clinical trials of Baycol in Canada, and that it ran a number of Phase III and Phase IV clinical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Baycol Product Monograph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Bayer's product monograph, approved by Health Canada, changed over the period Baycol was distributed. It provided increasingly strong warnings about the risks of using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product monograph was distributed through the reference work Compendium of Pharmaceuticals and Specialties, or "CPS". The CPS is distributed to physicians, pharmacists, and nurse practitioners. Patients and others can request a product monograph from physicians or pharmacists. There was no evidence concerning how frequently new editions of CPS are distributed or whether interim updates to product monographs are distributed before the revised edition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Approval of 0.2 and 0.3 mg Dosages and Product Monograph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September 18, 1996, Bayer applied to Health Canada for approval of Baycol in several dosages, including 0.2 and 0.3 mg. Bayer's submission included 546 volumes of information. Information provided by Bayer over the following 1 1/2 years included information on the manufacturing facility for Baycol in Cologne, Germany operated by Troponwerke GmbH &amp; Co. KG.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18, 1998, Health Canada issued a notice to Bayer regarding Baycol tablets in 0.2 and 0.3 mg dosages. This essentially approved the drug subject to satisfactory product labelling and a satisfactory product monograph.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Health Canada approved Bayer's product monograph dated February 12, 1998. It is 40 pages in length. It includes the following:</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"Warnings" and the subheading "Pharmacokinetic Interactions", it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use of HMG-CoA reductase inhibitors [which I understand refers to statins] has been associated with severe myopathy, including rhabdomyolysis, which may be more frequent when they are co-administered with drugs that inhibit the cytochrome P-450 enzyme system [which I understand includes Gemfibrozil].</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"Warnings" and the subheading "Muscle Effects", it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Myopathy should be considered in any patient with diffuse myalgias, muscle tenderness or weakness, and/or marked elevation of CPK. Patients should be advised to report promptly unexplained muscle pain, tenderness, or weakness, particularly if accompanied by malaise or fever. The risk of myopathy and rhabdomylosis during treatment with HMG-CoA reductase inhibitors [i.e. statins] is increased if therapy with...fibric acid derivatives [which I understand includes gemfibrozil]...in lipid-lowering doses...is administered concurrently. The benefits and risks of combined therapy should be carefully considered (see PRECAUTIONS, Drug Interactions). Rhabdomyolysis with renal dysfunction secondary to myoglobinuria have been reported with other HMG-CoA reductase inhibitors [i.e. statins]. This has not been reported with cerivastatin sodium [i.e. Baycol] to date. Baycol therapy should be discontinued if markedly elevated CPK levels occur or myopathy is diagnosed or suspected.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"Drug Interactions", subheading "Gemfibrozil, Fenofibrate and Niacin", it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Myopathy, including rhabdomylosis, has occurred in patients receiving HMG-CoA reductase inhibitors [i.e. statins] with fibric acid derivatives [i.e. gemfibrozil] and niacin (in lipid-lowering doses), particularly in subjects with pre-existing renal insufficiency (See WARNINGS, Muscle Effects).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"Dosage and Administration", it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recommended starting dose is 0.2 mg once daily in the evening. The recommended dosing range is 0.2 - 0.3 mg as a single dose in the evening.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"Information to the Patient", subheading "Before you start Baycol", it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Although Baycol is effective, there are some people who should not take it. Talk to your doctor if you...are taking any other medications such as...LOPID (gemfibrozil).</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"Information to the Patient", subheading "How to take Baycol", it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Tell your doctor if you have any muscle pain, tenderness, soreness or weakness.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"Information to the Patient", subheading "Side effects and what you should do", it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...Contact your doctor or pharmacist right away if you have any of the following: unexplained muscle pain.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Bayer's position is that a pharmacy dispensing Baycol should provide the patient with the same information as set out in the "Information to the Patient" section of the product monograph.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Approval of 0.4 mg Dose and First Product Monograph Revision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17, 1998, Bayer applied to Health Canada for approval to distribute Baycol in 0.4 mg doses.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Bayer's evidence is that at some time between February 18, 1998 and March 4, 1999, Bayer learned from post-marketing surveillance conducted in the previous year, of the occurrence of rhabdomyolysis associated with the use of Baycol, primarily in the United States. Bayer reported this to Health Canada. Bayer also applied on March 4, 1999 to change the product monograph.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Health Canada approved changes to the product monograph on July 22, 1999. Those changes were the same revisions that had been made to the Baycol package insert in the United States. There were two changes as follows:</w:t>
      </w:r>
      <w:r>
        <w:rPr>
          <w:rFonts w:ascii="arial" w:eastAsia="arial" w:hAnsi="arial" w:cs="arial"/>
          <w:sz w:val="20"/>
          <w:lang w:val="en-US" w:eastAsia="en-US" w:bidi="ar-SA"/>
        </w:rPr>
        <w:cr/>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italicized sentence was deleted from the passage below which had appeared under the heading "Warnings", subheading "Muscle Effects":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Rhabdomyolysis with renal dysfunction secondary to myoglobinuria have been reported with other HMG-CoA reductase inhibitors [ i.e. statins]. This has not been reported with cerivastatin sodium [i.e. Baycol] to date.</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paragraph was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Post-Marketing Adverse Event Reports: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following events have been reported since market introduction. While these events were temporally associated with the use of Baycol, a causal relationship to the use of Baycol cannot be readily determined due to the spontaneous nature of reporting of medical events, and the lack of controls;...rhabdomyolysis, some with associated renal failure (most cases involved concomitant gemfibrozil)...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Second Product Monograph Revisions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Bayer's evidence is that as of August 31, 1999, Bayer Drug Safety International had received 46 spontaneous reports from around the world on patients who developed rhabdomyolysis while on combinational treatment with Baycol and gemfibrozil or other fibric acid derivatives. Of those 46, 42 were associated with gemfibrozil, and the other 4 with the other drugs. All 29 U.S. cases were due to combination therapy with gemfibrozil.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Bayer's evidence is that in or about December 1999, it became aware that there continued to be reports of rhabdomyolysis associated with the use of Baycol, in particular in cases of concomitant therapy with gemfibrozil, and primarily in the United States. On December 17, 1999, Bayer applied to Health Canada to change the product monograph.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December 22, 1999, Health Canada approved the distribution of Baycol in 0.4 mg doses.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March 20, 2000, Health Canada approved the change of the "Contraindications" section of the product monograph to provide for the contraindication of, among other things, "Concurrent treatment with gemfibrozil because of a possible risk of rhabdomyolysis (see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December 2000, Ms. Bovard, and Third Product Monograph Revisions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proposed class representative, Ms. Bovard, has deposed that she was prescribed Baycol on December 12, 2000, at a time when she was using gemfibrozil. She deposed that her doctor recommended that she use both Baycol and gemfibrozil, and she did so during December 2000. She deposed that in December 2000, she began experiencing weakness and other symptoms which she assumed were influenza, and developed dark-coloured urine. She deposed that she stopped taking Baycol on approximately January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Meanwhile, on December 18, 2000, Health Canada requested that Bayer revise the "Information to the Patient" section of the product monograph to warn patients to speak to their physician if they were taking fibric acid derivatives, including gemfibrozil.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December 28, 2000, Health Canada approved the change to the product monograph to advise patients to speak to their physician if they are taking any medications such as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Fibric acid derivatives such as...and especially LOPID (gembibrozil), as using these medications with Baycol may lead to muscle pain and weakness. Tell your doctor if you have any muscle pain, tenderness, soreness or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the same time, Health Canada also approved the 0.8 mg dosage.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January to June 2001 and Ms. Bovard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Bovard deposed that she developed generalized muscle aches in her legs, and was unable to walk on January 10, 2001. She deposed that she was admitted to hospital on January 10, 2001 and treated by a respiratory specialist. She understands that she was diagnosed with rhambdomyolysis and was treated with prednisone, which she continued to use on a progressively reduced basis until July 2001. She deposed that she was advised to take Pantaloc to minimize the effects of the Prednisone, and that she continues to take Pantaloc.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Bovard deposed that she used a walker for the first couple of weeks after her hospital discharge, and then used a cane for another couple of months. She deposed that she suffered pain for about six months after the hospital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Bovard deposed that she suffered from diverticulitis. She deposed that diverticulitis is a painful bowel condition which is a known side-effect of Prednisone. She deposed that she was treated in hospital for this condition, but it has now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April and May 2001 and Dr. Bouchanskaia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Bouchanskaia deposed that she is a retired rheumatologist. She deposed that she practiced medicine in Russia for 39 years before immigrating to Canada in October 2000. She deposed that in April 2001, her doctor provided her with a 10-week supply of free samples of Baycol. She deposed that within days of ingesting Baycol, she began to experience pain, nausea, muscle weakness and other symptoms and the passing of darkened urine.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proposed amended statement of claim, Dr. Bouchanskaia alleges that she was diagnosed in May 2001 as suffering from chronic pain. The proposed amended statement of claim alleges that she will continue to suffer loss. It is not clear on the material at the certification hearing whether Dr. Bouchanskaia has fully recovered from the problems she alleges arose from ingesting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Rhabdomyolysis Reports, First DHCPL and Public Advisory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May 31, 2001, Bayer applied to Health Canada to amend the product monograph to harmonize it with the recently changed Baycol package insert in the United States. The proposed change was to add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Beginning therapy above the 0.4 mg dose increases the risk of myopathy and rhabdomyolysis.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Bayer advised Health Canada that in the 39 months since March 1998, 25 cases of rhabdomyolysis had been reported in Canada, with no deaths. It advised that of those, 4 were due to combination therapy with gemfibrozil.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Bayer also discussed with Health Canada the issuance by Bayer Corp. in the United States of a "Dear Health Care Professional" letter (termed by Health Canada "DHCPL") concerning the possible association of Baycol with muscle weakness and rhabdomyolysis, in particular where therapy is commenced above the 0.4 mg dosage and where Baycol is taken in combination with gemfibrozil.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letter dated June 28, 2001, Health Canada asked Bayer to submit a draft Canadian version of the DHCPL which had been issued in other regulatory jurisdictions concerning the association of Baycol with muscle weakness and rhabdomyolysis. It also requested that Bayer provide a draft Public Advisory.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By letter dated July 11, 2001, Health Canada approved Bayer's proposed DHCPL and advised that if Bayer decided against issuing a public advisory, Health Canada would proceed with this initiative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Bayer arranged for a copy of the approved DHCPL to be sent on July 16, 2001 to 74,206 physicians and pharmacists across Canada, and to all clinical study investigators participating in the on-going Phase IV clinical trials of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DHCPL states that it is intended to remind health care professionals that the combined use of Baycol and gemfibrozil is contraindicated due to the risk of rhabdomyolysis and concurrent use should not occur under any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DHCPL also states that between March 1998 and June 30, 2001, 31 cases of suspected rhabdomyolysis had been received in Canada, including 8 cases resulting in renal failure and one death. It states that of the 31 cases, 9 occurred in patients receiving concurrent gemfibrozil treatment. It states that adverse event rates determined on the basis of spontaneously reported post-marketing adverse reaction reports are generally presumed to underestimate the risks associated with drug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DHCPL also states that the recommended starting dose is 0.2 mg. once daily, and the recommended dosing range is 0.2 - 0.8 mg. as a single dose. It also states that dosages should be individualized according to the recommended goal of therapy and the patient's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July 25, 2001, Bayer issued a news release entitled "Safety Information for Patients Taking Cholesterol Lowering Medication Cerivastatin (Baycol)" and posted it on its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Withdrawal of Baycol from Market and Second DHCPL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or about August 6, 2001, Bayer was advised of the decision to withdraw Baycol in most countries of the world, including the U.S. and Europe. Because of that decision, Bayer decided to voluntarily withdraw the product in Canada shortly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August 8, 2001, the U.S. Food and Drug Administration ("FDA") reported thirty-one U.S. deaths due to severe rhabdomyolysis associated with the use of Baycol. Only twelve of those deaths involved concurrent use of gemfibrozil. The FDA reported that while all statins have been associated with very rare reports of rhabdomyolysis, cases of fatal rhabdomyolysis in association with the use of Baycol had been reported significantly more frequently than for other approved statins.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was also on August 8, 2001 that Bayer voluntary withdrew Baycol from the Canadian marketplace altogether. Bayer's evidence is that the principal reason for its decision to withdraw Baycol was the persistence of reports of rhabdomyolysis associated with Baycol when co-prescribed with gemfibrozil.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Bayer's second DHCPL regarding Baycol is dated August 8, 2001. It states that rhabdomyolysis is a serious, potentially fatal, adverse effect of all statin drugs, including Baycol. It states that the risk appears to be increased significantly by concomitant use of gemfibrozil. It refers to an increased reporting rate of rhabdomyolysis with Baycol relative to other statins, especially when gemfibrozil is co-prescribed. It states that the data also suggest an increased reporting rate of rhambdomyolysis at the 0.8 mg dose of Baycol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August 10, 2001, Health Canada issued a warning regarding the voluntary withdrawal of Baycol. The warning states that between March 1998 and August 8, 2001, 45 cases of rhabdomyolysis, including 14 cases of acute renal failure and one death, were reported in Canada. That is 14 more cases of rhabdomyolysis and 6 more cases of renal failure than Bayer reported for the period up to June 30, 2001, about five weeks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International News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An August 23, 2001 report in the Frankfurt press stated that Germany's Bayer AG confirmed a German government report that Baycol was linked to 1,100 cases of muscle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September 4, 2001 report in the London press states that the UK Medicines Control Agency ("MCA") denied it kept other countries in the dark about reports concerning Baycol. It quotes the Herald Tribune as reporting that while Bayer passed on its troubling safety data to the MCA, which licensed the drug, neither the MCA nor Bayer passed on the information to other countries, each believing it was the other's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Bayer's Refund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Bayer implemented a program to provide refunds for unused Baycol. Bayer believes that all patients who returned Baycol to a pharmacy were provided with a full refund for all returned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Adverse Reaction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By September 4, 2001, Health Canada had received 131 adverse reaction reports in relation to the use of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FDA Drug Information regarding Baycol as at November 21, 2001 states that all statins have been associated with very rare reports of rhabdomyolysis, when the drugs are used alone or in combination with another lipid-lowering drug such as gemfibrozil. It states that cases of fatal rhabdomyolysis in association with Baycol use have been reported more frequently than other approved statins.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By May 8, 2002, plaintiff's counsel had been contacted by 46 individuals who indicated they wish to be part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Bayer's evidence is that as of August 28, 2002, Bayer's Drug Safety and Medical Information Department had received directly and through Health Canada 159 spontaneous reports described as "serious" cases. It had received a further 362 spontaneous reports described as "non serious" cases. The "serious" reports included 76 reports of rhabdomyolysis, 21 of which were reported with renal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Bayer is aware of four reports of rhabdomyolysis in Baycol patients in British Columbia, and 41 non-serious reports of adverse events. The reports do not constitute reliable evidence that there is a connection between problems and the drug, but simply establish that someone suspects that there is a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proposed amended statement of claim includes the following paragraph 15:</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the defendant was negligent, particulars of which include: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releasing a product onto the market that it knew or ought to have known was dangerous;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product was fit for its intended purpose;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adequate warnings as to the risks of Baycol and failing to inform adequately and sufficiently the doctors, and all other intermediaries, as well as Class members, of the potential risks and hazards associated with the use of Baycol when it knew or should have known of said risks;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Health Canada with timely and all relevant information regarding Baycol when seeking approval for Baycol at its various dosages;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adequately or reasonably to test or inspect Baycol and/or its constituent elements prior to promoting Baycol and/or making it available to potential consumers, including the Plaintiffs;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adequately or reasonably to collect, monitor, report and/or respond to:</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incidents of Baycol side-effects; or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testing on the effects of Baycol;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which ought to have caused the Defendant to warn the public and/or withdraw Baycol from the market at an earlier date;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designing and/or manufacturing Baycol in a manner which created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proposed amended statement of claim alleges that the acts of the defendant specified in paragraph 15 were deceptive or unconscionable acts or practices pursuant to the Trade Practice Act. It alleges that for the purpose of promoting the supply or use of Baycol, Bayer expressly or impliedly represented to the plaintiffs and all of its customers that Baycol could be used safely. It alleges that such representation was untrue and misleading in a material respect, and constitutes a breach of the Competition Act. The plaintiffs rely on section 36 of the 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propose to allege they have suffered losses including those typically claimed in personal injury lawsuits. The alleged losses include non-pecuniary losses, loss of life expectancy, past and future lost income, lost capacity and opportunity, and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also propose to allege that the losses include the cost of Baycol and expenses including medical expenses associated with monitoring and responding to the side effects of Baycol. The plaintiffs claim general, special, and punitive damages, interest, and costs. They also claim damages and/or restitution under the Trade Practice Act and damages under the 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June 20, 2003, the Court of Civil Appeals of the State of Oklahoma upheld the certification of a class action against Bayer Corporation regarding Baycol. The court held that the following were questions common to the class:</w:t>
      </w:r>
      <w:r>
        <w:rPr>
          <w:rFonts w:ascii="arial" w:eastAsia="arial" w:hAnsi="arial" w:cs="arial"/>
          <w:sz w:val="20"/>
          <w:lang w:val="en-US" w:eastAsia="en-US" w:bidi="ar-SA"/>
        </w:rPr>
        <w:cr/>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Baycol was defective when it left the control of the manufacturer;</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defect made Baycol unreasonably dangerous to an extent beyond that which would be contemplated by the ordinary consumer;</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Baycol was safe for normal consumption but dangerous under a particular use;</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Bayer was required to give adequate warning of the danger;</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Baycol sold without such warning is defective; and</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Bayer adequately warned prescribing physicians of the dangers of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Bayer Corporation intends to move for reconsideration before the Oklahoma Court of Civil Appeals, and if unsuccessful, to petition for review by the Oklahoma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Sections 4(1), 4(2), and 7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state as follows:</w:t>
      </w:r>
      <w:r>
        <w:rPr>
          <w:rFonts w:ascii="arial" w:eastAsia="arial" w:hAnsi="arial" w:cs="arial"/>
          <w:sz w:val="20"/>
          <w:lang w:val="en-US" w:eastAsia="en-US" w:bidi="ar-SA"/>
        </w:rPr>
        <w:cr/>
      </w:r>
    </w:p>
    <w:p>
      <w:pPr>
        <w:numPr>
          <w:numId w:val="2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refuse to certify a proceeding as a class proceeding merely because of one or more of the following:</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turn to consider each of the statutory requirements for certification.</w:t>
      </w:r>
      <w:r>
        <w:rPr>
          <w:rFonts w:ascii="arial" w:eastAsia="arial" w:hAnsi="arial" w:cs="arial"/>
          <w:sz w:val="20"/>
          <w:lang w:val="en-US" w:eastAsia="en-US" w:bidi="ar-SA"/>
        </w:rPr>
        <w:cr/>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threshold under s. 4(1)(a) of the Class Proceedings Act is relatively low. The test is the same as that on a Rule 19(24) application. The plaintiff will fail only if the claim is "certain to fail" or if it is "plain and obvious" that it will fail. See, for example, Elms v. Laurentian Bank of Canada </w:t>
      </w:r>
      <w:hyperlink r:id="rId300" w:history="1">
        <w:r>
          <w:rPr>
            <w:rFonts w:ascii="arial" w:eastAsia="arial" w:hAnsi="arial" w:cs="arial"/>
            <w:i/>
            <w:color w:val="0077CC"/>
            <w:sz w:val="20"/>
            <w:u w:val="single"/>
            <w:shd w:val="clear" w:color="auto" w:fill="FFFFFF"/>
            <w:lang w:val="en-US" w:eastAsia="en-US" w:bidi="ar-SA"/>
          </w:rPr>
          <w:t>(2001), 90 B.C.L.R. (3d) 195</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(C.A.), affirming </w:t>
      </w:r>
      <w:hyperlink r:id="rId301" w:history="1">
        <w:r>
          <w:rPr>
            <w:rFonts w:ascii="arial" w:eastAsia="arial" w:hAnsi="arial" w:cs="arial"/>
            <w:i/>
            <w:color w:val="0077CC"/>
            <w:sz w:val="20"/>
            <w:u w:val="single"/>
            <w:shd w:val="clear" w:color="auto" w:fill="FFFFFF"/>
            <w:lang w:val="en-US" w:eastAsia="en-US" w:bidi="ar-SA"/>
          </w:rPr>
          <w:t>(2000), 73 B.C.L.R. (3d) 366</w:t>
        </w:r>
      </w:hyperlink>
      <w:r>
        <w:rPr>
          <w:rFonts w:ascii="arial" w:eastAsia="arial" w:hAnsi="arial" w:cs="arial"/>
          <w:color w:val="000000"/>
          <w:sz w:val="20"/>
          <w:lang w:val="en-US" w:eastAsia="en-US" w:bidi="ar-SA"/>
        </w:rPr>
        <w:t xml:space="preserve"> (S.C.), and Samos Investments Inc. v. Pattison </w:t>
      </w:r>
      <w:hyperlink r:id="rId302" w:history="1">
        <w:r>
          <w:rPr>
            <w:rFonts w:ascii="arial" w:eastAsia="arial" w:hAnsi="arial" w:cs="arial"/>
            <w:i/>
            <w:color w:val="0077CC"/>
            <w:sz w:val="20"/>
            <w:u w:val="single"/>
            <w:shd w:val="clear" w:color="auto" w:fill="FFFFFF"/>
            <w:lang w:val="en-US" w:eastAsia="en-US" w:bidi="ar-SA"/>
          </w:rPr>
          <w:t>(2001), 22 B.L.R. (3d) 46</w:t>
        </w:r>
      </w:hyperlink>
      <w:r>
        <w:rPr>
          <w:rFonts w:ascii="arial" w:eastAsia="arial" w:hAnsi="arial" w:cs="arial"/>
          <w:color w:val="000000"/>
          <w:sz w:val="20"/>
          <w:lang w:val="en-US" w:eastAsia="en-US" w:bidi="ar-SA"/>
        </w:rPr>
        <w:t xml:space="preserve">, affirmed at </w:t>
      </w:r>
      <w:hyperlink r:id="rId303" w:history="1">
        <w:r>
          <w:rPr>
            <w:rFonts w:ascii="arial" w:eastAsia="arial" w:hAnsi="arial" w:cs="arial"/>
            <w:i/>
            <w:color w:val="0077CC"/>
            <w:sz w:val="20"/>
            <w:u w:val="single"/>
            <w:shd w:val="clear" w:color="auto" w:fill="FFFFFF"/>
            <w:lang w:val="en-US" w:eastAsia="en-US" w:bidi="ar-SA"/>
          </w:rPr>
          <w:t>[2003] B.C.J. No. 348</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2003 BCCA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pleadings disclose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two consumer-protection statutes, the Trade Practice Act and the Competition Act. The requirement in section 4(1)(a) is satisfied.</w:t>
      </w:r>
      <w:r>
        <w:rPr>
          <w:rFonts w:ascii="arial" w:eastAsia="arial" w:hAnsi="arial" w:cs="arial"/>
          <w:sz w:val="20"/>
          <w:lang w:val="en-US" w:eastAsia="en-US" w:bidi="ar-SA"/>
        </w:rPr>
        <w:cr/>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size of the potential class is a factor which may affect the analysis of whether a class action is the preferable procedure, as discussed below. For the purposes of section 4(1)(b) of the Class Proceedings Act, the question is only whether 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Bouchanskaia and Ms. Bovard are two people who both allege that they suffered damage as a result of ingesting Baycol. Both would be members of the class proposed by Dr. Bouchanskaia's counsel, and so the requirement in section 4(1)(b) is satisfied.</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claims of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Section 1 of the Class Proceedings Act provides that "common issues" means: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considering whether the claims of the class members raise common issues, the court need only identify issues of fact or law that move the litigation forward. The resolution of a common issue does not have to be sufficient to determine liability. The question of whether a common issue should be certified will also depend on consideration of the preferable procedure, discussed under the next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Endean v. Canadian Red Cross Society </w:t>
      </w:r>
      <w:hyperlink r:id="rId304"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(B.C.S.C.) describes this approach to determination of common issues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common issue is sufficient if it is an issue of fact or law common to all claims, and that its resolution in favour of the plaintiffs will advance the interests of the class, leaving individual issues to be litigated later in separate trials, if necessary: Harrington v. Dow Corning Corp. </w:t>
      </w:r>
      <w:hyperlink r:id="rId305"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xml:space="preserve"> at 105, 110 (S.C.). As well the court should not attempt to weigh the ultimate merits of the proposed common questions, but should merely ascertain whether they raise triable issues: Campbell v. Flexwatt Corp. </w:t>
      </w:r>
      <w:hyperlink r:id="rId306" w:history="1">
        <w:r>
          <w:rPr>
            <w:rFonts w:ascii="arial" w:eastAsia="arial" w:hAnsi="arial" w:cs="arial"/>
            <w:i/>
            <w:color w:val="0077CC"/>
            <w:sz w:val="20"/>
            <w:u w:val="single"/>
            <w:shd w:val="clear" w:color="auto" w:fill="FFFFFF"/>
            <w:lang w:val="en-US" w:eastAsia="en-US" w:bidi="ar-SA"/>
          </w:rPr>
          <w:t>(1996), 25 B.C.L.R. (3d) 329</w:t>
        </w:r>
      </w:hyperlink>
      <w:r>
        <w:rPr>
          <w:rFonts w:ascii="arial" w:eastAsia="arial" w:hAnsi="arial" w:cs="arial"/>
          <w:color w:val="000000"/>
          <w:sz w:val="20"/>
          <w:lang w:val="en-US" w:eastAsia="en-US" w:bidi="ar-SA"/>
        </w:rPr>
        <w:t xml:space="preserve"> at 343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Bayer argued that the proposed common issues will not advance the litigation. Bayer referred to its evidence that it was the distributor but not the manufacturer of Baycol, and argued that the only claim with any air of reality is the claim that the warning provided by Bayer was inadequate. Bayer referred to cases in which the court declined to certify misrepresentation claims and argued that similarly this claim should not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Bayer argued that in the circumstances of a prescription drug, determination of what warning was given will turn on the particular circumstances of each plaintiff. Bayer would rely on warnings given to the doctors. Bayer would argue that they are "learned intermediaries" such that Bayer could discharge its obligations by providing adequate warnings to the doctors. Bayer argued that determining what warning each plaintiff actually received will depend on the circumstances of each doctor, including what may have been said to the doctor by sales representatives, as well as what information was conveyed to each patient by the doctor and pharmacist.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Bayer also argued that each proposed class member would be in very different circumstances with respect to causation and extent of damages. Bayer argued that the alleged medical problems could result from a number of causes, and that determination of whether they resulted from ingestion of Baycol or another cause will be a difficult and involved process. Bayer argued that some potential class members may have received poor medical care, with a delayed treatment or mistreatment of rhabdomyolisis, and that the portion of the claim which could be attributable to Bayer would be minimal and the subject of extensive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Bayer's argument overlooked the breadth of the claim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proposed amended statement of claim is pleaded more broadly than just a failure to warn. The claim includes allegations that Bayer ought not to have distributed the drug at all, in light of the significance of the possible effects and Bayer's knowledge. It also claims that Bayer ought to have removed Baycol from distribution sooner than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Bayer essentially asked the court to determine the extent of the plaintiff's claim on liability on the basis of the evidence filed at the certification hearing. Plaintiff's counsel argued that the evidence provided at the certification hearing need only satisfy the court that the requirements of section 4(1) are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not appropriate for me to make any determination of contentious issues on the basis of the evidence available at the certification hearing. The claim is at a preliminary stage, and the plaintiff has not had the opportunity to explore the evidence regarding the underlying claims. While there may be cases in which the court could conclude at this stage that there could not be any merit to a plaintiff's claim, I am not able to come to that conclusion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evidence that there were serious risks associated with Baycol. The evidence of this includes the increasingly strong warnings given by Bayer in the product monograph. The proposed representative plaintiffs allege that they suffered the kind of problem which was the subject of the warnings. There is evidence that Bayer withdrew the product from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That evidence is sufficient to support the argument that, for the purposes of the class action certification application, there is a basis for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only due to failure to provide adequate warnings, but also due to either the act of distributing Baycol or not withdrawing it earlier from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addition, there is a basis for the purposes of the class action certification application for considering the plaintiff's claims of negligent design and manufacture. Documents have been produced which suggest that Bayer may be involved in producing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light of the evidence filed by Bayer on this motion, it appears to be unlikely that the plaintiffs will be able to establish that Bayer designed or manufactured Baycol. However, it is not appropriate for the court to effectively dismiss that claim at a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a result, I am not prepared to consider the scope of the proposed plaintiffs' claims to be as limited as argued by Bayer.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Bayer also argued that the individual issues predominate over any common issues. I will consider those arguments in respect of whether a class action is the preferable proceeding. Section 4(1)(c) specifically provides that the requirement is for common issues "whether or not those common issues predominate over issues affecting only individual members." Predominance should not be a factor at the commonality stage of the analysis. See Rumley v. British Columbia, </w:t>
      </w:r>
      <w:hyperlink r:id="rId307" w:history="1">
        <w:r>
          <w:rPr>
            <w:rFonts w:ascii="arial" w:eastAsia="arial" w:hAnsi="arial" w:cs="arial"/>
            <w:i/>
            <w:color w:val="0077CC"/>
            <w:sz w:val="20"/>
            <w:u w:val="single"/>
            <w:shd w:val="clear" w:color="auto" w:fill="FFFFFF"/>
            <w:lang w:val="en-US" w:eastAsia="en-US" w:bidi="ar-SA"/>
          </w:rPr>
          <w:t>[2001] S.C.J. No. 39</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[paragraph]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Plaintiff's counsel proposed four common questions. I concluded that only the last three should be certified. I will consider each of the proposed common questions in turn, on the basis that the scope of the proposed plaintiffs' claim is as set out in the proposed amended statement of claim.</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owe a duty of care to persons who ingested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Bayer effectively conceded that this is a common question, but argued that it is a self-evident proposition of law, and its resolution would not advance the case. Plaintiff's counsel argued that Bayer's concession that it owed a duty of care would not be binding as against any other members of the proposed class unless the case were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question of whether Bayer owed a duty to persons who ingested a drug that it distributed is common, but is a question which must be answered affirmatively as a question of law. Answering this question alone would not advance this litigation and, accordingly, I did not certify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may be appropriate to certify a refined question, along the lines of "what duty or duties did Bayer owe to individuals who ingested Baycol?" If counsel cannot agree, I will hear further submissions on whether such a question should be certified.</w:t>
      </w:r>
      <w:r>
        <w:rPr>
          <w:rFonts w:ascii="arial" w:eastAsia="arial" w:hAnsi="arial" w:cs="arial"/>
          <w:sz w:val="20"/>
          <w:lang w:val="en-US" w:eastAsia="en-US" w:bidi="ar-SA"/>
        </w:rPr>
        <w:cr/>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breach the standard of care in its role with Baycol, including in designing, manufacturing and/or distributing Baycol and, if so, when did the breach begin?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Bayer argued that the plaintiff's claim of breach of the duty to warn was analogous to a claim for negligent misrepresentation. It argued that both claims depend on the precise representations made to a plaintiff and on what the plaintiff reasonably relied. As a result, Bayer argued that certification should be refused as it has been refused in a number of cases alleging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stated by Mr. Justice Macaulay in Collette v. Great Pacific Management Co. </w:t>
      </w:r>
      <w:hyperlink r:id="rId309" w:history="1">
        <w:r>
          <w:rPr>
            <w:rFonts w:ascii="arial" w:eastAsia="arial" w:hAnsi="arial" w:cs="arial"/>
            <w:i/>
            <w:color w:val="0077CC"/>
            <w:sz w:val="20"/>
            <w:u w:val="single"/>
            <w:shd w:val="clear" w:color="auto" w:fill="FFFFFF"/>
            <w:lang w:val="en-US" w:eastAsia="en-US" w:bidi="ar-SA"/>
          </w:rPr>
          <w:t>(2001), 86 B.C.L.R. (3d) 92</w:t>
        </w:r>
      </w:hyperlink>
      <w:r>
        <w:rPr>
          <w:rFonts w:ascii="arial" w:eastAsia="arial" w:hAnsi="arial" w:cs="arial"/>
          <w:color w:val="000000"/>
          <w:sz w:val="20"/>
          <w:lang w:val="en-US" w:eastAsia="en-US" w:bidi="ar-SA"/>
        </w:rPr>
        <w:t xml:space="preserve"> (at [paragraphs] 88-90):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...cases based on negligent misrepresentation have rarely been certified. For the most part, certification was refused because the courts found that individual issues of reliance overwhelmed the common issues because of the need to inquire into multiple misrepresentations made in different circumstances and at different times. The following provide examples: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Abdool v. Anaheim Mgmt. Ltd., </w:t>
      </w:r>
      <w:hyperlink r:id="rId310" w:history="1">
        <w:r>
          <w:rPr>
            <w:rFonts w:ascii="arial" w:eastAsia="arial" w:hAnsi="arial" w:cs="arial"/>
            <w:i/>
            <w:color w:val="0077CC"/>
            <w:sz w:val="20"/>
            <w:u w:val="single"/>
            <w:shd w:val="clear" w:color="auto" w:fill="FFFFFF"/>
            <w:lang w:val="en-US" w:eastAsia="en-US" w:bidi="ar-SA"/>
          </w:rPr>
          <w:t>[1995] O.J. No. 16</w:t>
        </w:r>
      </w:hyperlink>
      <w:r>
        <w:rPr>
          <w:rFonts w:ascii="arial" w:eastAsia="arial" w:hAnsi="arial" w:cs="arial"/>
          <w:color w:val="000000"/>
          <w:sz w:val="20"/>
          <w:lang w:val="en-US" w:eastAsia="en-US" w:bidi="ar-SA"/>
        </w:rPr>
        <w:t>,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Controltech Engineering Inc. v. Ontario Hydro </w:t>
      </w:r>
      <w:hyperlink r:id="rId311" w:history="1">
        <w:r>
          <w:rPr>
            <w:rFonts w:ascii="arial" w:eastAsia="arial" w:hAnsi="arial" w:cs="arial"/>
            <w:i/>
            <w:color w:val="0077CC"/>
            <w:sz w:val="20"/>
            <w:u w:val="single"/>
            <w:shd w:val="clear" w:color="auto" w:fill="FFFFFF"/>
            <w:lang w:val="en-US" w:eastAsia="en-US" w:bidi="ar-SA"/>
          </w:rPr>
          <w:t>(1998), 72 O.T.C. 351</w:t>
        </w:r>
      </w:hyperlink>
      <w:r>
        <w:rPr>
          <w:rFonts w:ascii="arial" w:eastAsia="arial" w:hAnsi="arial" w:cs="arial"/>
          <w:color w:val="000000"/>
          <w:sz w:val="20"/>
          <w:lang w:val="en-US" w:eastAsia="en-US" w:bidi="ar-SA"/>
        </w:rPr>
        <w:t xml:space="preserve"> (Ont. Gen. Div.) at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Mouhteros v. DeVry Canada Inc. </w:t>
      </w:r>
      <w:hyperlink r:id="rId312" w:history="1">
        <w:r>
          <w:rPr>
            <w:rFonts w:ascii="arial" w:eastAsia="arial" w:hAnsi="arial" w:cs="arial"/>
            <w:i/>
            <w:color w:val="0077CC"/>
            <w:sz w:val="20"/>
            <w:u w:val="single"/>
            <w:shd w:val="clear" w:color="auto" w:fill="FFFFFF"/>
            <w:lang w:val="en-US" w:eastAsia="en-US" w:bidi="ar-SA"/>
          </w:rPr>
          <w:t>(1998), 41 O.R. (3d) 63</w:t>
        </w:r>
      </w:hyperlink>
      <w:r>
        <w:rPr>
          <w:rFonts w:ascii="arial" w:eastAsia="arial" w:hAnsi="arial" w:cs="arial"/>
          <w:color w:val="000000"/>
          <w:sz w:val="20"/>
          <w:lang w:val="en-US" w:eastAsia="en-US" w:bidi="ar-SA"/>
        </w:rPr>
        <w:t xml:space="preserve"> (Ont. Gen. Div.) at 71-73;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McKay v. CDI Career Development Institutes Ltd. </w:t>
      </w:r>
      <w:hyperlink r:id="rId313" w:history="1">
        <w:r>
          <w:rPr>
            <w:rFonts w:ascii="arial" w:eastAsia="arial" w:hAnsi="arial" w:cs="arial"/>
            <w:i/>
            <w:color w:val="0077CC"/>
            <w:sz w:val="20"/>
            <w:u w:val="single"/>
            <w:shd w:val="clear" w:color="auto" w:fill="FFFFFF"/>
            <w:lang w:val="en-US" w:eastAsia="en-US" w:bidi="ar-SA"/>
          </w:rPr>
          <w:t>(1999), 64 B.C.L.R. (3d) 386</w:t>
        </w:r>
      </w:hyperlink>
      <w:r>
        <w:rPr>
          <w:rFonts w:ascii="arial" w:eastAsia="arial" w:hAnsi="arial" w:cs="arial"/>
          <w:color w:val="000000"/>
          <w:sz w:val="20"/>
          <w:lang w:val="en-US" w:eastAsia="en-US" w:bidi="ar-SA"/>
        </w:rPr>
        <w:t xml:space="preserve"> (B.C.S.C.) [In Chambers] at 394-396;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Rosedale Motors Inc. v. Petro-Canada Inc. </w:t>
      </w:r>
      <w:hyperlink r:id="rId314" w:history="1">
        <w:r>
          <w:rPr>
            <w:rFonts w:ascii="arial" w:eastAsia="arial" w:hAnsi="arial" w:cs="arial"/>
            <w:i/>
            <w:color w:val="0077CC"/>
            <w:sz w:val="20"/>
            <w:u w:val="single"/>
            <w:shd w:val="clear" w:color="auto" w:fill="FFFFFF"/>
            <w:lang w:val="en-US" w:eastAsia="en-US" w:bidi="ar-SA"/>
          </w:rPr>
          <w:t>(1998), 42 O.R. (3d) 776</w:t>
        </w:r>
      </w:hyperlink>
      <w:r>
        <w:rPr>
          <w:rFonts w:ascii="arial" w:eastAsia="arial" w:hAnsi="arial" w:cs="arial"/>
          <w:color w:val="000000"/>
          <w:sz w:val="20"/>
          <w:lang w:val="en-US" w:eastAsia="en-US" w:bidi="ar-SA"/>
        </w:rPr>
        <w:t xml:space="preserve"> (Ont. Gen. Div.) at 787-789.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well, in R. (L.), </w:t>
      </w:r>
      <w:hyperlink r:id="rId315" w:history="1">
        <w:r>
          <w:rPr>
            <w:rFonts w:ascii="arial" w:eastAsia="arial" w:hAnsi="arial" w:cs="arial"/>
            <w:i/>
            <w:color w:val="0077CC"/>
            <w:sz w:val="20"/>
            <w:u w:val="single"/>
            <w:shd w:val="clear" w:color="auto" w:fill="FFFFFF"/>
            <w:lang w:val="en-US" w:eastAsia="en-US" w:bidi="ar-SA"/>
          </w:rPr>
          <w:t>[1999] B.C.J. No. 2633</w:t>
        </w:r>
      </w:hyperlink>
      <w:r>
        <w:rPr>
          <w:rFonts w:ascii="arial" w:eastAsia="arial" w:hAnsi="arial" w:cs="arial"/>
          <w:color w:val="000000"/>
          <w:sz w:val="20"/>
          <w:lang w:val="en-US" w:eastAsia="en-US" w:bidi="ar-SA"/>
        </w:rPr>
        <w:t>, supra, [Rumley, upheld on appeal to S.C.C.] the Court of Appeal refused to reverse a decision not to certify claims in negligent misrepresentation on the basis that issues of reliance and causation "will undoubtedly vary from claimant to claimant" (at para. 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certification was ordered in the following cases where negligent misrepresentation was at least one of the causes of action advanced: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Campbell v. Flexwatt Corp. </w:t>
      </w:r>
      <w:hyperlink r:id="rId306" w:history="1">
        <w:r>
          <w:rPr>
            <w:rFonts w:ascii="arial" w:eastAsia="arial" w:hAnsi="arial" w:cs="arial"/>
            <w:i/>
            <w:color w:val="0077CC"/>
            <w:sz w:val="20"/>
            <w:u w:val="single"/>
            <w:shd w:val="clear" w:color="auto" w:fill="FFFFFF"/>
            <w:lang w:val="en-US" w:eastAsia="en-US" w:bidi="ar-SA"/>
          </w:rPr>
          <w:t>(1996), 25 B.C.L.R. (3d) 329</w:t>
        </w:r>
      </w:hyperlink>
      <w:r>
        <w:rPr>
          <w:rFonts w:ascii="arial" w:eastAsia="arial" w:hAnsi="arial" w:cs="arial"/>
          <w:color w:val="000000"/>
          <w:sz w:val="20"/>
          <w:lang w:val="en-US" w:eastAsia="en-US" w:bidi="ar-SA"/>
        </w:rPr>
        <w:t xml:space="preserve"> (B.C.S.C.), aff'd </w:t>
      </w:r>
      <w:hyperlink r:id="rId316"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Peppiatt v. Nicol </w:t>
      </w:r>
      <w:hyperlink r:id="rId317" w:history="1">
        <w:r>
          <w:rPr>
            <w:rFonts w:ascii="arial" w:eastAsia="arial" w:hAnsi="arial" w:cs="arial"/>
            <w:i/>
            <w:color w:val="0077CC"/>
            <w:sz w:val="20"/>
            <w:u w:val="single"/>
            <w:shd w:val="clear" w:color="auto" w:fill="FFFFFF"/>
            <w:lang w:val="en-US" w:eastAsia="en-US" w:bidi="ar-SA"/>
          </w:rPr>
          <w:t>(1993), 16 O.R. (3d) 133</w:t>
        </w:r>
      </w:hyperlink>
      <w:r>
        <w:rPr>
          <w:rFonts w:ascii="arial" w:eastAsia="arial" w:hAnsi="arial" w:cs="arial"/>
          <w:color w:val="000000"/>
          <w:sz w:val="20"/>
          <w:lang w:val="en-US" w:eastAsia="en-US" w:bidi="ar-SA"/>
        </w:rPr>
        <w:t xml:space="preserve"> (Ont. Gen. Div.);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Bre-X, </w:t>
      </w:r>
      <w:hyperlink r:id="rId318"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discussion of reliance in Peppiatt which involved misrepresentations contained in a single information package circulated to all class members. In Campbell, the allegation of negligent misrepresentation related solely to whether the CSA stamp of approval placed on all radiant ceiling heating panels constituted a representation as to fitness for their intended purpose. Campbell was, in that sense, more akin to a products liability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Claims in negligent misrepresentation are most likely to be certified where the common question focuses on the conduct or knowledge of the defendant, usually at a particular point in time, and the resolution of that issue will move the litigation along. Ultimately, that was the case in Bre-X, even though individual issues of reliance remained to be determined separately. In Bre-X, the common questions related to a pivotal issue, the defendant's alleged knowledge of fraud. The resolution of that issue for or against the defendant would be expected to significantly impact the resolution of remaining issues including the questions of individual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Here, the plaintiff's claims relate to Bayer's state of knowledge at the time Baycol was first available in Canada and during the period it was on the market. The portion of the claim relating to alleged inadequate warnings would focus on the product monograph, and its three amendments. Because the questions focus on Bayer's conduct and knowledge, the plaintiff's claims are more similar to the negligent misrepresentation claims that were certified than the other cases discussed in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Bayer took steps which were directed towards all persons who ingested Baycol and all doctors who prescribed Baycol as groups. For example, whether Bayer should have distributed Baycol at all, or ceased distribution earlier, or provided stronger warnings in product monographs and through other means, are questions which address Bayer's conduct toward the class as 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Bayer also relied on the B.C. Court of Appeal decision Prevost (Committee of) v. Vetter </w:t>
      </w:r>
      <w:r>
        <w:rPr>
          <w:rFonts w:ascii="arial" w:eastAsia="arial" w:hAnsi="arial" w:cs="arial"/>
          <w:i/>
          <w:color w:val="000000"/>
          <w:sz w:val="20"/>
          <w:lang w:val="en-US" w:eastAsia="en-US" w:bidi="ar-SA"/>
        </w:rPr>
        <w:t>(2001), 100 B.C.L.R. (3d) 44</w:t>
      </w:r>
      <w:r>
        <w:rPr>
          <w:rFonts w:ascii="arial" w:eastAsia="arial" w:hAnsi="arial" w:cs="arial"/>
          <w:color w:val="000000"/>
          <w:sz w:val="20"/>
          <w:lang w:val="en-US" w:eastAsia="en-US" w:bidi="ar-SA"/>
        </w:rPr>
        <w:t xml:space="preserve"> (C.A.) to argue that the standard of care issues could not be separated from other individual issues. In that case, the Court of Appeal set aside an order making declarations regarding duty of care, and ordered a new trial. The plaintiff, Prevost, had been seriously injured following a party at the Vetters' home. Prevost alleged what is commonly described as "social-host liability" against the Vetters.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Following a summary trial under Rule 18A, the summary trial judge declared that the Vetters owed Prevost a duty of care and that they had breached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Court of Appeal concluded it was not possible in that case for the judge to determine the existence of a duty of care, the appropriate standard of care, or a breach of the standard of care without also determining the facts that the plaintiff must establish in order to succeed on the issue of causation. The facts the court referred to related to whether the driver's ability to drive was impaired by alcohol when she left the Vetters' property; whether her impairment, if any, was objectively manifest; whether she became impaired, if she did, on the appellant's property; and whether her impairment, if any, was causative of the accident and the resulting injuries to Prevost.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plaintiff's claims against Bayer are not as closely intertwined with causation issues as the claims in Prevost. For example, Bayer's conduct in making and keeping Baycol on the market can be examined separately from issues of causation. The relevant facts will relate to Bayer's knowledge of the risks of Baycol, not the specific circumstances of each person who ingested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Prevost case depended on the particular challenges of a claim of "social host" liability. It does not stand for the proposition that questions of duty of care and breach of duty can never be considered independently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Issues of duty and standard of care are commonly certified in class action proceedings. See for example: Wilson v. Servier Canada Inc. </w:t>
      </w:r>
      <w:hyperlink r:id="rId319" w:history="1">
        <w:r>
          <w:rPr>
            <w:rFonts w:ascii="arial" w:eastAsia="arial" w:hAnsi="arial" w:cs="arial"/>
            <w:i/>
            <w:color w:val="0077CC"/>
            <w:sz w:val="20"/>
            <w:u w:val="single"/>
            <w:shd w:val="clear" w:color="auto" w:fill="FFFFFF"/>
            <w:lang w:val="en-US" w:eastAsia="en-US" w:bidi="ar-SA"/>
          </w:rPr>
          <w:t>50 O.R. (3d) 219</w:t>
        </w:r>
      </w:hyperlink>
      <w:r>
        <w:rPr>
          <w:rFonts w:ascii="arial" w:eastAsia="arial" w:hAnsi="arial" w:cs="arial"/>
          <w:color w:val="000000"/>
          <w:sz w:val="20"/>
          <w:lang w:val="en-US" w:eastAsia="en-US" w:bidi="ar-SA"/>
        </w:rPr>
        <w:t xml:space="preserve"> (Ont. S.C.) at paras. 53-56, leave to appeal refused on </w:t>
      </w:r>
      <w:hyperlink r:id="rId320" w:history="1">
        <w:r>
          <w:rPr>
            <w:rFonts w:ascii="arial" w:eastAsia="arial" w:hAnsi="arial" w:cs="arial"/>
            <w:i/>
            <w:color w:val="0077CC"/>
            <w:sz w:val="20"/>
            <w:u w:val="single"/>
            <w:shd w:val="clear" w:color="auto" w:fill="FFFFFF"/>
            <w:lang w:val="en-US" w:eastAsia="en-US" w:bidi="ar-SA"/>
          </w:rPr>
          <w:t>(2000), 52 O.R. (3d) 20</w:t>
        </w:r>
      </w:hyperlink>
      <w:r>
        <w:rPr>
          <w:rFonts w:ascii="arial" w:eastAsia="arial" w:hAnsi="arial" w:cs="arial"/>
          <w:color w:val="000000"/>
          <w:sz w:val="20"/>
          <w:lang w:val="en-US" w:eastAsia="en-US" w:bidi="ar-SA"/>
        </w:rPr>
        <w:t xml:space="preserve"> (Div. Ct.), leave to appeal to Supreme Court of Canada dismissed, </w:t>
      </w:r>
      <w:hyperlink r:id="rId321" w:history="1">
        <w:r>
          <w:rPr>
            <w:rFonts w:ascii="arial" w:eastAsia="arial" w:hAnsi="arial" w:cs="arial"/>
            <w:i/>
            <w:color w:val="0077CC"/>
            <w:sz w:val="20"/>
            <w:u w:val="single"/>
            <w:shd w:val="clear" w:color="auto" w:fill="FFFFFF"/>
            <w:lang w:val="en-US" w:eastAsia="en-US" w:bidi="ar-SA"/>
          </w:rPr>
          <w:t>[2001] S.C.C.A. No. 88</w:t>
        </w:r>
      </w:hyperlink>
      <w:r>
        <w:rPr>
          <w:rFonts w:ascii="arial" w:eastAsia="arial" w:hAnsi="arial" w:cs="arial"/>
          <w:color w:val="000000"/>
          <w:sz w:val="20"/>
          <w:lang w:val="en-US" w:eastAsia="en-US" w:bidi="ar-SA"/>
        </w:rPr>
        <w:t xml:space="preserve">, September 6, 2001, S.C.C. File No. 28380. S.C.C. Bulletin, 2001, p. 1539, Anderson v. Wilson </w:t>
      </w:r>
      <w:hyperlink r:id="rId322" w:history="1">
        <w:r>
          <w:rPr>
            <w:rFonts w:ascii="arial" w:eastAsia="arial" w:hAnsi="arial" w:cs="arial"/>
            <w:i/>
            <w:color w:val="0077CC"/>
            <w:sz w:val="20"/>
            <w:u w:val="single"/>
            <w:shd w:val="clear" w:color="auto" w:fill="FFFFFF"/>
            <w:lang w:val="en-US" w:eastAsia="en-US" w:bidi="ar-SA"/>
          </w:rPr>
          <w:t>(1999), 175 D.L.R. (4th) 409</w:t>
        </w:r>
      </w:hyperlink>
      <w:r>
        <w:rPr>
          <w:rFonts w:ascii="arial" w:eastAsia="arial" w:hAnsi="arial" w:cs="arial"/>
          <w:color w:val="000000"/>
          <w:sz w:val="20"/>
          <w:lang w:val="en-US" w:eastAsia="en-US" w:bidi="ar-SA"/>
        </w:rPr>
        <w:t xml:space="preserve"> (Ont. C.A.), leave to appeal to S.C.C. refused </w:t>
      </w:r>
      <w:hyperlink r:id="rId323" w:history="1">
        <w:r>
          <w:rPr>
            <w:rFonts w:ascii="arial" w:eastAsia="arial" w:hAnsi="arial" w:cs="arial"/>
            <w:i/>
            <w:color w:val="0077CC"/>
            <w:sz w:val="20"/>
            <w:u w:val="single"/>
            <w:shd w:val="clear" w:color="auto" w:fill="FFFFFF"/>
            <w:lang w:val="en-US" w:eastAsia="en-US" w:bidi="ar-SA"/>
          </w:rPr>
          <w:t>[1999] S.C.C.A. No. 476</w:t>
        </w:r>
      </w:hyperlink>
      <w:r>
        <w:rPr>
          <w:rFonts w:ascii="arial" w:eastAsia="arial" w:hAnsi="arial" w:cs="arial"/>
          <w:color w:val="000000"/>
          <w:sz w:val="20"/>
          <w:lang w:val="en-US" w:eastAsia="en-US" w:bidi="ar-SA"/>
        </w:rPr>
        <w:t xml:space="preserve">, and Harrington v. Dow Corning Corp. </w:t>
      </w:r>
      <w:hyperlink r:id="rId305"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Servier is a case in which Mr. Justice Cumming of the Superior Court of Justice in Ontario certified a class action in a claim regarding a prescription weight loss drug. He was of the view that the common issues included the chemical composition and biological effect of certain drugs, the labelling and warning included with the drugs, the communications with prescribing physicians, and the defendants' knowledge of the alleged adverse effects of the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Servier suggests that there can be common issues regarding distribution of a prescription drug, even though communications with prescribing physicians may differ.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Resolution of the issue of whether Bayer breached the standard of care is common to all those who allege that they suffered damages as a result. If the breach was by failing to withdraw the drug from the market or putting it on the market in the first place, resolution of the question of whether Bayer breached the standard of care will advance the claim for those members of the class who ingested the drug following the breach. That would include the entire class, if Baycol ought not to have been distributed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Resolving this issue will advance the interests of the class, leaving individual issues like causation to be litigated later in separate trials, if necessary.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focus on Bayer's conduct towards consumers as a group. While the court may be required to give a nuanced answer in respect of the alleged failure to provide adequate warning, the central issues are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a result, I concluded that this proposed question is a common question. I reworded it to reflect my decision not to certify the first question proposed by plaintiff's counsel. The reworded question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Bayer breach the duty of care it owed to persons who ingested Baycol in its role with Baycol, including in designing, manufacturing and/or distributing Baycol and, if so, when did the breach begin?</w:t>
      </w:r>
    </w:p>
    <w:p>
      <w:pPr>
        <w:numPr>
          <w:numId w:val="3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marketing and sale of Baycol constitute deceptive or unconscionable acts or practices pursuant to the Trade Practice Act, </w:t>
      </w:r>
      <w:hyperlink r:id="rId299"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alleges that Bayer contravened the Trade Practice Act by deceptively marketing Baycol as an essentially safe product for lowering cholesterol. Bayer argued that every prescription drug and every statin has potential side effects, and there was nothing deceptive or unconscionable about marketing and selling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relevant sections of the Trade Practice Act are as follows:</w:t>
      </w:r>
      <w:r>
        <w:rPr>
          <w:rFonts w:ascii="arial" w:eastAsia="arial" w:hAnsi="arial" w:cs="arial"/>
          <w:sz w:val="20"/>
          <w:lang w:val="en-US" w:eastAsia="en-US" w:bidi="ar-SA"/>
        </w:rPr>
        <w:cr/>
      </w:r>
    </w:p>
    <w:p>
      <w:pPr>
        <w:numPr>
          <w:numId w:val="3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'consumer' means an individual, whether in British Columbia or not, other than a supplier, who participates in a consumer transaction, and includes a guarantor or donee of that individual;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'consumer transaction' means any of the following:</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sale, lease, rental, assignment, award by chance or other disposition or supply of any kind of personal property or real property to an individual for purposes that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primarily personal, family or household, or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 to a first time business opportunity scheme;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solicitation or promotion by a supplier with respect to a transaction referred to in paragraph (a);</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of a consumer by a person requesting any of the following:</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contribution of money by the consumer;</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contribution of any other property by the consumer.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property' means a right, title or interest in personal property, whether tangible or intangible and includes but is not limited to</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chattels that are or are intended to be attached to reach property on or after delivery,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services,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credit, including credit extended solely on the security of land.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'supplier' means a person, whether in British Columbia or not, other than a consumer, who in the course of the person's business solicits, offers, advertises or promotes the disposition or supply of the subject of a consumer transaction or who engages in, enforces or otherwise participates in a consumer transaction, whether or not privity of contract exists between that person and the consumer, and includes the successor to, and assignee of, any rights or obligations of the supplier; ...</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Act, a deceptive act or practice includes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including a failure to disclose,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the capability, tendency or effect of deceiving or misleading a person.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deceptive act or practice by a supplier in relation to a consumer transaction may occur before, during or after the consumer transaction.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one or more of the following, however expressed, constitutes a deceptive act or practice: ...</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in an oral or written representation, of exaggeration, innuendo or ambiguity about a material fact, or failure to state a material fact, if the representation is deceptive or misleading; ...</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unconscionable act or practice by a supplier in relation to a consumer transaction may occur before, during or after the consumer transaction.</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an act or practice is unconscionable, a court must consider all the surrounding circumstances that the supplier knew or ought to have known.</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(2), the circumstances that the court must consider include the following: ...</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consumer was taken advantage of by the consumer's inability or incapacity to reasonably protect his or her own interest because of physical or mental infirmity, ignorance, illiteracy, age or inability to understand the character, nature or language of the consumer transaction, or any other matter related to it; ...</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an unconscionable act or practice in respect of a consumer transaction, that consumer transaction is unenforceable by the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consumer has entered a consumer transaction involving a deceptive or unconscionable act or practice by a supplier, a court may, in an action in respect of the transaction, do one or more of the following:</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the consumer damages in the amount of any loss or damage suffered by the consumer because of the deceptive or unconscionable act or practice, including punitive or exemplary damages;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including rescission of the transaction or restitution of any money, property or other consideration given or provided by the consumer;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4(4), impose other terms the court considers just.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allegations regarding the Trade Practice Act raises the common question of whether Bayer's practices were deceptive or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Section 22 provides several remedies. The remedy in s. 22(1)(a) refers to loss or damage suffered by a consumer "because of the deceptive or unconscionable act or practice". The other possible remedies are not limited to compensatory remedies, and may include a punitive element. Subsections 22(1)(b) and (c) do not state that they require consumers to establish that they relied on the deceptive or unconscionable acts or practice to their detriment. It is at least arguable that detrimental reliance is not required for claims under ss. 22(1)(b) and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Because the potential relief is not limited to compensatory awards, it is not appropriate to limit the class at this stage of the proceeding to those who claim to have suffered damages. Section 22 arguably permits a remedy to all consumers. As a result, the appropriate class in respect of the claim pursuant to the Trade Practice Act is "all persons resident in British Columbia who ingested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with the question of whether Bayer breached its duty of care, there is a common question regarding Bayer's practices towards consumers of Baycol as a group. Resolution of this question would advance the litigation for all members of the class. As a result, this is a common question.</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marketing and sale of Baycol breach s. 52 of the Competition Act, R.S.C., c. C-34?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relevant sections of the Competition Act are as follows: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suffered loss or damage as a result of</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that is contrary to any provision of Part VI, 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in any court of competent jurisdiction, sue for and recover from the person who engaged in the conduct or failed to comply with the order an amount equal to the loss or damage proved to have been suffered by him, together with any additional amount that the court may allow not exceeding the full cost to him of any investigation in connection with the matter and of proceedings under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VI - OFFENCES IN RELATION TO COMPETITION ...</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for the purpose of promoting, directly or indirectly, the supply or use of a product or for the purposes of promoting, directly or indirectly, any business interest, by any means whatever, knowingly or recklessly make a representation to the public that is false or misleading in a material respect.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greater certainty, in establishing that subsection (1) was contravened, it is not necessary to prove that any person was deceived or misled.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greater certainty, a reference to the making of a representation, in this section or in section 52.1, 74.01 or 74.02, includes permitting a representation to be made.</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 a representation that is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expressed on an article offered or displayed for sale or its wrapper or container,</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expressed on anything attached to, inserted in or accompanying an article offered or displayed for sale, its wrapper or container, or anything on which the article is mounted for display or sale,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expressed on an in-store or other point-of-purchase display,</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in the course of in-store, door-to-door or telephone selling to a person as ultimate user, or</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contained in or on anything that is sold, sent, delivered, transmitted or made available in any other manner to a member of the public,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deemed to be made to the public by and only by the person who causes the representation to be so expressed, made or contained, subject to subsection (2.1).</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a person who, for the purpose of promoting, directly or indirectly, the supply or use of a product or any business interest, supplies to a wholesaler, retainer or other distributor of a product any material or thing that contains a representation of a nature referred to in subsection (1) is deemed to have made that representation to the public.</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prosecution for a contravention of this section, the general impression conveyed by a representation as well as its literal meaning shall be taken into account in determining whether or not the representation is false or misleading in a material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allegation of breach of s. 52 of the Competition Act raise questions about Bayer's public representations. These questions are common for everyone seeking relief under s. 36. Only those who allegedly suffered loss or damage are entitled to make this claim. Resolution of the proposed common question would advance the litigation for all class members alleging such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Questions and Class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turn now to consider the question of the appropriate class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Plaintiff's counsel Mr. Branch argued that the proposed class description was appropriate. He argued that the definition is objective and does not depend on the merits of the case. He argued that the alternative of adding the phrase "and who suffered damage" could not be made until a later date. He also argued that all class members have a shared interest in assessing the defendant's standard of care, and that there is no conflict between class members in relation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Bayer argued that the vast majority of those who ingested Baycol will not have suffered any adverse effect. This could suggest a more narrow description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considered whether the class description should be limited to those who allegedly suffered damage. That form of class description was used in Rumley,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Rumley, the Supreme Court of Canada upheld the decision of the B.C. Court of Appeal to certify a class proceeding in connection with former students at the Jericho Hill School. That school was a residential school which at one time had both deaf and blind students, and later, had only deaf students. The court certified the question of whether the province was negligent or in breach of fiduciary duty in failing to take reasonable measures in the operation or management of the school to protect students from misconduct of a sexual nature by employees, agents or other students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class was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Students at the [Jericho Hill School] between 1950 and 1992 who reside in British Columbia and claim to have suffered injury, loss or damage as a result of misconduct of a sexual nature occurring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Competition Act are limited to those who allege they suffered damage. However, the claim under the Trade Practice Act is not. As a result, I certified the class described as proposed by Mr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determination of the three common issues I certified would advance the claims to an appreciable extent. The plaintiff therefore satisfied s. 4(1)(c).</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 class proceeding be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other highly contentious aspect of this certification application was whether a class action meets the test of being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Hoy v. Medtronic, Inc., </w:t>
      </w:r>
      <w:hyperlink r:id="rId324" w:history="1">
        <w:r>
          <w:rPr>
            <w:rFonts w:ascii="arial" w:eastAsia="arial" w:hAnsi="arial" w:cs="arial"/>
            <w:i/>
            <w:color w:val="0077CC"/>
            <w:sz w:val="20"/>
            <w:u w:val="single"/>
            <w:shd w:val="clear" w:color="auto" w:fill="FFFFFF"/>
            <w:lang w:val="en-US" w:eastAsia="en-US" w:bidi="ar-SA"/>
          </w:rPr>
          <w:t>[2003] B.C.J. No. 1251</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2003 BCCA 316</w:t>
        </w:r>
      </w:hyperlink>
      <w:r>
        <w:rPr>
          <w:rFonts w:ascii="arial" w:eastAsia="arial" w:hAnsi="arial" w:cs="arial"/>
          <w:color w:val="000000"/>
          <w:sz w:val="20"/>
          <w:lang w:val="en-US" w:eastAsia="en-US" w:bidi="ar-SA"/>
        </w:rPr>
        <w:t>, Chief Justice Finch writing for the majority of the Court of Appeal gave the court guidance on the analysis of whether a class action is the preferable procedure. I reproduce paragraphs 39-43 from his reasons, which quote extensively from earlier reasons of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Supreme Court of Canada commented on the analysis required by s. 4(1)(d) in Rumley v. British Columbia, </w:t>
            </w:r>
            <w:hyperlink r:id="rId308" w:history="1">
              <w:r>
                <w:rPr>
                  <w:rFonts w:ascii="arial" w:eastAsia="arial" w:hAnsi="arial" w:cs="arial"/>
                  <w:i/>
                  <w:color w:val="0077CC"/>
                  <w:sz w:val="18"/>
                  <w:u w:val="single"/>
                  <w:shd w:val="clear" w:color="auto" w:fill="FFFFFF"/>
                  <w:lang w:val="en-US" w:eastAsia="en-US" w:bidi="ar-SA"/>
                </w:rPr>
                <w:t>[2001] 3 S.C.R. 184</w:t>
              </w:r>
            </w:hyperlink>
            <w:r>
              <w:rPr>
                <w:rFonts w:ascii="arial" w:eastAsia="arial" w:hAnsi="arial" w:cs="arial"/>
                <w:color w:val="000000"/>
                <w:sz w:val="18"/>
                <w:lang w:val="en-US" w:eastAsia="en-US" w:bidi="ar-SA"/>
              </w:rPr>
              <w:t>, 2001 S.C.C. 69. McLachlin C.J.C., writing for the court, stated at para. 35: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question remains whether a class action would be the preferable procedure. Here I would begin by incorporating my discussion in Hollick as to the meaning of preferability: see Hollick, supra, at paras. 28-31. While the legislative history of the British Columbia Class Proceedings Act is of course different from that of the corresponding Ontario legislation, in my view the preferability inquiry is, at least in general terms, the same under each statute. The inquiry is directed at two questions: first, "whether or not the class proceeding [would be] a fair, efficient and manageable method of advancing the claim", and second, whether the class proceedings would be preferable "in the sense of preferable to other procedures" (Hollick, at para. 28). I would note one difference, however, between the British Columbia Class Proceedings Act and the corresponding Ontario legislation. Like the British Columbia legislation, the Ontario legislation requires that a class action be "the preferable procedure" for the resolution of the common issues: see Ontario Class Proceedings Act (1992) s. 5(1)(d); British Columbia Class Proceedings Act, s. 4(1)(d). Unlike the Ontario legislation, however, the British Columbia legislation provides express guidance as to how a court should approach the preferability question, listing five factors that the court must consider: see s. 4(2). I turn, now, to these factors.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factors described in s. 4(2) are whether the common issues predominate over individual issues; whether class members have a valid interest in pursuing individual actions; whether the claims of the proposed class are or have been the subject of another proceeding; whether other means of resolving the claims are less practical or less efficient; and whether the administration of the class proceeding would likely create greater difficulties than other means of resolving the claims.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B.C. legislation, unlike its Ontario counterpart, details a non-exhaustive list of factors to be considered in the preferability analysis. In general terms, however, the preferability inquiry is similar under the B.C. and Ontario statutes.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Hollick v. Toronto (City), </w:t>
            </w:r>
            <w:hyperlink r:id="rId325" w:history="1">
              <w:r>
                <w:rPr>
                  <w:rFonts w:ascii="arial" w:eastAsia="arial" w:hAnsi="arial" w:cs="arial"/>
                  <w:i/>
                  <w:color w:val="0077CC"/>
                  <w:sz w:val="18"/>
                  <w:u w:val="single"/>
                  <w:shd w:val="clear" w:color="auto" w:fill="FFFFFF"/>
                  <w:lang w:val="en-US" w:eastAsia="en-US" w:bidi="ar-SA"/>
                </w:rPr>
                <w:t>[2001] 3 S.C.R. 158</w:t>
              </w:r>
            </w:hyperlink>
            <w:r>
              <w:rPr>
                <w:rFonts w:ascii="arial" w:eastAsia="arial" w:hAnsi="arial" w:cs="arial"/>
                <w:color w:val="000000"/>
                <w:sz w:val="18"/>
                <w:lang w:val="en-US" w:eastAsia="en-US" w:bidi="ar-SA"/>
              </w:rPr>
              <w:t>, 2001 S.C.C. 68, McLachlin C.J.C. spoke of the requirement that a class action be the preferable procedure for 'the resolution of the common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Act itself, requires only that a class action be the preferable procedure for "the resolution of the </w:t>
            </w:r>
            <w:r>
              <w:rPr>
                <w:rFonts w:ascii="arial" w:eastAsia="arial" w:hAnsi="arial" w:cs="arial"/>
                <w:b/>
                <w:color w:val="000000"/>
                <w:sz w:val="18"/>
                <w:lang w:val="en-US" w:eastAsia="en-US" w:bidi="ar-SA"/>
              </w:rPr>
              <w:t>common issues</w:t>
            </w:r>
            <w:r>
              <w:rPr>
                <w:rFonts w:ascii="arial" w:eastAsia="arial" w:hAnsi="arial" w:cs="arial"/>
                <w:color w:val="000000"/>
                <w:sz w:val="18"/>
                <w:lang w:val="en-US" w:eastAsia="en-US" w:bidi="ar-SA"/>
              </w:rPr>
              <w:t>" (emphasis added), and not that a class action be the preferable procedure for the resolution of the class members' claims. I would not place undue weight, however, on the fact that the Act uses the phrases "resolution of the common issues" rather than "resolution of class members' claims".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question of preferability, then, must take into account the importance of the common issues in relation to the claims as a whole. It is true, of course, that the Act contemplates that class actions will be allowable even where there are substantial individual issues: see s. 5. It is also true that the drafters rejected a requirement, such as is contained in the American federal class action rule, that the common issues "predominate" over the individual issues: see Federal Rules of Civil Procedure, Rule 23(B)(3) (stating that class action maintainable only if "questions of law or fact common to the members of the class predominate over any questions affecting only individual members"); see also British Columbia Class Proceedings Act, s. 4(2)(a) (stating that, in determining whether a class action is the preferable procedure, the court must consider "whether questions of fact or law common to the members of the class predominate over any questions affecting only individual members"). I cannot conclude, however, that the drafters intended the preferability analysis to take place in a vacuum. There must be a consideration of the common issues in context.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judge, in determining whether a class proceeding is preferable, is therefore obliged to evaluate the common issues in context, and must consider, as one of at least five factors, whether the common issues predominate over individual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will first consider the five factors, and then consider the overall question of whether certification is consistent with the purposes of the Class Proceedings Act. None of the factors is determinative. All must be considered by the court in determining whether a class proceeding would be the preferable procedure for the fair and efficient resolution of the common issues.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questions of fact or law common to the members of the class predominate over any questions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If common issues predominate over individual issues, that is a factor which would suggest that certification may not be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Rumley, the Supreme Court of Canada said the following about the predominance of common issues on the facts of that case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first factor is "whether questions of fact or law common to the members of the class predominate over any questions affecting only individual members": s. 4(2)(a). As I noted above, it seems likely that there will be relevant differences between class members here. It should be remembered, however, that as the respondents have limited their claims to claims of "systemic"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the central issues in this suit will be the nature of the duty owed by JHS to the class members and whether that duty was breached. Those issues are amenable to resolution in a class proceeding. While the issues of injury and causation will have to be litigated in individual proceedings following resolution of the common issue (assuming the common issue is decided in favour of the class, or at least in favour of some segment of the class), in my view the individual issues will be a relatively minor aspect of this case. There is no dispute that abuse occurred at the school. The essential question is whether the school should have prevented the abuse or responded to it differently. I would conclude that the common issues predominate over those affecting only individual class members.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It is difficult at this stage of the proceedings to determine whether the common issues predominate over the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common issues raise complex questions. The extent of Bayer's knowledge of effects from Baycol ingestion both inside and outside Canada may be a significant factor. The actions taken in other countries may be important. The international and scientific aspects alone suggest that the common issues will be complex. The documentation relating to even just the Health Canada approvals is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individual issues are also significant. Even if the plaintiffs establish a breach of duty, there will be serious questions of causation regarding any injury allegedly resulting from Baycol. Because the potential side effects, including rhabdomyolysis, can be result from other causes, there would likely be an examination of the medical circumstances of each patient, including their use of prescription drugs and history of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balance, the common issues are likely to predominate, because the individual issues primarily involve routine causation and personal injury questions.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a significant number of the members of the class have a valid interest in individually controlling the prosecution of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is no reason to expect that any members of the class have an interest in individually controlling the prosecution of separate actions. There was no evidence at the hearing about any other actions in B.C. regarding Baycol, although the fact of another action having been commenced was brought to my attention following the hearing. There was no opposition by potential class members to certification of this claim as a class proceeding.</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class proceeding involve claims that are or have been the subject of any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was no evidence that there were any other relevant proceedings underway or in contemplation in respect of the claims of people resident in British Columbia.</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other means of resolving the claims be less practical or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Bayer argued that joinder of the plaintiff's claim with similar claims would be more practical and efficient than a class proceeding. Bayer argued that the potential class size is so small that simply joining together similar cases would allow efficient resolution of any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size of the potential class is not known at this point in the litigation. Section 7(d) of the Class Proceedings Act provides that the court must not refuse to certify a proceeding as a class proceeding merely because the number of class members or the identity of each class member is not known. However, the probable size of the class is a factor that the court can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plaintiff's solicitors deposed that they had been contacted by 46 individuals who indicated they wish to be part of the class. While some of those inquiries may have been from individuals who do not claim to have suffered damages, it is likely that the majority of them do have some complaint arising from their ingestion of Baycol.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Class proceedings legislation was remedial procedural legislation, intended to allow individual claimants to spread the cost of litigation involving common issues across the class. It should be interpreted broadly. The legislation is based on the concept that class proceedings are more efficient or practical for claims which involve many with common and often complex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courts have been prepared to certify claims that individually seem minor when the size of the class may be significant. Here, the individual claims are likely to be modest, rather than minor, but some claims may be significant. The size of the class is likely to be modest, but not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Joinder of a few common claims may be the appropriate procedure for a very small class, such as one involving two or three claimants. Here, the potential class size is more significant. It may be that in the aggregate the claims of the class members will be substantial. That cannot be determined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are numerous advantages to class actions for plaintiffs. Mr. Branch suggested that they include the following:</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Whatever limitation period is found to be applicable to the claim is tolled for the entire class (s. 39);</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formal notice program is created which will alert all interested persons to the status of the litigation (s. 19);</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able to attract counsel through the aggregation of potential damages and the availability of contingency fee arrangements (s. 38);</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prevents the defendant from creating procedural obstacles and hurdles that individual litigants may not have the resources to clear;</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are given the ability to apply to participate in the litigation if desired (s. 15);</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case managed by a single judge (s. 14);</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given a number of powers designed to protect the interests of absent class members (s. 12);</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are protected from any adverse cost award in relation to the common issues stage of the proceeding (s. 37);</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the resolution of any remaining individual issues, a class proceeding directs and allows the court to create simplified structures and procedures (s. 27);</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operation of statute, any order or settlement will accrue to the benefit of the entire class, without the necessity of resorting to principles of estoppel (ss. 26 &amp;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nature of the common issues suggests that a class proceeding would be preferable. Bayer has a significant volume of scientific and other documentation with respect to issues of liability. The common issues are well-suited for class proceedings and for the spreading across the class of the costs of exploring the evidence. The fact that damages require individual assessment is not a bar to certification, as stated in s. 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This is consistent with the analysis of Mr. Justice Cumming in connection with a different prescription drug in Servier. In his view, in the absence of class treatment, the class members would be unable to obtain the benefit of the collection of medical and scientific data and research that addresses issues relating to the diseases asserted to be caused by ingestion of the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the basis of the evidence available at this stage of the proceedings, a class proceeding would be the preferable procedure for the fair and efficient resolution of the common issues.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representative plaintiff who would fairly and adequately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two most important considerations in determining whether a plaintiff is an appropriate representative are whether there is a common interest with other class members and whether the representatives would "vigorously prosecute" the claim. See the Court of Appeal decision in Campbell v. Flexwatt </w:t>
      </w:r>
      <w:hyperlink r:id="rId316" w:history="1">
        <w:r>
          <w:rPr>
            <w:rFonts w:ascii="arial" w:eastAsia="arial" w:hAnsi="arial" w:cs="arial"/>
            <w:i/>
            <w:color w:val="0077CC"/>
            <w:sz w:val="20"/>
            <w:u w:val="single"/>
            <w:shd w:val="clear" w:color="auto" w:fill="FFFFFF"/>
            <w:lang w:val="en-US" w:eastAsia="en-US" w:bidi="ar-SA"/>
          </w:rPr>
          <w:t>(1998), 44 B.C.L.R. (3d) 343</w:t>
        </w:r>
      </w:hyperlink>
      <w:r>
        <w:rPr>
          <w:rFonts w:ascii="arial" w:eastAsia="arial" w:hAnsi="arial" w:cs="arial"/>
          <w:color w:val="000000"/>
          <w:sz w:val="20"/>
          <w:lang w:val="en-US" w:eastAsia="en-US" w:bidi="ar-SA"/>
        </w:rPr>
        <w:t xml:space="preserve"> (C.A.),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Both proposed plaintiffs have a common interest with other class members in establishing that Bayer breached its duties to the residents of B.C. who ingested Baycol. The fact that they have pursued the class proceeding suggests that they would "vigorously prosecute" the claim. The requirement of s. 4(1)(e)(i) is satisfied.</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representative plaintiff who has produced a plan for the proceeding that sets out a workable method of advancing the proceeding on behalf of the class and of notifying class members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Bayer challenged the proposed plan provided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adequacy of the plaintiff's litigation plan cannot be fully assessed until such time as the size and location of the class is known and the nature of the individual claims has been determined. The proposed Case Management Plan attached to Ms. Bovard's affidavit was intended as an aid to the court to demonstrate the likely framework within which the class action would proceed. Any plan will have to be modified as the exigencies of the litigation become known. In the meantime, the plaintiff has produced a plan which is workable, but which will undoubtedly change as the litigation moves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am not approving the plan in all respects. I will wish to hear counsel on the litigation plan and what pre-trial orders should be made. However, it is sufficient for certification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requirement of s. 4(1)(e)(ii) is satisfied.</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are representative plaintiff who does not have, on the common issues, an interest that is in conflict with the interests of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proposed representative plaintiff Ms. Bovard developed rhabdomyolysis. She was co-prescribed high doses of gemfibrozil. She was prescribed a starting dosage of Baycol of 0.4 mg., not the recommended 0.2 mg. Bayer argued that the evidence supports the argument that Ms. Bovard's symptoms were not treated appropriately, and diagnosis and treatment was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proposed representative plaintiff Dr. Bouchanskaia is a medical doctor. She had other medical problems in addition to elevated cholesterol. Her starting dosage of Baycol was 0.4 mg. She deposed that she suffered joint pain, nausea, muscle weakness, and other symptoms, and the passing of darkened urine.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contend that Dr. Bouchanskaia and Ms. Bovard are not appropriate representative plaintiffs because they have an interest in naming health care providers as potentially liable parties. However, the proposed amended statement of claim names only Bayer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As discussed by the Supreme Court of Canada in Athey v. Leonati, </w:t>
      </w:r>
      <w:hyperlink r:id="rId1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any defendant found to have negligently caused or contributed to injuries will be fully liable for them.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permits defendants to seek contribution and indemnity from one another according to the degree of responsibility for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Claims against other possible tortfeasors would not affect the common issues discussed above. Nor, even if the proposed plaintiffs joined such persons as defendants, would that place them in conflict with other class members, rendering them unable to represent the interest of the class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considered whether the proposed representatives might have a conflict with respect to the timing of any breach of duty. For example, Ms. Bovard has an interest in establishing that Bayer breached its duty before December 12, 2000, and a lesser interest in whether the duty was breached for example in 1998 when Baycol was when first distributed in Canada. However, after considering in particular Rumley, Servier and Harrington, I have concluded that such timing difference should not result in the conclusion that the proposed representative plaintiffs are in a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also considered whether the fact that some members of the class do not allege that they suffered damage would create a conflict. I have concluded that it is not a conflict which should prohibit the selection of Ms. Bovard and Dr. Bouchanskaia as representative plaintiffs. If it is necessary to certify subclasses as the matter proceeds, that can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general, the plaintiff's position is that certification is essential to give the proposed class members access to justice. Plaintiff's counsel argued that a class proceeding would be preferable, because the cost of proving the common issues will be significant and should be spread among a class. He argued that it will meet the goals of the Class Proceedings Act, which are judicial economy, access to justice, and behaviour modification. See Hollick v. Toronto (City) </w:t>
      </w:r>
      <w:hyperlink r:id="rId325" w:history="1">
        <w:r>
          <w:rPr>
            <w:rFonts w:ascii="arial" w:eastAsia="arial" w:hAnsi="arial" w:cs="arial"/>
            <w:i/>
            <w:color w:val="0077CC"/>
            <w:sz w:val="20"/>
            <w:u w:val="single"/>
            <w:shd w:val="clear" w:color="auto" w:fill="FFFFFF"/>
            <w:lang w:val="en-US" w:eastAsia="en-US" w:bidi="ar-SA"/>
          </w:rPr>
          <w:t>(2001), 205 D.L.R. (4th) 19</w:t>
        </w:r>
      </w:hyperlink>
      <w:r>
        <w:rPr>
          <w:rFonts w:ascii="arial" w:eastAsia="arial" w:hAnsi="arial" w:cs="arial"/>
          <w:color w:val="000000"/>
          <w:sz w:val="20"/>
          <w:lang w:val="en-US" w:eastAsia="en-US" w:bidi="ar-SA"/>
        </w:rPr>
        <w:t xml:space="preserve"> affirming </w:t>
      </w:r>
      <w:hyperlink r:id="rId326" w:history="1">
        <w:r>
          <w:rPr>
            <w:rFonts w:ascii="arial" w:eastAsia="arial" w:hAnsi="arial" w:cs="arial"/>
            <w:i/>
            <w:color w:val="0077CC"/>
            <w:sz w:val="20"/>
            <w:u w:val="single"/>
            <w:shd w:val="clear" w:color="auto" w:fill="FFFFFF"/>
            <w:lang w:val="en-US" w:eastAsia="en-US" w:bidi="ar-SA"/>
          </w:rPr>
          <w:t>181 D.L.R. (4th) 426</w:t>
        </w:r>
      </w:hyperlink>
      <w:r>
        <w:rPr>
          <w:rFonts w:ascii="arial" w:eastAsia="arial" w:hAnsi="arial" w:cs="arial"/>
          <w:color w:val="000000"/>
          <w:sz w:val="20"/>
          <w:lang w:val="en-US" w:eastAsia="en-US" w:bidi="ar-SA"/>
        </w:rPr>
        <w:t xml:space="preserve"> affirming </w:t>
      </w:r>
      <w:hyperlink r:id="rId327" w:history="1">
        <w:r>
          <w:rPr>
            <w:rFonts w:ascii="arial" w:eastAsia="arial" w:hAnsi="arial" w:cs="arial"/>
            <w:i/>
            <w:color w:val="0077CC"/>
            <w:sz w:val="20"/>
            <w:u w:val="single"/>
            <w:shd w:val="clear" w:color="auto" w:fill="FFFFFF"/>
            <w:lang w:val="en-US" w:eastAsia="en-US" w:bidi="ar-SA"/>
          </w:rPr>
          <w:t>168 D.L.R. (4th) 760</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As discussed in Western Canadian Shopping Centres v. Bennett Jones Verchere </w:t>
      </w:r>
      <w:hyperlink r:id="rId328" w:history="1">
        <w:r>
          <w:rPr>
            <w:rFonts w:ascii="arial" w:eastAsia="arial" w:hAnsi="arial" w:cs="arial"/>
            <w:i/>
            <w:color w:val="0077CC"/>
            <w:sz w:val="20"/>
            <w:u w:val="single"/>
            <w:shd w:val="clear" w:color="auto" w:fill="FFFFFF"/>
            <w:lang w:val="en-US" w:eastAsia="en-US" w:bidi="ar-SA"/>
          </w:rPr>
          <w:t>(2001), 201 D.L.R. (4th) 385</w:t>
        </w:r>
      </w:hyperlink>
      <w:r>
        <w:rPr>
          <w:rFonts w:ascii="arial" w:eastAsia="arial" w:hAnsi="arial" w:cs="arial"/>
          <w:color w:val="000000"/>
          <w:sz w:val="20"/>
          <w:lang w:val="en-US" w:eastAsia="en-US" w:bidi="ar-SA"/>
        </w:rPr>
        <w:t>, (at paras. 27-29), class actions provide three important advantages over a multiplicity of individual suits. First, by aggregating similar individual actions, class actions serve judicial economy by avoiding unnecessary duplication in fact-finding and legal analysis. Second, by distributing fixed litigation costs among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Access to justice is the overriding consideration. Only a class proceeding will put the parties on a more even footing. The costs of proving the common issues are an overwhelming deterrent to individual claims, because the potential side effects of Baycol, while serious, likely will not support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 class action may advance behaviour modification by discouraging drug distributors from releasing drugs without adequate testing and from allowing them to remain in the market when it appears that they are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any event, certification is conditional and always subject to decertification.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requirements of section 4(1) of the Class Proceedings Act have been satisfied. The action accordingly is certified as a class action. The class and the common questions certified are detailed in paragraphs 5 and 6 above. The class representatives are Dr. Bouchanskaia and Ms. Bovard.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Counsel agreed that the question of the appropriate method of notice to class members should await determination of whether the claim was certified as a class proceeding. Counsel should arrange a hearing through the registry about this and any other outstanding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British Columbia Medical Assn. v. Aviva Insurance Co. of Canada, [2011] B.C.J. No. 1948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 3 and 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S110215 and S110213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1948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2011 BCSC 1399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I.L.R. I-5212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2011 CarswellBC 2686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British Columbia Medical Association (Canadian Medical Association - B.C. Division), Plaintiff, and Aviva Insurance Company of Canada, Defendant And between Geoffrey Marsden Appleton, Brian David Brodie, William John Riddell Cavers, Bradley Allen Fritz, Michael John Golbey, Nasirmohamed Jetha, Margaret Anne MacDiarmid, John William Mackie, Robin David Saunders, Mark David Schonfeld, Barry John Turchen, John Michael Morris Turner, Geraldine Vance, and Carole Lynn Williams, Plaintiffs, and Aviva Insurance Company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1"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14"/>
      <w:bookmarkEnd w:id="106"/>
      <w:r>
        <w:rPr>
          <w:rFonts w:ascii="arial" w:eastAsia="arial" w:hAnsi="arial" w:cs="arial"/>
          <w:b/>
          <w:color w:val="000000"/>
          <w:sz w:val="20"/>
          <w:lang w:val="en-US" w:eastAsia="en-US" w:bidi="ar-SA"/>
        </w:rPr>
        <w:t>Insurance law — Insurers — Duties — Duty to defend — Application by insureds for declaration that insurer had duty to defend and no right to control defence allowed, and application by insurer for declaration that it had limited duty to defend and right to control defence dismissed — Insurer issued policies which provided for coverage for defamation, but excluded coverage for acts of intentional wrongdoing — Insureds became defendants in action in which it was alleged they published defamatory statements with intent to injure — Defamation plea was properly pleaded, non-derivative claim that could potentially trigger indemnity if it succeeded at trial — Conflict between interests of insureds and insurer substantial.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By insured against insurer — Application by insureds for declaration that insurer had duty to defend and no right to control defence allowed, and application by insurer for declaration that it had limited duty to defend and right to control defence dismissed — Insurer issued policies which provided for coverage for defamation, but excluded coverage for acts of intentional wrongdoing — Insureds became defendants in action in which it was alleged they published defamatory statements with intent to injure — Defamation plea was properly pleaded, non-derivative claim that could potentially trigger indemnity if it succeeded at trial — Conflict between interests of insureds and insurer substantial.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14"/>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individuals and the medical association (the "insureds") for declarations that the insurer had a duty to defend and was not entitled to exercise control over the defence, and application by the insurer for a declaration that it had no duty to defend the medical association or individuals other than a claim for vicarious liability of the medical association and that it had a right to control the defence. A former member of the board of the medical association commenced an action against the insureds alleging that they defamed her on numerous occasions and that the defamatory publications were part of a campaign of vilification, published by the insureds with an intent to injure her and with knowledge of their falsity. In addition, she alleged that the insureds breached provisions of the Society Act and the terms of the contract between the medical association and its members. The medical association was alleged to be both directly and vicariously liable. The insureds were insured under several policies issued by the insurer, which included coverage for defamation claims, but excluded coverage for acts of intentional wrongdoing. The insureds provided the claim to the insurer, who denied coverage on the basis that the claims against the insureds related to damage that was caused intentionally. However, the insurer acknowledged it had a duty to defend the medical association in the claim that it was vicariously liable for the actions of the individuals and it identified counsel it wished to appoint to defend that claim. The insureds took the position that the insurer had a duty to provide a defence for both the medical association and the individual plaintiffs because the statement of claim in the underlying action all contain a pleading of defamation and the plaintiff in that action could recover at trial for defamation simpliciter, absent a finding of intentional wrongdoing. In addition, the insureds asserted that as they and the insurer were in a position of conflict arising from conduct that was to be litigated in the underlying action, the insurer was not entitled to control the defence.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8" w:name="Holdings of Court_11"/>
            <w:bookmarkEnd w:id="108"/>
            <w:r>
              <w:rPr>
                <w:rFonts w:ascii="arial" w:eastAsia="arial" w:hAnsi="arial" w:cs="arial"/>
                <w:color w:val="000000"/>
                <w:sz w:val="20"/>
                <w:lang w:val="en-US" w:eastAsia="en-US" w:bidi="ar-SA"/>
              </w:rPr>
              <w:t>HELD: Application by insureds allowed and application by insurer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former member's claims of defamation and malicious falsehood would, if true, fall outside the claim of coverage. However, the defamation claim was not derivative as the plea of defamation was in no way subservient to the allegations of intentional misconduct and if those allegations were removed, sufficient facts remained to support a pleading of defamation. The insurer was not entitled to exercise any right to control the defence of the insured as the conflict between the interests of the insureds and the insurer was too substantial to ignore.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9" w:name="Legislation Cited_11"/>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2"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Society Act, </w:t>
      </w:r>
      <w:hyperlink r:id="rId337" w:history="1">
        <w:r>
          <w:rPr>
            <w:rFonts w:ascii="arial" w:eastAsia="arial" w:hAnsi="arial" w:cs="arial"/>
            <w:i/>
            <w:color w:val="0077CC"/>
            <w:sz w:val="20"/>
            <w:u w:val="single"/>
            <w:shd w:val="clear" w:color="auto" w:fill="FFFFFF"/>
            <w:lang w:val="en-US" w:eastAsia="en-US" w:bidi="ar-SA"/>
          </w:rPr>
          <w:t>RSBC 1996, CHAPTER 433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0" w:name="Counsel_15"/>
      <w:bookmarkEnd w:id="1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British Columbia Medical Association in Action #S110215: Richard J. Berrow and Gavin 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Plaintiffs in Action No. S110213: Andrea N. MacKay.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Scott G. Cordell.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15"/>
      <w:bookmarkEnd w:id="111"/>
      <w:r>
        <w:pict>
          <v:line id="_x0000_s1104" style="position:absolute;z-index:2518272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October 20, 2011;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C.J. ROSS J."/>
            <w:bookmarkEnd w:id="112"/>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actions are the result of a coverage dispute between the insurer Aviva Insurance Company of Canada ("Aviva"), and both the British Columbia Medical Association (Canadian Medical Association - B.C. Division) ("BCMA" and the plaintiff in Action No. S110215), and Geoffrey Marsden Appleton, Brian David Brodie, William John Riddell Cavers, Bradley Allen Fritz, Michael John Golbey, Nasirmohamed Jetha, Margaret Anne MacDiarmid, John William Mackie, Robin David Saunders, Mark David Schonfeld, Barry John Turchen, John Michael Morris Turner, Geraldine Vance and Carole Lynn Williams (the "Individuals" and the plaintiffs in Action No. S110213). It is common ground that BCMA and the Individuals (the "Insured") are insured under several policies issued by Aviva.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coverage dispute relates to an action brought by Dr. Caroline Wang, a former member of the BCMA board, against the Insured (the "Underlying Action"). In the Underlying Action, Dr. Wang alleges that the defendants defamed her on numerous occasions. The defamatory publications were said to be part of a "campaign of vilification", published by the defendants with an intent to injure her and with knowledge of their falsity.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relevant insurance provides for coverage for defamation claims, but excludes coverage for acts of intentional wrongdoing. The Insured have taken the position that Aviva has a duty to provide a defence for both BCMA and the Individuals because the Statements of Claim in the underlying action all contain a pleading of defamation. Hence, they submit that there is a prospect that Dr. Wang could recover at trial for defamation simpliciter, absent a finding of intentional wrongdoing by any or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Aviva has taken the position that because Dr. Wang has alleged that all of the defamatory publications were published with the intention to harm and with knowledge that they are false, the claims against the Insured with respect to direct liability are excluded from coverage. Accordingly, Aviva says there is no duty to defend the Insured on this basis. Aviva acknowledges the pleading that BCMA is vicariously liable for the Individuals' acts imposes a duty on them to defend BCMA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second issue is with respect to the control of the defence. The Insured assert that Aviva and the Insured are in a position of conflict arising from conduct that will be litigated in the Underlying Action. In their submission, it follows that Aviva is not entitled to control the defence. Aviva asserts that there is no conflict that would necessitate the loss of their ability to control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three applications before the Court, each seeking summary judgment pursuant to Rule 9-7:</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Individuals seek the following relief:</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Respondent Aviva Insurance Company of Canada ("Aviva") is, and at all material times has been, under an obligation to pay for the defence of certain directors, executive officers, employees and volunteer workers of the British Columbia Medical Association ("BCMA"), namely Geoffrey Marsden Appleton, Brian David Brodie, William John Riddell Cavers, Bradley Allen Fritz, Michael John Golbey, Nasirmohamed Jetha, Margaret Anne MacDiarmid, John William Mackie, Robin David Saunders, Mark David Schonfeld, Barry John Turchen, John Michael Morris Turner and Geraldine Vance (the "Individuals") against the claims brought against them by Caroline Wang as set out in the Statement of Claim filed August 7, 2009 in the Supreme Court of British Columbia, Vancouver Registry Action No, 509577 (the "Wang Action"), and as set out in the Consolidated Notice of Civil Claim filed September 27, 2010 in the Wang Action (together, the "Claims").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Aviva is not entitled to exercise any right to control or participate in the defence of the Individuals against the Claims.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Aviva is not entitled to exercise any right that it might otherwise have enjoyed in connection with the conduct of the defence of the Individuals against the Claims, including as to the approval of any defence costs or settlement opportunity.</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BCMA seeks the following relief:</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Respondent Aviva Insurance Company of Canada ("Aviva") is, and at all material times has been, under an obligation to the British Columbia Medical Association ("BCMA") to pay for the defence of BCMA and certain of its directors, executive officers, employees and volunteer workers, namely Geoffrey Marsden Appleton, Brian David Brodie, William John Riddell Cavers, Bradley Allen Fritz, Michael John Golbey, Nasirmohamed Jetha, Margaret Anne MacDiarmid, John William Mackie, Robin David Saunders, Mark David Schonfeld, Barry John Turchen, John Michael Morris Turner and Geraldine Vance (the "Individuals") against the claims brought against them by Caroline Wang as set out in the Statement of Claim filed August 7, 2009 in the Supreme Court of British Columbia, Vancouver Registry Action No. S09577 (the "Wang Action"), and as set out in the Consolidated Notice of Civil Claim filed September 27, 2010 in the Wang Action (together, the "Claims").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Aviva is not entitled to exercise any right to control or participate in the defence of BCMA and the Individuals against the Claims.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Aviva is not entitled to exercise any right that it might otherwise have enjoyed in connection with the conduct of the defence of BCMA and the Individuals against the Claims, including as to the approval of any defence costs or settlement opportunity.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Aviva seeks the following relief:</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Aviva is not responsible for any defence costs incurred by BCMA in respect of Vancouver Registry Action No. S095777 (the "Underlying Proceeding") from January 13, 2010 to the date of this application.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Aviva does not owe a duty to defend BCMA pursuant to the Aviva Policies with respect to those claims made against BCMA in the Consolidated Notice of Civil Claim filed September 27, 2010 in the Underlying Proceeding, other than the claim it is vicariously liable for Unlawful Expression.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Aviva has the right to direct and control the defence of BCMA in the Underlying Proceeding, and the right to select and retain counsel of its choice pursuant to the Building Policy, subject to its reservation of rights and BCMA's right to associate in the Defence.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the cost of defending BCMA in the Underlying Proceedings be apportioned between Aviva, BCMA, and/or BCMA's other insurers, at the conclusion of the Underlying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BCMA is a voluntary association of British Columbia's physicians, medical residents, and medical students. It has over 11,000 members with about 8,500 inactive medical practitioners, representing approximately 95% of practicing physicians in British Columbia. BCMA is governed by a Board of Directors, currently consisting of 37 members. Its work is carried out and supported by its Officers, and an Executive Committee of the Board, consisting of the Officers, two elected Directors, and the elected Chair of the Board, working with the CEO and other senior staff. The governance structure of BCMA includes a number of committees, including the Audit and Finance Committee, Governance and Nominating Committee, Human Resources and Compensation Committee, Negotiating Committee, Tariff Committee and Review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BCMA negotiates on behalf of physicians for their compensation. It is also responsible for setting medical service fee schedules and negotiating schedules of benefits paid by the Medical Services Plan, as well as representing sessional, salaried, and other alternate payment physicians. BCMA has a role with respect to efforts to improve medical education, health care legislation, and the delivery of hospital and other healthcare services. Meetings of the Board and other bodies within the governance structure of BCMA, including the General Assembly, involve discussion and debate about the affairs of BCMA and its members, including the manner in which physicians in different areas of practice are to be compensated, and the conduct of negotiations between BCMA and the provincial government concerning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Individuals are certain executive officers, directors, employees and volunteers of BCMA who were named as defendants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BCMA has had a relationship with Aviva and its predecessors since 2002. BCMA purchased insurance coverage from Aviva for its own benefit and for that of its directors, officers, and others. The insurance coverage was purchased through an insurance brokerage firm known as Mardon Group Insurance ("Mardon").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applications of the Insured address the commercial general liability coverage ("CGL") under three Aviva policies: the BCMA Package Program Policy; the Commercial Umbrella Policy; and the Prime Realty Policy. (collectively, the "Aviva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key terms of the Aviva Policies are:</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coverage grant for third party claims alleging libel, slander, or disparagement of a person's services, including the duty to defend such claims,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exclusions for knowing violation of the rights of another, publication with knowledge of falsity,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Pursuant to the CGL sections of the Aviva Policies, the Insured enjoy coverage in respect of claims against them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"Personal and Advertising injury", which is defined in each of the Aviva Policies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and advertising injury" means injury, including consequential "bodily injury", arising out of one or more of the following offenses: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False arrest, detention or imprisonment;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 prosecution;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wrongful eviction from, wrongful entry into, or invasion of the right of private occupancy of a room, dwelling or premises that a person occupies, committed by or on behalf of its owner, landlord or lessor;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Oral or written publication, in any manner, of material that slanders or libels a person or organization or disparages a person's or organization's goods, products or services;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Oral or written publication, in any manner, of material that violates a person's right of privacy;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another's advertising idea in your "advertisement";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Infringing upon another's copyright, trade dress or slogan in your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particular, the Aviva Policies provide coverage for Personal and Advertising injury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B - PERSONAL and ADVERTISING INJURY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Insuring Agreement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pay those sums that the insured becomes legally obligated to pay as "compensatory damages" because of "personal and advertising injury" to which this insurance applies. We will have the right and duty to defend the insured against any "action" seeking those "compensatory damages". However, we will have no duty to defend the insured against any "action" seeking "compensatory damages" for "personal and advertising injury" to which this insurance does not apply. We may, at our discretion, investigate any offense and settle any claim or "action" that may result. ...</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insurance applies to "personal and advertising injury" caused by an offense arising out of your business but only if the offense was committed in the "coverage territory" during the policy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Exclusions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does not apply to:</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violation of rights of another "Personal and advertising injury" caused by or at the direction of the insured with the knowledge that the act would violate the rights of another and would inflict "personal and advertising injury".</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published with knowledge of falsity "Personal and advertising injury" arising out of oral or written publication of material, if done by or at the direction of the insured with knowledge of its falsity.</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and advertising injury" arising out of a breach of contract, except an implied contract to use another's advertising idea in your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Aviva Policies define the terms "Compensatory damages" and "Action", respectively,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Compensatory damages</w:t>
      </w:r>
      <w:r>
        <w:rPr>
          <w:rFonts w:ascii="arial" w:eastAsia="arial" w:hAnsi="arial" w:cs="arial"/>
          <w:color w:val="000000"/>
          <w:sz w:val="20"/>
          <w:lang w:val="en-US" w:eastAsia="en-US" w:bidi="ar-SA"/>
        </w:rPr>
        <w:t>" means damages due or awarded in payment for actual injury or economic loss. "Compensatory damages" does not include punitive or exemplary damages or the multiple portion of any multiplied damage awards.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Action</w:t>
      </w:r>
      <w:r>
        <w:rPr>
          <w:rFonts w:ascii="arial" w:eastAsia="arial" w:hAnsi="arial" w:cs="arial"/>
          <w:color w:val="000000"/>
          <w:sz w:val="20"/>
          <w:lang w:val="en-US" w:eastAsia="en-US" w:bidi="ar-SA"/>
        </w:rPr>
        <w:t>" means a civil proceeding in which "compensatory damages" because of "bodily injury", "property damage" or "personal and advertising injury" [or an act, error or omission] to which this insurance applies are alleged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respect of the defence of claims, the Aviva Policies state that Aviva will have "the right and duty to defend the insured against any 'action' seeking those 'Compensatory Damages'", i.e. for "Personal and Advertising injury", excluding those "to which this insurance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term "Coverage Territory" is defined in the BCMA Package Program Policy and the Realty Policies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territory" means:</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and the United States of America (including its territories and possessions).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And the term "coverage territory" is defined in the Commercial Umbrella Policy as meaning "anywhere in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the purpose of CGL coverage, the Aviva Policies define "Insureds" as including directors, officers, employees, volunteer workers, and shareholders. For example, the BCMA Package Program Policy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2 - WHO IS AN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If you are: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organization other than a partnership, limited liability partnership, joint venture or limited liability company, you are an insured. Your "executive officers" and directors are insureds, but only with respect to their duties as your officers or directors. Your shareholders are also insureds, but only with respect to their liability as shareholders.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following is also an insured with respect to all coverages except Coverage F -- Employee Benefits Liability: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"volunteer workers" only while performing duties related to the conduct of your business, or your "employees", other than either your "executive officers" (if you are an organization other than a partnership, limited liability partnership, joint venture or limited liability company) or your managers (if you are a limited liability company), but only for acts within the scope of their employment by your or while performing duties related to the conduct of your business. However, none of these "employees" or "volunteer workers" are insured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"Bodily injury" or "personal and advertising injury":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you, to your partners or members (if you are a partnership, limited liability partnership or joint venture), to your members (if you are a limited liability company), to a "co-employee" while in the course of his or her employment or performing duties related to the conduct of your business, or to your other "volunteer workers" while performing duties related to the conduct of your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Aviva Policies define the terms "executive officers", "volunteer workers" and "employees"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Executive Officer</w:t>
      </w:r>
      <w:r>
        <w:rPr>
          <w:rFonts w:ascii="arial" w:eastAsia="arial" w:hAnsi="arial" w:cs="arial"/>
          <w:color w:val="000000"/>
          <w:sz w:val="20"/>
          <w:lang w:val="en-US" w:eastAsia="en-US" w:bidi="ar-SA"/>
        </w:rPr>
        <w:t>" means a person holding any of the officer positions created by your charter, constitution, by-laws or any other similar governing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Employee</w:t>
      </w:r>
      <w:r>
        <w:rPr>
          <w:rFonts w:ascii="arial" w:eastAsia="arial" w:hAnsi="arial" w:cs="arial"/>
          <w:color w:val="000000"/>
          <w:sz w:val="20"/>
          <w:lang w:val="en-US" w:eastAsia="en-US" w:bidi="ar-SA"/>
        </w:rPr>
        <w:t>" includes a "leased worker". Employee does not include a "temporary worker".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Volunteer worker</w:t>
      </w:r>
      <w:r>
        <w:rPr>
          <w:rFonts w:ascii="arial" w:eastAsia="arial" w:hAnsi="arial" w:cs="arial"/>
          <w:color w:val="000000"/>
          <w:sz w:val="20"/>
          <w:lang w:val="en-US" w:eastAsia="en-US" w:bidi="ar-SA"/>
        </w:rPr>
        <w:t>" means a person who is not your "employee", and who donates his or her work and acts at the direction of and within the scope of duties determined by you, and is not paid a fee, salary or other compensation by you or anyone else for their work performed for you.</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Underlying Action and Coverage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September 2008, Mardon provided David Porter of Advance Claims (the outside adjuster appointed by Aviva), with notice that Dr. Wang was threatening to commence a defamation action against BCMA and some of its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Wang commenced the Underlying Action by Writ of Summons and Statement of Claim filed August 7, 2009 (the "Initial Statement of Claim"). The defendants named are BCMA, the Individuals and a series of unknown defendants. Under the heading "Campaign of Vilification Actuated by Malice and Bad Faith", paras. 24 to 27 provided in part: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on or about February 2, 2008 the defendants have each in bad faith engaged in a campaign of malicious public attacks on the plaintiff characterized by the defamatory expression, injurious falsehoods and negligent misstatements (collectively hereinafter referred to as the "Unlawful Expression") particularized in paragraphs 57 to 174 of this statement of claim.</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maliciously published the Unlawful Expression for which each is responsible with the knowledge that the meanings conveyed by that expression were false, or alternatively, with reckless indifference whether those meanings were true or false.</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have been guilty of reprehensible, insulting, high-handed, spiteful, malicious and oppressive conduct and such conduct by the defendants justifies the court in imposing a substantial penalty of exemplary damages on the defendants plus an award of special costs in favour of the plaintiff, in addition to an award of general damages for injury to reputation. The plaintiff will rely upon the entire conduct of the defendants before and after the commencement of this action to the date of judgment in this action.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defendants published the Unlawful Expression for which each is responsible for the dominant purpose of:</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Inflicting injury upon the plaintiff because of personal spite or animosity, or a desire to obtain revenge; and/or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destroying her reputation so that the plaintiff would have no professional and political credibility with the BCMA membership thereby.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Under the heading "The Unlawful Expression - Particulars", Dr. Wang alleged instances of allegedly defamatory and disparaging expressions published by various defendants and one instance of alleged slander. In the alternative, the publications are alleged to have constituted injurious falsehoods. In the further alternative, Dr. Wang pleaded that the publications were negligent misstatements. BCMA is alleged to be both directly and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all of the instances of Unlawful Expression, Dr. Wang pleaded:</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Unlawful Publications complained of in this statement of claim have caused injury, loss and damage to the plaintiff, and were deliberately calculated by the defendants to expose the plaintiff to contempt, ridicule and hatred, and to cause other persons to shun or avoid the plaintiff, and to lower the plaintiff's reputation in the eyes of right-thinking members of the community.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motivated in publishing the words complained of in this statement of claim and in their subsequent and related conduct, by actual and express malice, which increased the injury to the plaintiff, and by increasing the mental distress and humiliation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Mardon provided the Initial Statement of Claim to Aviva through Mr. Porter, its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Insured denied all allegations of wrongdoing. BCMA retained Howard Shapray, Q.C. of the firm Shapray Cramer to defend it jointly with the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Statement of Claim was provided to Aviva sometime in October 2009. By letter dated January 13, 2010, Aviva,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denied coverage to the Individual Defendants on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bases the claims against them related to damage caused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intentionally by a purposeful and malicious campaign to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injure Dr. Wang, or were derivative of such claims, and</w:t>
      </w:r>
      <w:r>
        <w:rPr>
          <w:rFonts w:ascii="arial" w:eastAsia="arial" w:hAnsi="arial" w:cs="arial"/>
          <w:sz w:val="20"/>
          <w:lang w:val="en-US" w:eastAsia="en-US" w:bidi="ar-SA"/>
        </w:rPr>
        <w:cr/>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Aviva's policies provided coverage only for fortuitous events;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material insuring agreement in each Aviva policy required that the Unlawful Publication arise out of the conduct of BCMA's business, and intentionally caused damages resulting from a purposeful and malicious campaign to injure were not related to any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object of BCMA.</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denied coverage to BCMA on the same bases, save for the Vicariously Liability Claim, for which it acknowledged a duty to defend;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reserved its rights to deny coverage on a number of additional bases and indicated it would be appointing defence counsel to defend all of the claims against BCMA, associating with BCMA in the conduct of the defence, and reserving its rights to seek an apportionment of defence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Aviva identified Eric Dolden of the firm Dolden Wallace Folick LLP as the counsel it wished to appoint to defend BCMA.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January 29, 2010, Mardon provided Aviva with the Court of Appeal Reasons in </w:t>
      </w:r>
      <w:r>
        <w:rPr>
          <w:rFonts w:ascii="arial" w:eastAsia="arial" w:hAnsi="arial" w:cs="arial"/>
          <w:i/>
          <w:color w:val="000000"/>
          <w:sz w:val="20"/>
          <w:lang w:val="en-US" w:eastAsia="en-US" w:bidi="ar-SA"/>
        </w:rPr>
        <w:t>Wang v. BCMA</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2010 BCCA 43</w:t>
        </w:r>
      </w:hyperlink>
      <w:r>
        <w:rPr>
          <w:rFonts w:ascii="arial" w:eastAsia="arial" w:hAnsi="arial" w:cs="arial"/>
          <w:color w:val="000000"/>
          <w:sz w:val="20"/>
          <w:lang w:val="en-US" w:eastAsia="en-US" w:bidi="ar-SA"/>
        </w:rPr>
        <w:t xml:space="preserve">, issued in respect of an appeal of </w:t>
      </w:r>
      <w:r>
        <w:rPr>
          <w:rFonts w:ascii="arial" w:eastAsia="arial" w:hAnsi="arial" w:cs="arial"/>
          <w:i/>
          <w:color w:val="000000"/>
          <w:sz w:val="20"/>
          <w:lang w:val="en-US" w:eastAsia="en-US" w:bidi="ar-SA"/>
        </w:rPr>
        <w:t>Wang v. BCMA</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2008 BCSC 1559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letter dated February 2, 2010, Aviva advised through its counsel that the Reasons did not alter its position with respect to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May 5, 2010, Mardon provided Aviva with a Writ of Summons and Statement of Claim in </w:t>
      </w:r>
      <w:r>
        <w:rPr>
          <w:rFonts w:ascii="arial" w:eastAsia="arial" w:hAnsi="arial" w:cs="arial"/>
          <w:i/>
          <w:color w:val="000000"/>
          <w:sz w:val="20"/>
          <w:lang w:val="en-US" w:eastAsia="en-US" w:bidi="ar-SA"/>
        </w:rPr>
        <w:t>Caroline Wang v. BCMA,</w:t>
      </w:r>
      <w:r>
        <w:rPr>
          <w:rFonts w:ascii="arial" w:eastAsia="arial" w:hAnsi="arial" w:cs="arial"/>
          <w:color w:val="000000"/>
          <w:sz w:val="20"/>
          <w:lang w:val="en-US" w:eastAsia="en-US" w:bidi="ar-SA"/>
        </w:rPr>
        <w:t xml:space="preserve"> Registry No. S013019 (the "Breach of Contract Claim"). On July 6, 2010, Aviva denied coverage with respect to the claims advanced in the Breach of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Order dated August 26, 2010, Mr. Justice Truscott ordered the Underlying Proceeding and the Breach of Contract Claim to be consolidated and a Consolidated Notice of Civil Claim filed. BCMA then received a Consolidated Notice of Civil Claim dated September 27, 2010 (the "Current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Mardon provided Aviva with the Current Pleading on October 5, 2010. By email dated October 26, 2010, Aviva advised that the Current Pleading did not alter Aviva's position with respect to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Current Pleading repeats allegations of a campaign of overt vilification which included unlawful publications concerning Dr. Wang. It alleges that the unlawful publications were defamatory and constituted injurious falsehoods.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misstatement are no longer pleaded. Dr. Wang alleges that the defendants breached the provisions of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 xml:space="preserve"> and the terms of the contract between BCMA and its members. Dr. Wang alleges that the defendants published the unlawful publications knowing they were false or with reckless indifference to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Wang also pleads that the defendants published the unlawful publications for the dominant purpose of injuring Dr. Wang and or destroying her reputation. BCMA is alleged to be both directly and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By letter dated June 16, 2011, Aviva set out its position with respect to coverage. The letter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Aviva acknowledges receipt of the Consolidated Notice of Civil Claim (the "Consolidated Action") filed on September 27, 2010 consolidating B.C.S.C. Vancouver Registry Action No. S095777 (the "Original Unlawful Expression Action") with B.C.S.C. Vancouver Registry Action No. S103019 (the "Original Breach of Contract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Aviva is treating delivery of the Consolidated Action to it as a report of claim on behalf of the BCMA and each of the personal defendants named in the Consolidated Action (the "Individual Defendants"), under each of the following policies:</w:t>
      </w:r>
    </w:p>
    <w:p>
      <w:pPr>
        <w:numPr>
          <w:numId w:val="3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Aviva Policy No. 81215079 (the "Doctor's Office Policy");</w:t>
      </w:r>
    </w:p>
    <w:p>
      <w:pPr>
        <w:numPr>
          <w:numId w:val="3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Aviva Policy No. 81332521, which is an umbrella policy over the Doctor's Office Policy (the "Umbrella Policy");</w:t>
      </w:r>
    </w:p>
    <w:p>
      <w:pPr>
        <w:numPr>
          <w:numId w:val="3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Aviva Prime Realty Policy No. REA 81357445 (the "Building Policy"); and</w:t>
      </w:r>
    </w:p>
    <w:p>
      <w:pPr>
        <w:numPr>
          <w:numId w:val="3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applicable Homeowner Policy held by a personal Defendant in the Consolidated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of these policies (referred to collectively as the "Aviva Policies") was issued to the BCMA as the names insured, and in effect at the material times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Aviva reiterated the position it took in its letter of July 6, 2010 that there was no coverage for the claim advanced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respect to the claims in relation to the alleged Unlawful Publications, Aviva stated there is no coverage under any of the Aviva Policies for the Unlawful Expression claims advanced against the Individual Defendants in the Consolidated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claims are for damage caused intentionally by a purposeful and malicious campaign to injure Dr. Wang and destroy her reputation. Coverage for the unlawful expression claims against the Individual Defendants is vitiated by the doctrine of fortuity. It falls to the each of Individual Defendants to defend all of the claims against them and pay any damages which may be awarded against them. Aviva will not be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same reason, there is no coverage under any of the Aviva Policies for any of the unlawful expression claims advanced against the BCMA, except for the Vicarious Liability Claim. No indemnity will be provided to the BCMA in respect of the claims other than the Vicarious Liability Claim. The cost of defending the claims other than the Vicarious Liability Claim is the responsibility of the BCMA.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Aviva's coverage position remains consistent with its coverage position for the claims in the Original Unlawful Expression Action, communicated to the BCMA through Mardon Group Insurance in our correspondence of January 13,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Aviva continues to assert that it has the right to control the defence of the BCMA in the consolidated Action and seek an apportionment of defence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parties are in substantial agreement with respect to the relevant legal principles. The general principles concerning the interpretation of insurance policies were set out by the Supreme Court of Canada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at paras. 22-24. I have summarized some of them here:</w:t>
      </w:r>
      <w:r>
        <w:rPr>
          <w:rFonts w:ascii="arial" w:eastAsia="arial" w:hAnsi="arial" w:cs="arial"/>
          <w:sz w:val="20"/>
          <w:lang w:val="en-US" w:eastAsia="en-US" w:bidi="ar-SA"/>
        </w:rPr>
        <w:cr/>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interpretive principle is that when the policy is unambiguous, the court should give effect to the clear language of the policy, reading the policy as a whole. The focus of the exercise is on the language of the policy;</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language of the policy is ambiguous, the general rules of contract construction are to be employed. These include preferring constructions that are consistent with the reasonable expectations of the parties, avoiding constructions that would not have been in the contemplation of the parties, and ensuring that similar policies are interpreted in a consistent fashion;</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these rules of construction fail to resolve an ambiguity,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is applied against the insurer. One corollary of this rule is that coverage provisions are to be construed broadly and exclusion clauses are to be given a narrow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Also, policies are to be interpreted as they would be understood by the average person applying for insurance not as they might be viewed by someone "versed in the niceties of insurance law" (see </w:t>
      </w:r>
      <w:r>
        <w:rPr>
          <w:rFonts w:ascii="arial" w:eastAsia="arial" w:hAnsi="arial" w:cs="arial"/>
          <w:i/>
          <w:color w:val="000000"/>
          <w:sz w:val="20"/>
          <w:lang w:val="en-US" w:eastAsia="en-US" w:bidi="ar-SA"/>
        </w:rPr>
        <w:t>National Bank of Greece (Canada) v. Katsikonouris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1029</w:t>
      </w:r>
      <w:r>
        <w:rPr>
          <w:rFonts w:ascii="arial" w:eastAsia="arial" w:hAnsi="arial" w:cs="arial"/>
          <w:color w:val="000000"/>
          <w:sz w:val="20"/>
          <w:lang w:val="en-US" w:eastAsia="en-US" w:bidi="ar-SA"/>
        </w:rPr>
        <w:t xml:space="preserve"> at p. 1043).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pleadings govern the duty to provide a defence (see </w:t>
      </w:r>
      <w:r>
        <w:rPr>
          <w:rFonts w:ascii="arial" w:eastAsia="arial" w:hAnsi="arial" w:cs="arial"/>
          <w:i/>
          <w:color w:val="000000"/>
          <w:sz w:val="20"/>
          <w:lang w:val="en-US" w:eastAsia="en-US" w:bidi="ar-SA"/>
        </w:rPr>
        <w:t>Monenco Ltd. v. Commonwealth Insurance Company</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at para. 28). An insurer, under a liability policy stating a duty to defend, is required to provide for a defence where facts alleged in the pleadings, if proven to be true, could require the insurer to indemnify the insured for the claim. The duty is triggered by the mere possibility that a claim within the policy may succeed (see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(1990), 68 D.L.R. (4th) 321</w:t>
        </w:r>
      </w:hyperlink>
      <w:r>
        <w:rPr>
          <w:rFonts w:ascii="arial" w:eastAsia="arial" w:hAnsi="arial" w:cs="arial"/>
          <w:color w:val="000000"/>
          <w:sz w:val="20"/>
          <w:lang w:val="en-US" w:eastAsia="en-US" w:bidi="ar-SA"/>
        </w:rPr>
        <w:t xml:space="preserve"> at p. 326 (S.C.C.)). In this regard, it is the true nature of the substance of the claim that is to be determined, not the particular labels used by the pleader (see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Conservation Council of New Brunswick v. Encon Group</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2006 NBCA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the Supreme Court of Canada outlined a three step process to be applied in determining whether a duty to provide a defence arises. First, the court is to determine if the plaintiff's legal allegations are properly pleaded. In doing so the court is to look beyond the choice of labels and examine the substance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second stage is a determination if any claims are entirely derivative in nature. Where the pleadings are found to contain properly pleaded allegations of both intentional and non-intentional torts, the court must decide whether the harm allegedly inflicted by the negligent conduct is derivative of that caused by the intentional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regard, a claim will be derivative where both torts arise from the same actions and cause the same harm. If the non-intentional claim is found to be derivative, it will be subsumed into the intentional tort for the purpose of the exclusion analysis. If the underlying elements of the two claims are sufficiently disparate, the non-intentional claim will not be derivative and the duty to defend will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third stage is a determination of whether there are any properly pleaded, non-derivative claims that could fall under the policy's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Insured submit that the application of these principles require Aviva to afford both BCMA and the Individuals with a defence to Dr. Wang's claims. In particular, they submit that:</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BCMA was the "Named Insured", and each of BCMA and the Individuals were "Insureds" within the meaning of the Aviva Policies.</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represent an "Action" against BCMA and the Individuals for "compensatory damages" falling within the coverage grants found in the Aviva Policies, and in particular, within the wording of the coverage grant for claims alleging "[o]ral or written publication, in any manner, of material that slanders or libels a person or organization or disparages a person's or organization's goods, products or services" and "arising out of [BCMA's] business" (the "Disparagement Coverage").</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Wang's pleadings allow for findings of liability against the Individuals and BCMA on a basis falling within the Disparagement Coverage and not falling within any of the 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Counsel for the Insured submits that the Statements of Claim each plead a claim of defamation against BCMA and the Individuals. As discussed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at paras. 28-29: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in a defamation action is required to prove three things to obtain judgment and an award of damages: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impugned words were defamatory, in the sense that they would tend to lower the plaintiff's reputation in the eyes of a reasonable person;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in fact referred to the plaintiff;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were published, meaning that they were communicated to at least one person other than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these elements are established on a balance of probabilities, falsity and damage are presumed ... The plaintiff is not required to show that the defendant intended to do harm, or even that the defendant was careless. The tort is thus one of strict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proves the required elements, the onus then shifts to the defendant to advance a defence in order to escape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Defamation is a tort of strict liability, and in a defamation case, unless there is a plea of privilege or fair comment, the law looks at the tendency and consequences of the publication, rather than the motive or intention of the publisher. The court is not concerned with "what the motive of the person publishing the libel was, or whether he intended it to have libellous meaning or not" (see Gatley on </w:t>
      </w:r>
      <w:r>
        <w:rPr>
          <w:rFonts w:ascii="arial" w:eastAsia="arial" w:hAnsi="arial" w:cs="arial"/>
          <w:i/>
          <w:color w:val="000000"/>
          <w:sz w:val="20"/>
          <w:lang w:val="en-US" w:eastAsia="en-US" w:bidi="ar-SA"/>
        </w:rPr>
        <w:t>Libel and Slander</w:t>
      </w:r>
      <w:r>
        <w:rPr>
          <w:rFonts w:ascii="arial" w:eastAsia="arial" w:hAnsi="arial" w:cs="arial"/>
          <w:color w:val="000000"/>
          <w:sz w:val="20"/>
          <w:lang w:val="en-US" w:eastAsia="en-US" w:bidi="ar-SA"/>
        </w:rPr>
        <w:t xml:space="preserve">, 11th ed. (London: Sweet &amp; Maxwell, 2008) at pg. 14; </w:t>
      </w:r>
      <w:r>
        <w:rPr>
          <w:rFonts w:ascii="arial" w:eastAsia="arial" w:hAnsi="arial" w:cs="arial"/>
          <w:i/>
          <w:color w:val="000000"/>
          <w:sz w:val="20"/>
          <w:lang w:val="en-US" w:eastAsia="en-US" w:bidi="ar-SA"/>
        </w:rPr>
        <w:t>Nevill v. Fine Arts Co.</w:t>
      </w:r>
      <w:r>
        <w:rPr>
          <w:rFonts w:ascii="arial" w:eastAsia="arial" w:hAnsi="arial" w:cs="arial"/>
          <w:color w:val="000000"/>
          <w:sz w:val="20"/>
          <w:lang w:val="en-US" w:eastAsia="en-US" w:bidi="ar-SA"/>
        </w:rPr>
        <w:t xml:space="preserve">, [1895] 2 Q.B. 156 at p. 168 (Eng. C.A.); </w:t>
      </w:r>
      <w:r>
        <w:rPr>
          <w:rFonts w:ascii="arial" w:eastAsia="arial" w:hAnsi="arial" w:cs="arial"/>
          <w:i/>
          <w:color w:val="000000"/>
          <w:sz w:val="20"/>
          <w:lang w:val="en-US" w:eastAsia="en-US" w:bidi="ar-SA"/>
        </w:rPr>
        <w:t>Newton v. Vancouver (City)</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(1932), 46 B.C.R. 67</w:t>
        </w:r>
      </w:hyperlink>
      <w:r>
        <w:rPr>
          <w:rFonts w:ascii="arial" w:eastAsia="arial" w:hAnsi="arial" w:cs="arial"/>
          <w:color w:val="000000"/>
          <w:sz w:val="20"/>
          <w:lang w:val="en-US" w:eastAsia="en-US" w:bidi="ar-SA"/>
        </w:rPr>
        <w:t xml:space="preserve"> at p. 72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the Insured notes that the exclusions in the Aviva Policies with respect to defamation or disparagement are "knowing violation of the rights of another" and publication "with knowledge of falsity". However, a defamation plaintiff does not have to show that the defendant had knowledge of the falsity of the utterances or that the defendant had any blameworthy mental state in order to succeed. The Aviva Policies in this regard do not exclude intentional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Insured submit that if they were found liable for every instance of "Unlawful Expression" raised in the Consolidated Claim on the basis that these words were defamatory or disparaging of Dr. Wang, but these words were not published with knowing falsity or with foreknowledge that the publication violated Dr. Wang's rights, Aviva would be required to indemnify.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Insured submit that even if the court were to find that the Insured were actuated by malice, Dr. Wang's claims could still result in coverage for indemnity under the Aviva Policies. "Malice" can be established even where the defendants did not know the falsity of their statements, or did not know they were violating the plaintiff's rights.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Madam Justice Kirkpatrick says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defendant is actuated by malice if he or she publishes the comment:</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was false; or</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whether it is true or false; or</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dominant purpose of injuring the plaintiff because of spite or animosity; or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Insured note that while the Current Pleading contains allegations of breach of contract, the alleged breaches are linked to the damage allegedly suffered because of the defamation. Therefore, the essential character of the claim is one of defamation and disparagement.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cited a number of American decisions in which the pleading of intentional misconduct did not relieve an insurer of the duty to defend where the insured could be found liable without proof of intentional misconduct; in other words, where the plaintiff could succeed without proving intentional misconduct (see </w:t>
      </w:r>
      <w:r>
        <w:rPr>
          <w:rFonts w:ascii="arial" w:eastAsia="arial" w:hAnsi="arial" w:cs="arial"/>
          <w:i/>
          <w:color w:val="000000"/>
          <w:sz w:val="20"/>
          <w:lang w:val="en-US" w:eastAsia="en-US" w:bidi="ar-SA"/>
        </w:rPr>
        <w:t>Aearo Corporation v. American International Specialty Lines Insurance Company</w:t>
      </w:r>
      <w:r>
        <w:rPr>
          <w:rFonts w:ascii="arial" w:eastAsia="arial" w:hAnsi="arial" w:cs="arial"/>
          <w:color w:val="000000"/>
          <w:sz w:val="20"/>
          <w:lang w:val="en-US" w:eastAsia="en-US" w:bidi="ar-SA"/>
        </w:rPr>
        <w:t xml:space="preserve">, 2009 U.S. Dist. LEXIS 117823, 676 F.Supp.2d 738 (S.D. Ind.); </w:t>
      </w:r>
      <w:r>
        <w:rPr>
          <w:rFonts w:ascii="arial" w:eastAsia="arial" w:hAnsi="arial" w:cs="arial"/>
          <w:i/>
          <w:color w:val="000000"/>
          <w:sz w:val="20"/>
          <w:lang w:val="en-US" w:eastAsia="en-US" w:bidi="ar-SA"/>
        </w:rPr>
        <w:t>Orlando Nightclub Enterprises, Inc. v. James River Insurance Company</w:t>
      </w:r>
      <w:r>
        <w:rPr>
          <w:rFonts w:ascii="arial" w:eastAsia="arial" w:hAnsi="arial" w:cs="arial"/>
          <w:color w:val="000000"/>
          <w:sz w:val="20"/>
          <w:lang w:val="en-US" w:eastAsia="en-US" w:bidi="ar-SA"/>
        </w:rPr>
        <w:t xml:space="preserve">, 2007 U.S. Dist. LEXIS 88320 (M.D. Fla.); </w:t>
      </w:r>
      <w:r>
        <w:rPr>
          <w:rFonts w:ascii="arial" w:eastAsia="arial" w:hAnsi="arial" w:cs="arial"/>
          <w:i/>
          <w:color w:val="000000"/>
          <w:sz w:val="20"/>
          <w:lang w:val="en-US" w:eastAsia="en-US" w:bidi="ar-SA"/>
        </w:rPr>
        <w:t>Cincinnati Insurance Company v. Trosch</w:t>
      </w:r>
      <w:r>
        <w:rPr>
          <w:rFonts w:ascii="arial" w:eastAsia="arial" w:hAnsi="arial" w:cs="arial"/>
          <w:color w:val="000000"/>
          <w:sz w:val="20"/>
          <w:lang w:val="en-US" w:eastAsia="en-US" w:bidi="ar-SA"/>
        </w:rPr>
        <w:t xml:space="preserve">, 2008 U.S. App. LEXIS 5865, 271 Fed. Appx. 205 (3rd Cir.) (applying Pennsylvania law); </w:t>
      </w:r>
      <w:r>
        <w:rPr>
          <w:rFonts w:ascii="arial" w:eastAsia="arial" w:hAnsi="arial" w:cs="arial"/>
          <w:i/>
          <w:color w:val="000000"/>
          <w:sz w:val="20"/>
          <w:lang w:val="en-US" w:eastAsia="en-US" w:bidi="ar-SA"/>
        </w:rPr>
        <w:t>Park Place Entertainment Corporation v. Transcontinental Insurance Company</w:t>
      </w:r>
      <w:r>
        <w:rPr>
          <w:rFonts w:ascii="arial" w:eastAsia="arial" w:hAnsi="arial" w:cs="arial"/>
          <w:color w:val="000000"/>
          <w:sz w:val="20"/>
          <w:lang w:val="en-US" w:eastAsia="en-US" w:bidi="ar-SA"/>
        </w:rPr>
        <w:t xml:space="preserve">, 2002 U.S. Dist. LEXIS 18772, 225 F.Supp.2d 406 (S.D.N.Y.); </w:t>
      </w:r>
      <w:r>
        <w:rPr>
          <w:rFonts w:ascii="arial" w:eastAsia="arial" w:hAnsi="arial" w:cs="arial"/>
          <w:i/>
          <w:color w:val="000000"/>
          <w:sz w:val="20"/>
          <w:lang w:val="en-US" w:eastAsia="en-US" w:bidi="ar-SA"/>
        </w:rPr>
        <w:t>Utica Mutual Insurance Company v. The David Agency Insurance, Inc.</w:t>
      </w:r>
      <w:r>
        <w:rPr>
          <w:rFonts w:ascii="arial" w:eastAsia="arial" w:hAnsi="arial" w:cs="arial"/>
          <w:color w:val="000000"/>
          <w:sz w:val="20"/>
          <w:lang w:val="en-US" w:eastAsia="en-US" w:bidi="ar-SA"/>
        </w:rPr>
        <w:t>, 2004 U.S. Dist. LEXIS 12434, 327 F.Supp.2d 922 (N.D.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Aviva submits that for the purpose of the present analysis, Dr. Wang's Current Pleading includes clear factual allegations that the Unlawful Expressions were part of a "campaign of vilification and malicious public attacks", characterized by the Insured's publications. Dr. Wang alleges that each instance of publication occurred with those responsible acting maliciously, knowing the meanings conveyed were false or not caring if they were, for the dominant purposes of injuring her and destroying her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Aviva argues that the pleadings must be taken as true, that they are quite precise, and that they do not include alternative pleadings as to intent. The gravamen of Dr. Wang's complaint is that the individual intentional actions to injure her were part of an organized effort to cause her the very harm for which relief is sought. In these regards, the Current Pleading is not materially different than the claims advanced against the Insured in the original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Aviva does not dispute that an action in defamation may succeed without evidence that the defendant published defamatory words with intention to injure. However, it submits that in this case, Dr. Wang did plead such an intention in clear and explicit terms. She alleges that everything that occurred was part of a purposeful campaign to cause her the very injury for which she is seeking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submits that the Insured's submission in effect seeks to have the court assume only some of the pleaded facts are true. However, it is submitted that in conducting the analysis, the court must assume the truth of all of the factual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Aviva relied upon a number of American authorities which support the proposition that claims of libel and slander which are alleged to be part of a deliberate and knowing plan to injure, do not trigger a duty to defend under typical "personal injury" wordings. These typically recognize a distinction between an intentional act and an intended injury, finding there is no coverage for defamation pleadings related to the latter based upon explicit provisions recognizing the fortuity principal fundamental to every policy of liability insurance, or public policy considerations related to fortuity (see </w:t>
      </w:r>
      <w:r>
        <w:rPr>
          <w:rFonts w:ascii="arial" w:eastAsia="arial" w:hAnsi="arial" w:cs="arial"/>
          <w:i/>
          <w:color w:val="000000"/>
          <w:sz w:val="20"/>
          <w:lang w:val="en-US" w:eastAsia="en-US" w:bidi="ar-SA"/>
        </w:rPr>
        <w:t>Insura Prop. &amp; Cas. Ins. Co. v. Ashe</w:t>
      </w:r>
      <w:r>
        <w:rPr>
          <w:rFonts w:ascii="arial" w:eastAsia="arial" w:hAnsi="arial" w:cs="arial"/>
          <w:color w:val="000000"/>
          <w:sz w:val="20"/>
          <w:lang w:val="en-US" w:eastAsia="en-US" w:bidi="ar-SA"/>
        </w:rPr>
        <w:t xml:space="preserve">, 2003 WL 253255 (Tenn.Ct.App.); </w:t>
      </w:r>
      <w:r>
        <w:rPr>
          <w:rFonts w:ascii="arial" w:eastAsia="arial" w:hAnsi="arial" w:cs="arial"/>
          <w:i/>
          <w:color w:val="000000"/>
          <w:sz w:val="20"/>
          <w:lang w:val="en-US" w:eastAsia="en-US" w:bidi="ar-SA"/>
        </w:rPr>
        <w:t>Monumental Life Insurance Company v. US F &amp; G</w:t>
      </w:r>
      <w:r>
        <w:rPr>
          <w:rFonts w:ascii="arial" w:eastAsia="arial" w:hAnsi="arial" w:cs="arial"/>
          <w:color w:val="000000"/>
          <w:sz w:val="20"/>
          <w:lang w:val="en-US" w:eastAsia="en-US" w:bidi="ar-SA"/>
        </w:rPr>
        <w:t xml:space="preserve">, 94 Md. App. 505 (1993); </w:t>
      </w:r>
      <w:r>
        <w:rPr>
          <w:rFonts w:ascii="arial" w:eastAsia="arial" w:hAnsi="arial" w:cs="arial"/>
          <w:i/>
          <w:color w:val="000000"/>
          <w:sz w:val="20"/>
          <w:lang w:val="en-US" w:eastAsia="en-US" w:bidi="ar-SA"/>
        </w:rPr>
        <w:t>Cincinnati Ins. Co. v. Shanahan</w:t>
      </w:r>
      <w:r>
        <w:rPr>
          <w:rFonts w:ascii="arial" w:eastAsia="arial" w:hAnsi="arial" w:cs="arial"/>
          <w:color w:val="000000"/>
          <w:sz w:val="20"/>
          <w:lang w:val="en-US" w:eastAsia="en-US" w:bidi="ar-SA"/>
        </w:rPr>
        <w:t xml:space="preserve">, 2008 WL 4426116 (C.D.Ill.); </w:t>
      </w:r>
      <w:r>
        <w:rPr>
          <w:rFonts w:ascii="arial" w:eastAsia="arial" w:hAnsi="arial" w:cs="arial"/>
          <w:i/>
          <w:color w:val="000000"/>
          <w:sz w:val="20"/>
          <w:lang w:val="en-US" w:eastAsia="en-US" w:bidi="ar-SA"/>
        </w:rPr>
        <w:t>Continental Casualty Co. v. Schaubel</w:t>
      </w:r>
      <w:r>
        <w:rPr>
          <w:rFonts w:ascii="arial" w:eastAsia="arial" w:hAnsi="arial" w:cs="arial"/>
          <w:color w:val="000000"/>
          <w:sz w:val="20"/>
          <w:lang w:val="en-US" w:eastAsia="en-US" w:bidi="ar-SA"/>
        </w:rPr>
        <w:t>, 380 So.2d 483 (1980 Fla.App.3rd)).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Finally, Aviva submits that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were contained in the original Statement of Claim are derivative of the clear allegations of an intentional campaign to injure.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my view, Aviva's contention that, for purposes of the present analysis, the court must proceed on the assumption that all the facts in the alleged underlying Claim will be made out is overly restrictive. To my mind, it is also inconsistent with the principle reiterated by the court in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xml:space="preserve"> that a duty to defend exists if there is a possibility that the claims could fall within the insurance coverage. I think that it is implicit in that test that in considering the issue, the court should address possible outcomes at trial based upon the claims alleged in the statement of claim. In other words, in order to determine if there is a possibility of coverage, the court should consider the possibility that some but not all of the plaintiff's allegations will succeed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the majority in addressing the question of whether there was a duty to defend considered what the possible outcomes could be and whether the policy provided coverage for either eventuality. Concluding at paras. 43 and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there is no justification in cases of battery of a sexual nature for departing from the traditional rule that the plaintiff in a battery action must prove direct contact, at which point the onus shifts to the defendant to prove consent. To do so would be to place a burden upon plaintiffs in battery actions of a sexual nature which plaintiffs in other battery actions do not bear. I see neither the need nor the justification for doing this on the material before us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said, I agree fully with Iacobucci J. that the law will not permit a defendant in an action for sexual battery to say that though he might be found to have committed the battery, he did not intend any harm. This leaves the defendant with two alternatives discussed in </w:t>
      </w:r>
      <w:r>
        <w:rPr>
          <w:rFonts w:ascii="arial" w:eastAsia="arial" w:hAnsi="arial" w:cs="arial"/>
          <w:i/>
          <w:color w:val="000000"/>
          <w:sz w:val="20"/>
          <w:lang w:val="en-US" w:eastAsia="en-US" w:bidi="ar-SA"/>
        </w:rPr>
        <w:t>Williams, supra</w:t>
      </w:r>
      <w:r>
        <w:rPr>
          <w:rFonts w:ascii="arial" w:eastAsia="arial" w:hAnsi="arial" w:cs="arial"/>
          <w:color w:val="000000"/>
          <w:sz w:val="20"/>
          <w:lang w:val="en-US" w:eastAsia="en-US" w:bidi="ar-SA"/>
        </w:rPr>
        <w:t>. Either the plaintiff consented, in which case no action lies, or she did not consent and the defendant is deemed to have intended to injure her. In neither case does the policy provide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Mr. Justice Iacobucci characterized the task as follows at paras. 93 and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task, therefore, is to decide which of the plaintiff's legal allegations are properly pleaded, whether any of them are derivative, and whether any of the surviving claims evince an intention to injure, thus triggering the exclusion clause. To do this, it is necessary to understand precisely what the elements of the various torts alleged against the appellant are. If the elements of a tort claim require proof of conduct that also proves an intent to injure, there will be no duty to defend because any potentially successful claim would fall under the exclusion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will be seen from the following discussion, I conclude that each of the plaintiff's properly pleaded claims necessarily involves an intent to injure, because each requires proof that the appellant either knew, or should have known, that the plaintiff did not validly consent to sexual activity. Given this actual or constructive knowledge of non-consent, the law will not permit the appellant to claim that he did not intend any harm. The exclusion therefore applies because there is no claim against the appellant that, if successful, could potentially fall within coverage. There being no potentially indemnifiable claim, the respondent has no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Co-operators General Insurance Company v. Morrison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2004 NBCA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the plaintiff claimed for damages arising from a motor vehicle collision and subsequent assault at the hands of the defendant. The original statement of claim had alleged that both acts were intentional. It was conceded that the original statement of claim did not raise any claims which would be payable under the insurance and hence there would be no duty to defend. A subsequent amendment alleged that the collision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raised the possibility that some or all of the damages sustained were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Court concluded that there was a duty to defend, rejecting the submission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purely derivative. The Court considered the possible outcomes at trial in the course of its analysis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said all this, I am not convinced that, in a case such as this, a plaintiff could not claim that Mr. Morrison intentionally caused the collision in an attempt to stop the Dedam vehicle from leaving his property or, in the alternative, that he caused the injuries by driving his vehicle in a negligent manner. It is arguable, in my view, that the two torts involve different acts or conduct based upon Mr. Morrison's state of mind, one being an intentional tort and the other a non-intentional tort. The Statement of Claim would obviously contain a claim potentially within coverage. At trial, the claim based upon the intentional tort could fail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succeed. This is different from the allegations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where it was alleged in the Statement of Claim that the defendant had caused damages to the plaintiff by engaging in non-consensual sexual intercourse. In that case,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not legally viable because on the facts as alleged, there was no possibility that a claim within coverage could succeed. That is so because "[e]ither there was consensual sexual intercourse, in which case the claim would be dismissed, or there was non-consensual intercourse, in which case the claim in battery would succeed." In the latter case, the claim would not be within the coverage provided by the policy (see G. Hilliker, </w:t>
      </w:r>
      <w:r>
        <w:rPr>
          <w:rFonts w:ascii="arial" w:eastAsia="arial" w:hAnsi="arial" w:cs="arial"/>
          <w:i/>
          <w:color w:val="000000"/>
          <w:sz w:val="20"/>
          <w:lang w:val="en-US" w:eastAsia="en-US" w:bidi="ar-SA"/>
        </w:rPr>
        <w:t>Liability Insurance Law in Canada</w:t>
      </w:r>
      <w:r>
        <w:rPr>
          <w:rFonts w:ascii="arial" w:eastAsia="arial" w:hAnsi="arial" w:cs="arial"/>
          <w:color w:val="000000"/>
          <w:sz w:val="20"/>
          <w:lang w:val="en-US" w:eastAsia="en-US" w:bidi="ar-SA"/>
        </w:rPr>
        <w:t>, 3d ed. (Toronto: Butterworths, 2001), at pp. 69-71).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the present case, addressing the first stage of the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analysis, it is clear that Dr. Wang has properly pleaded a claim of defamation with respect to the Unlawful Expressions. Dr. Wang has alleged that the Unlawful Expressions formed a part of the Individuals' campaign of overt vilification and that all of the defendants published the Unlawful Expressions with knowledge of their falsity or with reckless indifference to their truth, for the dominant purpose of inflicting injury upon Dr. Wang and or destroying her reputation. It is clear that if the latter allegations were to be made out at trial, the claims would fall outside of coverage. In the alternative, Dr. Wang also advances a claim of malicious falsehood, which if made out at trial, would also fall outside of the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Are the defamation claims derivative?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Mr. Justice Iacobucci concluded that the allegation of breach of fiduciary duty was derivative since there was nothing to suggest that the breach was anything but intentional and the harm caused was identical to that of the sexual battery. He concluded that the plea of negligent misrepresentation was "entirely subservient' to the sexual battery. At para. 85 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claim should only be treated as "derivative", for the purposes of this analysis, if it is an ostensibly separate claim which nonetheless is clearly inseparable from a claim of intentional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the present case it cannot be said that the plea of defamation is in any way subservient to the allegations of intentional misconduct. Rather, those allegations can be seen as aggravating factors with respect to the defamation. Further, it is clear that the elements of the defamation claim do not require proof of conduct that proves intent to injure. Accordingly, the allegations, while related, are in my view sufficiently disparate such that it cannot be said that the defamation is derivative. If the allegations of intent to injure and knowing publication of falsehood are removed, sufficient facts remain to support a pleading of defamation (for further examples of these principles, see </w:t>
      </w:r>
      <w:r>
        <w:rPr>
          <w:rFonts w:ascii="arial" w:eastAsia="arial" w:hAnsi="arial" w:cs="arial"/>
          <w:i/>
          <w:color w:val="000000"/>
          <w:sz w:val="20"/>
          <w:lang w:val="en-US" w:eastAsia="en-US" w:bidi="ar-SA"/>
        </w:rPr>
        <w:t>Unrau v. Canadian Northern Shield Insurance Co.,</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2004 BCCA 585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Rocky Mountain House (Town of) v. Alberta Municipal Insurance Exchange</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2007 ABQB 548</w:t>
        </w:r>
      </w:hyperlink>
      <w:r>
        <w:rPr>
          <w:rFonts w:ascii="arial" w:eastAsia="arial" w:hAnsi="arial" w:cs="arial"/>
          <w:color w:val="000000"/>
          <w:sz w:val="20"/>
          <w:lang w:val="en-US" w:eastAsia="en-US" w:bidi="ar-SA"/>
        </w:rPr>
        <w:t xml:space="preserve"> at paras. 68-75).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plaintiff alleging defamation does not have to establish that the defendant had any level of knowledge or blameworthy mental state. Here, the policy exclusions address such blameworthy mental states but do not exclude publications that were made intentionally; in the sense that the defendant meant to state the words used and did not publish by accident. Nor does the coverage expressly exclude situations in which malice is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Aviva has taken the position that because the allegations relate to a purposeful campaign to intentionally injure Dr. Wang, they are wholly removed from the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objects and activities of BCMA and therefore do not fall within the coverage provided in the Aviva Polices. However, the pleadings present the possibility of defamations in the absence of knowing violation, knowledge of falsity or other form of intentional misconduct that would take the Insured's conduct out of the "business of BCMA".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agree with the submission of counsel for BCMA that the business of BCMA includes the expression of different and opposing views and promoting vigorous debate. It is possible for Dr. Wang to succeed against the defendants without a finding that the alleged defamation occurred outside the scope of the business of BCMA, which include its governance and election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Finally, with respect to the third stage, the defamation plea is a properly pleaded, non-derivative claim that could potentially trigger indemnity if it were to succeed at trial. Accordingly, I conclude that Aviva is required under the terms of its policies to provide a defence to both BCMA and the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Conduct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general, when the insurer defends against a claim it has the right to control the defence, including the right to appoint and instruct counsel. However, the right of the insurer to control the defence is not absolute (see </w:t>
      </w:r>
      <w:r>
        <w:rPr>
          <w:rFonts w:ascii="arial" w:eastAsia="arial" w:hAnsi="arial" w:cs="arial"/>
          <w:i/>
          <w:color w:val="000000"/>
          <w:sz w:val="20"/>
          <w:lang w:val="en-US" w:eastAsia="en-US" w:bidi="ar-SA"/>
        </w:rPr>
        <w:t>Brockton (Municipality) v. Frank Cowan Co.</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(2002), 57 O.R. (3d) 447</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Brockton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Brockton</w:t>
      </w:r>
      <w:r>
        <w:rPr>
          <w:rFonts w:ascii="arial" w:eastAsia="arial" w:hAnsi="arial" w:cs="arial"/>
          <w:color w:val="000000"/>
          <w:sz w:val="20"/>
          <w:lang w:val="en-US" w:eastAsia="en-US" w:bidi="ar-SA"/>
        </w:rPr>
        <w:t xml:space="preserve">, Goudge J.A., referencing the judgment in </w:t>
      </w:r>
      <w:r>
        <w:rPr>
          <w:rFonts w:ascii="arial" w:eastAsia="arial" w:hAnsi="arial" w:cs="arial"/>
          <w:i/>
          <w:color w:val="000000"/>
          <w:sz w:val="20"/>
          <w:lang w:val="en-US" w:eastAsia="en-US" w:bidi="ar-SA"/>
        </w:rPr>
        <w:t>Zurich of Canada v. Renaud &amp; Jacob,</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[1996] R.J.Q. 2160</w:t>
        </w:r>
      </w:hyperlink>
      <w:r>
        <w:rPr>
          <w:rFonts w:ascii="arial" w:eastAsia="arial" w:hAnsi="arial" w:cs="arial"/>
          <w:color w:val="000000"/>
          <w:sz w:val="20"/>
          <w:lang w:val="en-US" w:eastAsia="en-US" w:bidi="ar-SA"/>
        </w:rPr>
        <w:t xml:space="preserve"> (C.A.), stated the test to be,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the potential tension which inheres in the relationship between the insurer and the insured and which is manifested by the reservation of rights by the insurer is not per se sufficient to require the insurer to surrender control of the defence. It would too quickly cost the insurer the right it contracted for. Rather, the focus must be on the mandate given by the insurer to the counsel it appoints to conduct the defence. </w:t>
      </w:r>
      <w:r>
        <w:rPr>
          <w:rFonts w:ascii="arial" w:eastAsia="arial" w:hAnsi="arial" w:cs="arial"/>
          <w:i/>
          <w:color w:val="000000"/>
          <w:sz w:val="20"/>
          <w:lang w:val="en-US" w:eastAsia="en-US" w:bidi="ar-SA"/>
        </w:rPr>
        <w:t>Do the circumstances of the particular case create a reasonable apprehension of conflict of interest if that counsel were to act for both the insurer and the insured in defending the action?</w:t>
      </w:r>
      <w:r>
        <w:rPr>
          <w:rFonts w:ascii="arial" w:eastAsia="arial" w:hAnsi="arial" w:cs="arial"/>
          <w:color w:val="000000"/>
          <w:sz w:val="20"/>
          <w:lang w:val="en-US" w:eastAsia="en-US" w:bidi="ar-SA"/>
        </w:rPr>
        <w:t xml:space="preserve"> If the insurer puts counsel in a position of having conflicting mandates it must surrender control of the defence to an insured who wishes to retain its own counsel paid for by the insurer.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Brockton</w:t>
      </w:r>
      <w:r>
        <w:rPr>
          <w:rFonts w:ascii="arial" w:eastAsia="arial" w:hAnsi="arial" w:cs="arial"/>
          <w:color w:val="000000"/>
          <w:sz w:val="20"/>
          <w:lang w:val="en-US" w:eastAsia="en-US" w:bidi="ar-SA"/>
        </w:rPr>
        <w:t xml:space="preserve">, the Court noted that the fact that the insurer had reserved rights would not in itself be sufficient to give rise to a conflict of interest. Rather, as noted at para. 42, citing with approval the California Court of Appeal decision in </w:t>
      </w:r>
      <w:r>
        <w:rPr>
          <w:rFonts w:ascii="arial" w:eastAsia="arial" w:hAnsi="arial" w:cs="arial"/>
          <w:i/>
          <w:color w:val="000000"/>
          <w:sz w:val="20"/>
          <w:lang w:val="en-US" w:eastAsia="en-US" w:bidi="ar-SA"/>
        </w:rPr>
        <w:t>Foremost Insurance Co. v. Wilks</w:t>
      </w:r>
      <w:r>
        <w:rPr>
          <w:rFonts w:ascii="arial" w:eastAsia="arial" w:hAnsi="arial" w:cs="arial"/>
          <w:color w:val="000000"/>
          <w:sz w:val="20"/>
          <w:lang w:val="en-US" w:eastAsia="en-US" w:bidi="ar-SA"/>
        </w:rPr>
        <w:t>, 253 Cal. Rptr. 596, (1988):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Foremost Insurance Co. v. Wilks,</w:t>
      </w:r>
      <w:r>
        <w:rPr>
          <w:rFonts w:ascii="arial" w:eastAsia="arial" w:hAnsi="arial" w:cs="arial"/>
          <w:color w:val="000000"/>
          <w:sz w:val="20"/>
          <w:lang w:val="en-US" w:eastAsia="en-US" w:bidi="ar-SA"/>
        </w:rPr>
        <w:t xml:space="preserve"> 253 Cal. Rptr. 596, (1988), the California Court of Appeal made clear that not every case where the insurer elects to defend the insured under a reservation of rights creates a conflict of interest requiring the insurer to furnish independent counsel. If the reservation of rights arises because of coverage questions which depend upon an aspect of the insured's own conduct that is in issue in the underlying litigation, a conflict exists. On the other hand, where the reservation of rights is based on coverage disputes which have nothing to do with the issues being litigated in the underlying action, there is no conflict of interest requiring independent counsel paid for by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Insured take the position that there is such a conflict in the present case, in that the coverage questions will depend upon aspects of the Insured's conduct at issue in the litigation, in particular to the intention, knowledge and purpose of the defendants in the Underlying Action. Counsel cites the decisions in </w:t>
      </w:r>
      <w:r>
        <w:rPr>
          <w:rFonts w:ascii="arial" w:eastAsia="arial" w:hAnsi="arial" w:cs="arial"/>
          <w:i/>
          <w:color w:val="000000"/>
          <w:sz w:val="20"/>
          <w:lang w:val="en-US" w:eastAsia="en-US" w:bidi="ar-SA"/>
        </w:rPr>
        <w:t>Conservation Council of New Brunswick v. Encon Group</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2005 NBQB 105</w:t>
        </w:r>
      </w:hyperlink>
      <w:r>
        <w:rPr>
          <w:rFonts w:ascii="arial" w:eastAsia="arial" w:hAnsi="arial" w:cs="arial"/>
          <w:color w:val="000000"/>
          <w:sz w:val="20"/>
          <w:lang w:val="en-US" w:eastAsia="en-US" w:bidi="ar-SA"/>
        </w:rPr>
        <w:t xml:space="preserve">, aff'd </w:t>
      </w:r>
      <w:hyperlink r:id="rId341" w:history="1">
        <w:r>
          <w:rPr>
            <w:rFonts w:ascii="arial" w:eastAsia="arial" w:hAnsi="arial" w:cs="arial"/>
            <w:i/>
            <w:color w:val="0077CC"/>
            <w:sz w:val="20"/>
            <w:u w:val="single"/>
            <w:shd w:val="clear" w:color="auto" w:fill="FFFFFF"/>
            <w:lang w:val="en-US" w:eastAsia="en-US" w:bidi="ar-SA"/>
          </w:rPr>
          <w:t>2006 NBCA 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Encon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Wilkinson v. Security National Insurance Co.</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1999 ABQB 675</w:t>
        </w:r>
      </w:hyperlink>
      <w:r>
        <w:rPr>
          <w:rFonts w:ascii="arial" w:eastAsia="arial" w:hAnsi="arial" w:cs="arial"/>
          <w:color w:val="000000"/>
          <w:sz w:val="20"/>
          <w:lang w:val="en-US" w:eastAsia="en-US" w:bidi="ar-SA"/>
        </w:rPr>
        <w:t>, as support for the proposition that Aviva is not entitled to control the defence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Aviva's position is that there is no such conflict in the present case and counsel cites </w:t>
      </w:r>
      <w:r>
        <w:rPr>
          <w:rFonts w:ascii="arial" w:eastAsia="arial" w:hAnsi="arial" w:cs="arial"/>
          <w:i/>
          <w:color w:val="000000"/>
          <w:sz w:val="20"/>
          <w:lang w:val="en-US" w:eastAsia="en-US" w:bidi="ar-SA"/>
        </w:rPr>
        <w:t>PCL v. Lumbermen's Casualty Co.</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(2009), 81 C.L.R. (3d) 186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Brockton</w:t>
      </w:r>
      <w:r>
        <w:rPr>
          <w:rFonts w:ascii="arial" w:eastAsia="arial" w:hAnsi="arial" w:cs="arial"/>
          <w:color w:val="000000"/>
          <w:sz w:val="20"/>
          <w:lang w:val="en-US" w:eastAsia="en-US" w:bidi="ar-SA"/>
        </w:rPr>
        <w:t xml:space="preserve"> as authorities. They submit that it is in the interest of both BCMA and Aviva that:</w:t>
      </w:r>
      <w:r>
        <w:rPr>
          <w:rFonts w:ascii="arial" w:eastAsia="arial" w:hAnsi="arial" w:cs="arial"/>
          <w:sz w:val="20"/>
          <w:lang w:val="en-US" w:eastAsia="en-US" w:bidi="ar-SA"/>
        </w:rPr>
        <w:cr/>
      </w:r>
    </w:p>
    <w:p>
      <w:pPr>
        <w:numPr>
          <w:numId w:val="5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Unlawful Expression was not published at all (it appears there is no substantial issue about this, save one allegation of slander); or, it was not defamatory; or, if it was defamatory, that a defence is available;</w:t>
      </w:r>
    </w:p>
    <w:p>
      <w:pPr>
        <w:numPr>
          <w:numId w:val="5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instance of Unlawful Expression was not an injurious falsehood;</w:t>
      </w:r>
    </w:p>
    <w:p>
      <w:pPr>
        <w:numPr>
          <w:numId w:val="5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any Individual Defendant may have liability, that no vicarious liability should be imposed upon BCMA.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submission, however, presumes that Aviva succeeded in its argument that there was no duty to provide a defence for the Individuals. Aviva notes that the counsel who acts in this dispute is not the counsel identified by Aviva to provide the defence against the Underlying Action, and submits that any conflict issues could be resolved through a "Chinese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my view, this is a case in which, as stated in </w:t>
      </w:r>
      <w:r>
        <w:rPr>
          <w:rFonts w:ascii="arial" w:eastAsia="arial" w:hAnsi="arial" w:cs="arial"/>
          <w:i/>
          <w:color w:val="000000"/>
          <w:sz w:val="20"/>
          <w:lang w:val="en-US" w:eastAsia="en-US" w:bidi="ar-SA"/>
        </w:rPr>
        <w:t>Brockton</w:t>
      </w:r>
      <w:r>
        <w:rPr>
          <w:rFonts w:ascii="arial" w:eastAsia="arial" w:hAnsi="arial" w:cs="arial"/>
          <w:color w:val="000000"/>
          <w:sz w:val="20"/>
          <w:lang w:val="en-US" w:eastAsia="en-US" w:bidi="ar-SA"/>
        </w:rPr>
        <w:t xml:space="preserve">, the reservation of rights arises with respect to coverage questions which depend upon the Insured's conduct at issue in the underlying litigation. In </w:t>
      </w:r>
      <w:r>
        <w:rPr>
          <w:rFonts w:ascii="arial" w:eastAsia="arial" w:hAnsi="arial" w:cs="arial"/>
          <w:i/>
          <w:color w:val="000000"/>
          <w:sz w:val="20"/>
          <w:lang w:val="en-US" w:eastAsia="en-US" w:bidi="ar-SA"/>
        </w:rPr>
        <w:t>Encon,</w:t>
      </w:r>
      <w:r>
        <w:rPr>
          <w:rFonts w:ascii="arial" w:eastAsia="arial" w:hAnsi="arial" w:cs="arial"/>
          <w:color w:val="000000"/>
          <w:sz w:val="20"/>
          <w:lang w:val="en-US" w:eastAsia="en-US" w:bidi="ar-SA"/>
        </w:rPr>
        <w:t xml:space="preserve"> the insurer had argued that the appointment of separate coverage counsel addressed and resolved any conflict of interest. Russell J. rejected this contention, stating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 Co-Operators have apparently appointed separate coverage counsel and defence counsel, the insured is entitled to appoint its own counsel at the expense of Co-Operators to defend the action. I say that because whether or not there was publication or broadcasting by or on behalf of the defendants may well become an important evidentiary component of the trial. Even though the trial counsel appointed by the insurer would not be retained to canvas coverage issues it is too substantial a conflict to ignore.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Likewise, in the present case, it is my conclusion that the Insured's knowledge, purpose and intention will be a central issue at trial in the Underlying Action and the conflict presented between the interests of Aviva and the Insured in this regard is, to quote Russell J., "too substantial to ignore". In the result, I have concluded that Aviva is not entitled to exercise any right to control the defence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Insured submit, citing </w:t>
      </w:r>
      <w:r>
        <w:rPr>
          <w:rFonts w:ascii="arial" w:eastAsia="arial" w:hAnsi="arial" w:cs="arial"/>
          <w:i/>
          <w:color w:val="000000"/>
          <w:sz w:val="20"/>
          <w:lang w:val="en-US" w:eastAsia="en-US" w:bidi="ar-SA"/>
        </w:rPr>
        <w:t>Cansulex Ltd. v. Reed Stenhouse Ltd.</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(1986), 70 B.C.L.R. 273</w:t>
        </w:r>
      </w:hyperlink>
      <w:r>
        <w:rPr>
          <w:rFonts w:ascii="arial" w:eastAsia="arial" w:hAnsi="arial" w:cs="arial"/>
          <w:color w:val="000000"/>
          <w:sz w:val="20"/>
          <w:lang w:val="en-US" w:eastAsia="en-US" w:bidi="ar-SA"/>
        </w:rPr>
        <w:t>, that because of Aviva's conduct in denying coverage, it is not entitled to exercise any right that it might have otherwise enjoyed in connection with the conduct of the defence, including approval of defence costs or settlement opportunities. In the case cited, the insurers had denied coverage in a commercial claim. Cansulex had settled the claim and sought to recover from the insurer. Chief Justice McEachern held that Cansulex was entitled to recover, stating at p. 316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it is my view that an insured in the position of Cansulex need only establish the fact of coverage, the denial of liability by the insurer and the reasonableness of the settlement, subject, of course, to any other policy defences which may be available to the insurers.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in my view, that an insurer may only deny coverage at its peril and at the risk of being required to pay without there being perfect compliance with all the provisions of the policy for there is no other way of putting the insured into the position it would be in if coverage had not wrongly been denied: </w:t>
      </w:r>
      <w:r>
        <w:rPr>
          <w:rFonts w:ascii="arial" w:eastAsia="arial" w:hAnsi="arial" w:cs="arial"/>
          <w:i/>
          <w:color w:val="000000"/>
          <w:sz w:val="20"/>
          <w:lang w:val="en-US" w:eastAsia="en-US" w:bidi="ar-SA"/>
        </w:rPr>
        <w:t>Shore Boat Bldr. Ltd. v. Can. Indemnity Co.</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[1975] 2 W.W.R.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Cansulex,</w:t>
      </w:r>
      <w:r>
        <w:rPr>
          <w:rFonts w:ascii="arial" w:eastAsia="arial" w:hAnsi="arial" w:cs="arial"/>
          <w:color w:val="000000"/>
          <w:sz w:val="20"/>
          <w:lang w:val="en-US" w:eastAsia="en-US" w:bidi="ar-SA"/>
        </w:rPr>
        <w:t xml:space="preserve"> the plaintiff had concluded a settlement of the underlying claim before the determination of the coverage dispute. I note that in </w:t>
      </w:r>
      <w:r>
        <w:rPr>
          <w:rFonts w:ascii="arial" w:eastAsia="arial" w:hAnsi="arial" w:cs="arial"/>
          <w:i/>
          <w:color w:val="000000"/>
          <w:sz w:val="20"/>
          <w:lang w:val="en-US" w:eastAsia="en-US" w:bidi="ar-SA"/>
        </w:rPr>
        <w:t>Encon,</w:t>
      </w:r>
      <w:r>
        <w:rPr>
          <w:rFonts w:ascii="arial" w:eastAsia="arial" w:hAnsi="arial" w:cs="arial"/>
          <w:color w:val="000000"/>
          <w:sz w:val="20"/>
          <w:lang w:val="en-US" w:eastAsia="en-US" w:bidi="ar-SA"/>
        </w:rPr>
        <w:t xml:space="preserve"> as here, that is not the case; the coverage dispute was litigated in advance of the underlying claim. </w:t>
      </w:r>
      <w:r>
        <w:rPr>
          <w:rFonts w:ascii="arial" w:eastAsia="arial" w:hAnsi="arial" w:cs="arial"/>
          <w:i/>
          <w:color w:val="000000"/>
          <w:sz w:val="20"/>
          <w:lang w:val="en-US" w:eastAsia="en-US" w:bidi="ar-SA"/>
        </w:rPr>
        <w:t>In Encon</w:t>
      </w:r>
      <w:r>
        <w:rPr>
          <w:rFonts w:ascii="arial" w:eastAsia="arial" w:hAnsi="arial" w:cs="arial"/>
          <w:color w:val="000000"/>
          <w:sz w:val="20"/>
          <w:lang w:val="en-US" w:eastAsia="en-US" w:bidi="ar-SA"/>
        </w:rPr>
        <w:t>, the orders made by Russell J. did not go as far as those sought here by the Insured. Rather, the orders were, at para. 27:</w:t>
      </w:r>
      <w:r>
        <w:rPr>
          <w:rFonts w:ascii="arial" w:eastAsia="arial" w:hAnsi="arial" w:cs="arial"/>
          <w:sz w:val="20"/>
          <w:lang w:val="en-US" w:eastAsia="en-US" w:bidi="ar-SA"/>
        </w:rPr>
        <w:cr/>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Co-Operators is ordered to defend the defendants in the action.</w:t>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permitted to appoint their own solicitor.</w:t>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will have the conduct of the action subject to the following caveat.</w:t>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Co-Operators will pay all reasonable fees and disbursement of the solicitors appointed by the defendants.</w:t>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solicitors so appointed shall report to Co-Operators with respect to matters not in dispute between the defendants and Co-Operators.</w:t>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particular, the solicitors so appointed shall communicate any settlement offer to Co-Operators.</w:t>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shall not settle any claim without the written consent of Co-Operators.</w:t>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shall refuse to consent to any settlement consented to by Co-Operators and shall elect to continue to defend the action then Co-Operators' liability (should there be coverage) shall not exceed the amount for which the action could have been settled plus the reasonable defence costs incurred up to the date of such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the particular provisions dealing with settlement, Russell J. noted that there was evidence of a concern of the insurer that, given the mandate of the insured, any counsel appointed by it might choose to ignore a reasonable settlement offer and proceed to trial for philosophical reasons, expecting that the insurer would bear the final cost. No such evidence was adduced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declarations sought by the Insured in this regard go beyond the relief granted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in which, the Court of Appeal upheld the application judge's order at para. 24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 is permitted to conduct his own defence to this action with legal counsel of his choosing and the Co-Operators is responsible for paying all fees of such counsel on a solicitor/client basis and disbursements incurred to date together with all future fees and disbursements at the hourly rate normally charged by such legal counsel. Counsel chosen by the Applicant is not required to report to the Co-Operators with respect to any matters bearing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my view, the relief granted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is appropriate for the circumstances in the present case. Here, unlike </w:t>
      </w:r>
      <w:r>
        <w:rPr>
          <w:rFonts w:ascii="arial" w:eastAsia="arial" w:hAnsi="arial" w:cs="arial"/>
          <w:i/>
          <w:color w:val="000000"/>
          <w:sz w:val="20"/>
          <w:lang w:val="en-US" w:eastAsia="en-US" w:bidi="ar-SA"/>
        </w:rPr>
        <w:t>Cansulex</w:t>
      </w:r>
      <w:r>
        <w:rPr>
          <w:rFonts w:ascii="arial" w:eastAsia="arial" w:hAnsi="arial" w:cs="arial"/>
          <w:color w:val="000000"/>
          <w:sz w:val="20"/>
          <w:lang w:val="en-US" w:eastAsia="en-US" w:bidi="ar-SA"/>
        </w:rPr>
        <w:t xml:space="preserve">, the coverage dispute is being resolved in advance of settlement of the Underlying Claim. Here, as in both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Encon</w:t>
      </w:r>
      <w:r>
        <w:rPr>
          <w:rFonts w:ascii="arial" w:eastAsia="arial" w:hAnsi="arial" w:cs="arial"/>
          <w:color w:val="000000"/>
          <w:sz w:val="20"/>
          <w:lang w:val="en-US" w:eastAsia="en-US" w:bidi="ar-SA"/>
        </w:rPr>
        <w:t xml:space="preserve">, there is a conflict that necessitates the insured being granted conduct of the defence. However, unlike the situation in </w:t>
      </w:r>
      <w:r>
        <w:rPr>
          <w:rFonts w:ascii="arial" w:eastAsia="arial" w:hAnsi="arial" w:cs="arial"/>
          <w:i/>
          <w:color w:val="000000"/>
          <w:sz w:val="20"/>
          <w:lang w:val="en-US" w:eastAsia="en-US" w:bidi="ar-SA"/>
        </w:rPr>
        <w:t>Encon</w:t>
      </w:r>
      <w:r>
        <w:rPr>
          <w:rFonts w:ascii="arial" w:eastAsia="arial" w:hAnsi="arial" w:cs="arial"/>
          <w:color w:val="000000"/>
          <w:sz w:val="20"/>
          <w:lang w:val="en-US" w:eastAsia="en-US" w:bidi="ar-SA"/>
        </w:rPr>
        <w:t>, there is no evidence of concern with respect to settlement; rather, the concern is with respect to conflict going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result I grant the following relief:</w:t>
      </w:r>
      <w:r>
        <w:rPr>
          <w:rFonts w:ascii="arial" w:eastAsia="arial" w:hAnsi="arial" w:cs="arial"/>
          <w:sz w:val="20"/>
          <w:lang w:val="en-US" w:eastAsia="en-US" w:bidi="ar-SA"/>
        </w:rPr>
        <w:cr/>
      </w:r>
    </w:p>
    <w:p>
      <w:pPr>
        <w:numPr>
          <w:numId w:val="52"/>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Aviva is dismissed;</w:t>
      </w:r>
    </w:p>
    <w:p>
      <w:pPr>
        <w:numPr>
          <w:numId w:val="52"/>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Aviva is, and at all material times has been, under an obligation to pay for the defence of the BCMA and Individuals against the claims brought against them by Caroline Wang as set out in the Statement of Claim filed August 7, 2009 in the Supreme Court of British Columbia, Vancouver Registry Action No, 509577, and as set out in the Consolidated Notice of Civil Claim filed September 27, 2010 in the Wang Action;</w:t>
      </w:r>
    </w:p>
    <w:p>
      <w:pPr>
        <w:numPr>
          <w:numId w:val="52"/>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BCMA and the Individuals are permitted to conduct the defence to this action with legal counsel of their choosing and Aviva is responsible for paying all fees of such counsel on a solicitor/client basis and disbursements incurred to date together with all future fees and disbursements at the hourly rate normally charged by such legal counsel. Counsel chosen by BCMA and the Individuals is not required to report to Aviva with respect to any matters bearing on the issue of liability; and</w:t>
      </w:r>
    </w:p>
    <w:p>
      <w:pPr>
        <w:numPr>
          <w:numId w:val="52"/>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BCMA and the Individuals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Ross dated October 19, 2011 have been 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have been added and a spelling correction has been made:</w:t>
      </w:r>
      <w:r>
        <w:rPr>
          <w:rFonts w:ascii="arial" w:eastAsia="arial" w:hAnsi="arial" w:cs="arial"/>
          <w:sz w:val="20"/>
          <w:lang w:val="en-US" w:eastAsia="en-US" w:bidi="ar-SA"/>
        </w:rPr>
        <w:cr/>
      </w:r>
    </w:p>
    <w:p>
      <w:pPr>
        <w:numPr>
          <w:numId w:val="5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Page 1 - Counsel Gavin R. Cameron has been added.</w:t>
      </w:r>
    </w:p>
    <w:p>
      <w:pPr>
        <w:numPr>
          <w:numId w:val="5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26 - The spelling of Mr. Shapray's surname and company name have been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Burnett Estate v. St. Jude Medical, Inc., [2009] B.C.J. No. 133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 and 8-10,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S014221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Elsie Burnett, as Executrix of the Estate of Earl Burnett, Plaintiff, and St. Jude Medical, Inc. and St. Jude Medical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(229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December 2, 2009. See </w:t>
      </w:r>
      <w:hyperlink r:id="rId362" w:history="1">
        <w:r>
          <w:rPr>
            <w:rFonts w:ascii="arial" w:eastAsia="arial" w:hAnsi="arial" w:cs="arial"/>
            <w:i/>
            <w:color w:val="0077CC"/>
            <w:sz w:val="18"/>
            <w:u w:val="single"/>
            <w:shd w:val="clear" w:color="auto" w:fill="FFFFFF"/>
            <w:lang w:val="en-US" w:eastAsia="en-US" w:bidi="ar-SA"/>
          </w:rPr>
          <w:t>[2009] B.C.J. No. 2403</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3" w:name="Keywords_15"/>
      <w:bookmarkEnd w:id="113"/>
      <w:r>
        <w:rPr>
          <w:rFonts w:ascii="arial" w:eastAsia="arial" w:hAnsi="arial" w:cs="arial"/>
          <w:b/>
          <w:color w:val="000000"/>
          <w:sz w:val="20"/>
          <w:lang w:val="en-US" w:eastAsia="en-US" w:bidi="ar-SA"/>
        </w:rPr>
        <w:t>Civil litigation — Civil procedure — Parties — Class or representative actions — Settlements — Approval — Application for approval of settlement of proposed class proceeding dismissed — The plaintiffs alleged that the defendant was negligent in the design, testing, manufacture, distribution and sale of Silzone-coated mechanical heart valves — The proposed settlement provided payment of a nominal amount to each class member plus a pro rata compensatory fund for those that suffered a particular complication — The court found that the nominal compensation paid to so many class members despite evidence of possible compensable claims for psychological injury placed the settlement outside of the range of reasonableness — Class Proceedings Act, s. 35(1).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Parties — Representative or class actions — Jurisdiction — British Columbia — Application for approval of settlement of proposed class proceeding dismissed — The plaintiffs alleged that the defendant was negligent in the design, testing, manufacture, distribution and sale of Silzone-coated mechanical heart valves — The proposed settlement provided payment of a nominal amount to each class member plus a pro rata compensatory fund for those that suffered a particular complication — The court found that the nominal compensation paid to so many class members despite evidence of possible compensable claims for psychological injury placed the settlement outside of the range of reasonableness — Class Proceedings Act, s. 35(1).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4" w:name="Case Summary_15"/>
            <w:bookmarkEnd w:id="1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representative plaintiff, the Burnett Estate, for certification of its action against the defendant, St. Jude Medical, and approval of a settlement reached by the parties. The action alleged that the defendant was negligent in the design, testing, manufacture, distribution and sale of Silzone-coated mechanical heart valves between 1997 and 2000. In 1998, the defendant sponsored a clinical trial to compare its Silzone valve with the standard mechanical valves otherwise used. Results showed a significantly greater amount of explants of the Silzone valves were required due to complications, and the valves were recalled in 2000. In Canada, 2,268 Silzone valves were implanted in patients, including 286 in British Columbia. Class actions were commenced in BC and Quebec. A class proceeding was certified in Ontario and excluded those resident in British Columbia and Quebec. The BC class included all persons implanted with a Silzone valve that were resident on the first of the approval date, or date of death. The proposed settlement provided for a minimum payment to each class member of $500, a point-based pro rata compensatory fund of $1.83 million, an income loss fund of $225,000 and a notice fund of $25,000. Counsel forecasted that approximately 31 members of the class would share in the compensatory fund. The basis for recovery under the settlement agreement related to complications described as a major or minor paravalvular leak (PVL). The settlement was opposed by approximately 20 objectors. The objectors submitted that the plaintiffs' claims were not adequately investigated with respect to the possibility of future harm caused by the Silzone valves, the costs of future care, and recoverability of damages for psychological harm. They filed expert evidence regarding the possibility of future harm. The objectors submitted that the settlement significantly understated the likelihood of success and value of class members' claims by virtue of the release for the nominal amount of $500. The objectors noted that the settlement was rejected by counsel in Ontario based on more information than was obtained by counsel in BC. The objectors raised issues regarding the qualifications of the plaintiffs' expert witness. The objectors argued that the settlement did not consider that the national class action would be litigated without significant delay in Ontario and without expense to the BC class.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5" w:name="Holdings of Court_12"/>
            <w:bookmarkEnd w:id="11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requirements for certification were met. Having considered the possible shortcomings and conflicts in the expert evidence, the BC evidence, properly weighed, was sufficient for counsel to reach conclusions regarding the likelihood of success and negotiate a settlement. It was reasonable for counsel to approach the settlement on the basis that the only significant complication caused by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increased PVL. However, the proposed settlement was not in the best interests of the class as a whole. The nominal compensation paid to so many class members despite evidence of possible compensable claims for psychological injury placed the settlement outside of the range of reasonableness. Sufficient investigation regarding such claims had not occurred. The proposed settlement was otherwise fair and 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6" w:name="Legislation Cited_12"/>
      <w:bookmarkEnd w:id="1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363" w:history="1">
        <w:r>
          <w:rPr>
            <w:rFonts w:ascii="arial" w:eastAsia="arial" w:hAnsi="arial" w:cs="arial"/>
            <w:i/>
            <w:color w:val="0077CC"/>
            <w:sz w:val="20"/>
            <w:u w:val="single"/>
            <w:shd w:val="clear" w:color="auto" w:fill="FFFFFF"/>
            <w:lang w:val="en-US" w:eastAsia="en-US" w:bidi="ar-SA"/>
          </w:rPr>
          <w:t>RSBC 1996, CHAPTER 50, s. 35</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Costs Recovery Act, </w:t>
      </w:r>
      <w:hyperlink r:id="rId364" w:history="1">
        <w:r>
          <w:rPr>
            <w:rFonts w:ascii="arial" w:eastAsia="arial" w:hAnsi="arial" w:cs="arial"/>
            <w:i/>
            <w:color w:val="0077CC"/>
            <w:sz w:val="20"/>
            <w:u w:val="single"/>
            <w:shd w:val="clear" w:color="auto" w:fill="FFFFFF"/>
            <w:lang w:val="en-US" w:eastAsia="en-US" w:bidi="ar-SA"/>
          </w:rPr>
          <w:t>SBC 1997, CHAPTER 41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7" w:name="Counsel_16"/>
      <w:bookmarkEnd w:id="1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Poyner, P.J. Poyner.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D.T. Neave, D. Gruber, S.G. McKee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Objectors: R. Mogerman.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Province of British Columbia: D.C. Prowse, Q.C., A.G. Lieberman.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Ontario Plaintiffs, Ontario Supreme Court File No. 00-CV-19506CP: D. Edinger.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8" w:name="Judgment_16"/>
      <w:bookmarkEnd w:id="118"/>
      <w:r>
        <w:pict>
          <v:line id="_x0000_s1109"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9" w:name="J.S. SIGURDSON J."/>
            <w:bookmarkEnd w:id="119"/>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for certification of this action as a class proceeding, and for approval of a settlement reached by the representative plaintiff and the defendants. The action alleges that the defendants were negligent in the design, testing, manufacture, distribution and sale of Silzone-coated mechanical heart valves.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representative plaintiff, Mrs. Burnett, and the defendants seek approval of their settlement, which is opposed by a number of objectors. If the settlement is approved, the plaintiffs in a related class action in Ontario seek directions that the definition of the B.C. class be redefined to exclude those who are already members of one of the classes as certified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designed, manufactured, and distributed mechanical heart valves or annuloplasty rings equipped with a sewing cuff coated with Silzone. These devices are implanted in a patient to reconstruct the diseased opening at the base of the heart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manufactured and distributed these mechanical heart valves between late 1997 and early 2000. The difference between the Silzone valve and the defendants' usual mechanical heart valve was the silver coating on the sewing cuff of the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1998, ten months after the Silzone valve was implanted in patients in Canada, the defendants sponsored a five year multi-central clinical trial called the Artificial Valve Endocarditis Reduction Trial ("AVERT") with an enrolment anticipated of 4,400 people in 17 centres to compare the standard mechanical valve and the Silzone valve in an equal number. However, after only 807 patients, as noted in the decision denying leave to appeal in Ontario "results showed a statistically and significantly greater number of explants of the Silzone-coated mechanical heart valves due to paravalvular leaks and a clinically significant increase in thromboembolic events": </w:t>
      </w:r>
      <w:r>
        <w:rPr>
          <w:rFonts w:ascii="arial" w:eastAsia="arial" w:hAnsi="arial" w:cs="arial"/>
          <w:b/>
          <w:i/>
          <w:color w:val="000000"/>
          <w:sz w:val="20"/>
          <w:lang w:val="en-US" w:eastAsia="en-US" w:bidi="ar-SA"/>
        </w:rPr>
        <w:t>Anderson v. St. Jude Medical Inc.</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[2005] O.J. No. 269</w:t>
        </w:r>
      </w:hyperlink>
      <w:r>
        <w:rPr>
          <w:rFonts w:ascii="arial" w:eastAsia="arial" w:hAnsi="arial" w:cs="arial"/>
          <w:color w:val="000000"/>
          <w:sz w:val="20"/>
          <w:lang w:val="en-US" w:eastAsia="en-US" w:bidi="ar-SA"/>
        </w:rPr>
        <w:t xml:space="preserve"> (S.C.J.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January 2000, the defendants announced a worldwide recall of the Silzone mechanical heart valves and annuloplasty rings. Prior to the recall 36,000 Silzone-coated mechanical heart valves and annuloplasty rings had been implanted.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Canada, according to findings made in the Ontario certification decision as cited above, a total of 2,268 Silzone-coated mechanical heart valves were implanted in patients,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673"/>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Ontario:</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1,015</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2"/>
        <w:gridCol w:w="1568"/>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Quebec:</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656</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673"/>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286</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627"/>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Five Other Provinces: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311</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Class actions have also been commenced in British Columbia and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September 2003, after a four-day hearing, the proceeding in Ontario was certified as a class proceeding, excluding those resident in B.C. and Quebec: </w:t>
      </w:r>
      <w:r>
        <w:rPr>
          <w:rFonts w:ascii="arial" w:eastAsia="arial" w:hAnsi="arial" w:cs="arial"/>
          <w:b/>
          <w:i/>
          <w:color w:val="000000"/>
          <w:sz w:val="20"/>
          <w:lang w:val="en-US" w:eastAsia="en-US" w:bidi="ar-SA"/>
        </w:rPr>
        <w:t>Anderson v. St. Jude Medical Inc.</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(2003), 67 O.R. (3d) 136</w:t>
        </w:r>
      </w:hyperlink>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[2003] O.J. No. 3556</w:t>
        </w:r>
      </w:hyperlink>
      <w:r>
        <w:rPr>
          <w:rFonts w:ascii="arial" w:eastAsia="arial" w:hAnsi="arial" w:cs="arial"/>
          <w:color w:val="000000"/>
          <w:sz w:val="20"/>
          <w:lang w:val="en-US" w:eastAsia="en-US" w:bidi="ar-SA"/>
        </w:rPr>
        <w:t xml:space="preserve"> (S.C.J.). The Ontario action is presently set for trial in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proceeding has also been certified as a class proceeding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British Columbia action was commenced on July 25, 2001. The representative plaintiff, Mrs. Burnett, claims damages for injuries alleged to have been sustained by her and her spouse as a result of him having been implanted with one or more Silzone-coated mechanical heart valves. The proposed definition of the B.C. class is "all persons resident in British Columbia on the approval date, or date of death, whichever occurred first, who were implanted in British Columbia or elsewhere with a Silzone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appears there were approximately 260 individuals in British Columbia implanted with one or more Silzone-coated mechanical heart valves, although the evidence of the precise number is somewhat unclear. The common issue proposed in the B.C. action is: "Did the defendants breach a duty of care to the B.C. class with respect to the design of any of its Silzone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parties from across Canada attempted mediation for several days before Chief Justice Winkler, as he is now, then of the Ontario Superior Court, but no settlement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B.C. statement of claim was amended by the representative plaintiff on May 17, 2007, to eliminate the Province of British Columbia's subrogated claim for recovery of health care costs in relation to B.C. residents who received Silzone-coated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Following the Province's unsuccessful opposition to that amendment, it introduced the </w:t>
      </w:r>
      <w:r>
        <w:rPr>
          <w:rFonts w:ascii="arial" w:eastAsia="arial" w:hAnsi="arial" w:cs="arial"/>
          <w:b/>
          <w:i/>
          <w:color w:val="000000"/>
          <w:sz w:val="20"/>
          <w:lang w:val="en-US" w:eastAsia="en-US" w:bidi="ar-SA"/>
        </w:rPr>
        <w:t>Health Care Costs Recovery Act</w:t>
      </w:r>
      <w:r>
        <w:rPr>
          <w:rFonts w:ascii="arial" w:eastAsia="arial" w:hAnsi="arial" w:cs="arial"/>
          <w:color w:val="000000"/>
          <w:sz w:val="20"/>
          <w:lang w:val="en-US" w:eastAsia="en-US" w:bidi="ar-SA"/>
        </w:rPr>
        <w:t>, which is coming into force on April 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14, 2008, the Province commenced its own action (S081879) seeking recovery of past and future health care costs in relation to all B.C. residents that received Silzone-coated implants manufactured by the defendants. The Province's position, which was not opposed by any party, and with which I agree, is that if I approve the proposed settlement, the Province's possible claim for health care costs, including medical monitoring, will not and should not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17, 2008, the plaintiff filed a motion seeking approval of the proposed settlement, including certification of the class proceeding. On July 21, 2008, I ordered production to the objectors of the documents that led the representative plaintiff's counsel to form the view that the only potential claim which warrants a significant payment relates to injuries alleged to have resulted from paravalvular leak which, as I will explain, forms the basis of 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applicants filed a number of affidavits in support of the approval of the settlement, including affidavits from Kenneth J. Baxter, a partner in the law firm representing the plaintiff. They also filed affidavits from the defendants' experts on the certification application in Ontario. The objectors' counsel filed a series of affidavits from eight objectors, and affidavits filed by experts in the Ontario proceeding. The applicants, who were relying on the evidence of Dr. W.R.E. Jamieson, filed a further affidavit from him in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PROPOSED SETTLEMENT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Let me describe the terms of 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settlement provides for a total of $2,080,000 made up of a compensatory fund of $1.83 million, an income loss fund of $225,000, and what is called a notice fund of $25,000 to be applied to the cost of notices. The amount each person receives depends on a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Each person who is a B.C. resident on the approval date and was implanted with a Silzone-coated product in British Columbia or elsewhere and who submits a completed claim form, will receive $500. The allocation of the compensatory fund is done on a pro-rata basis, based on a point system that is the proportionate percentage of the points awarded to each settlement class member as compared to the total points of all settlement class members. The essential basis for substantial recovery under the settlement agreement relates to a complication that is described in the settlement agreement as major or minor paravalvular leak ("PVL").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Major PVL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leakage around the Silzone (R) Product which occurs in the absence of infection and which results in re-operation or re-intervention for repair, explant or death, occurring 30 days or more after implantation of the Silzone (R) Product or such re-intervention is recommended but is refused by the B.C. Class Member or cannot be performed due to co-morbidity 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Minor PVL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leakage around the Silzone (R) Product occurring 30 days or more after implantation of the Silzone (R) Product occurring in the absence of infection which is determined by the use of echocardiogram (color flow Doppler) and does not require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degree of Minor PVL is determined, in the case of mitral valve recipients, by calculation of the ratio of maximum regurgitant jet area/left atrial area, and, in the case of aortic valve recipients, by calculation of the proximal jet width/left ventricular outflow tract diameter obtained from the parasternal long-axis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Minor PVL is classified as mild, moderate or severe as follows: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mitral valve recipients, a ratio of less than 20 percent;</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aortic valve recipients, a ratio of less than 24 percent;</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mitral valve recipients, a ratio between 20 and 40 percent;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aortic valve recipients, a ratio between 25 to 64 percent;</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mitral valve recipients, a ratio of more than 40 percent;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aortic valve recipients, a ratio of 65 percent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 summarize, all settlement class members will receive $500, and thereafter some class members will be allocated complication points and share in the compensatory fund if they suffered from major or minor PVL.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representative plaintiff's counsel forecasted that 31 class members would be entitled to compensation in addition to the $500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representative plaintiff's counsel suggested that between 8-11 persons are likely to qualify as major PVL claimants, of which three have settled on an individual basis with the defendants, leaving eight potential settlement class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representative plaintiff suggested that there would likely be 12 potential mild minor PVL claims, 10 moderate minor PVL claimants, and 1 potential severe minor PVL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assumption that all 31 claimants (as described above) make successful claims, and that all of the 254 putative B.C. class members, including the 31 above, make successful claims for the $500 payment, and no funds are contributed into the compensatory fund from the income loss or notice fund, the total compensatory fund of $1,830,000 means that each complication point has a value of $2,015.38. On those assumptions, the compensation fund would be allocated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1882"/>
        <w:gridCol w:w="1568"/>
        <w:gridCol w:w="198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Compensation</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Category</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Complication</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each</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Possible</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Claim</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Points</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claimant</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Claimants</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837"/>
        <w:gridCol w:w="2927"/>
        <w:gridCol w:w="732"/>
        <w:gridCol w:w="2927"/>
        <w:gridCol w:w="14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Major PVL,</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$201,538.46</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$1,007,692.30</w:t>
            </w:r>
          </w:p>
        </w:tc>
        <w:tc>
          <w:tcPr>
            <w:tcW w:w="14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 days to</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 months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627"/>
        <w:gridCol w:w="3137"/>
        <w:gridCol w:w="732"/>
        <w:gridCol w:w="2927"/>
        <w:gridCol w:w="14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Major PVL,</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more than</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years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$100,769.23</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$302,307.69</w:t>
            </w:r>
          </w:p>
        </w:tc>
        <w:tc>
          <w:tcPr>
            <w:tcW w:w="143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627"/>
        <w:gridCol w:w="3137"/>
        <w:gridCol w:w="732"/>
        <w:gridCol w:w="2927"/>
        <w:gridCol w:w="14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Severe</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Minor PVL</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$70,538.46</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$70,538.46</w:t>
            </w:r>
          </w:p>
        </w:tc>
        <w:tc>
          <w:tcPr>
            <w:tcW w:w="143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3137"/>
        <w:gridCol w:w="836"/>
        <w:gridCol w:w="3033"/>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Moderate</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Minor PVL</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$20,153.85</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$201,538.50</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523"/>
        <w:gridCol w:w="3241"/>
        <w:gridCol w:w="836"/>
        <w:gridCol w:w="3033"/>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Mild</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Minor PVL</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$10,076.92</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$120,923.05</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533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2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$1,703.000.00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8"/>
        <w:gridCol w:w="2405"/>
        <w:gridCol w:w="941"/>
        <w:gridCol w:w="2927"/>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Settlement</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Class</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Members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254</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$127,000.00</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81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Compensatory</w:t>
            </w:r>
          </w:p>
        </w:tc>
        <w:tc>
          <w:tcPr>
            <w:tcW w:w="481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Fund</w:t>
            </w:r>
          </w:p>
        </w:tc>
        <w:tc>
          <w:tcPr>
            <w:tcW w:w="481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$1,830,000.00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income loss fund of $225,000 will be distributed pro rata to each settlement class member who can prove that his loss of income was caused by Major or Minor PVL, and any unexpended funds will be added to the compensatory fund for the benefit of the B.C. settlement class members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B.C. class members may opt out of the settlement within sixty days after the appeal period expires. The settlement agreement provides that if five or more class members opt out, the defendants, in their sole and absolute discretion, have the option to terminate the settlement agreement. The defendants say that it is important for their decision whether to exercise the right of termination after the opt-outs are exercised, to know precisely who is in the B.C. Class. They say that is, in part, why they oppose Mr. Edinger's application to redefine the proposed B.C.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will discuss further aspects of the proposed settlement below, but let me briefly set out the positions of the parties on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PARTIES' POSITIONS GENERALLY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representative plaintiff's lawyers say that the settlement is a reasonable compromise of a disputed claim that compensates the people with complications of the type that led to the recall of the artificial valve, no matter when those complications occurred. They say they were able to determine the extent of any possible serious complications to plaintiffs in the proposed B.C. class from several sources of information: the AVERT study, the UBC Valve database and 135 questionnaires answered by Silzone heart valve recipients. Most importantly, they say that they are in a unique position of knowing the actual complications to almost the entire B.C.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representative plaintiff's counsel were concerned that causation generally, and in individual cases, was a real issue. The defendants, they say, may be able to establish that all of the problems experienced by the recipients of the Silzone-coated mechanical heart valves were also experienced by the recipients of non-Silzone-coated mechanical heart valves.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representative plaintiff and the defendants say that they considered that the claim for health care costs would probably fail due to the absence of appropriate provincial legislation, hence the amendment to the representative plaintiff's pleadings to delete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representative plaintiff's lawyers say that they considered that the case, although certified in Ontario, may not be certified in British Columbia, that the claim for damages for monitoring would not be recoverable in British Columbia, and that there existed a significant concern with respect to liability generally. They also say that they considered that, should they succeed on the issue of liability at the common issues stage of the trial, they may be unable to establish that any particular class member's problem was caused by the alleged defect in the Silzone coated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They argued that the following factors favoured settlement: the burden and expense of litigation, likely to be in the many millions of dollars; the fair, efficient and cost effective method of resolving class members' claims; and, even in the event of success, appeals could delay the final resolution for many years. They argued that virtually all class members have significant health issues, and given that the case is now seven years old, it is in the interests of the class that it be resolved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who support the settlement, suggest that the proposed settlement meets the requirements for court approval, which is whether the settlement is "fair and reasonable and in the best interests of the class as a whole". The defendants say that the plaintiff and the defendants have undertaken extensive investigation and analysis of the factual and legal issues, and have provided substantial evidence to demonstrate that the settlement is fair and reasonable. The plaintiff and the defendant, as I will discuss, rely heavily on the fact that 254 patients of the approximately 260 individuals believed to comprise the proposed B.C. class have been examined by Dr. Jamieson, who has compared the complication rates actually experienced by these individuals to the base or standard complication rates. These base or standard complication rates are published by the U.S. Food and Drug Administration ("FDA") and are known as Objective Performance Criteria, or the OPC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and the representative plaintiff say the actual complication rates for the B.C. class members are almost entirely known. It was increased early PVL that lead to the discontinuance of the use of the Silzone valve, however all plaintiffs who had a PVL will be compensated, regardless of whether the onset of PVL was early or late. The defendants say that although there is evidence of increased early PVL, which lead to the voluntary recall, there is no evidence of increased complications in the B.C. class, and that there is no reliable scientific evidence that the Silzone implant increases the risk of any complication, other than early major PVL.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and the plaintiff say that counsel of sufficient experience and ability have undertaken sufficient investigations to satisfy the court that a settlement is fair and is reasonable, and is based on a proper analysis of the claim advanced in the statement of claim. The defendants say that while a number of objectors refer to psychological anxiety or upset, those claims, according to the evidence, are not to the point where they are compensable at law, in the absence of proven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Moreover, the defendants say that there has been no collusion or extraneous considerations. They argue that it is not the role of the court to try the claims, but to determine if the settlement is within a zone of reasonableness. They argue that on a cost/benefit analysis, the plaintiffs are well-served by accepting the settlement rather than proceeding with the litigation, and that sufficient information about the proposed settlement has been provided to the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settlement is opposed by a number of objectors. Mr. Mogerman appeared at the hearing representing 22 or 23 objectors. He argues that the settlement is not fair from a procedural or a substantive perspective. He submits that the claims of the plaintiffs have not been adequately or independently investigated by the plaintiff's counsel in terms of the possibility of future harm caused by the Silzone valve, the cost of future care, and the recoverability of damages for psychological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Generally, the objectors' position is that the settlement significantly understates the likelihood of success and the value of the class members' claims, particularly for the vast majority of the class who will be releasing their claims for the nominal amount of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objectors say that the claims have not been investigated sufficiently so that it could be said that the settlement is fair and reasonable to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affected. In particular, they say that the proposed settlement was arrived at in the absence of all available and relevant discovery evidence or documents in the other litigation. The settlement was rejected by counsel in Ontario, who have far more information, and in B.C., class counsel did not retain an independent expert to assist them in negotiations or in their analysis. They argue that the settlement was essentially based on reliance on untested information, and on the expertise of the defendants. The objectors question the qualifications of Dr. Jamieson, the expert relied on by counsel for the representative plaintiff, and question whether the conclusions he draws on whether the actual complications in the B.C. class differ from the norm are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objectors argue that the settlement does not take into account that the national class action can and will be litigated without significant delay in Ontario, and without expense to the B.C. class. They submit that the settlement was negotiated with limited input from class members, and faces significant and numerous objections from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CERTIFICATION AND APPROVAL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issue of certification of this class proceeding on this application is essentially unopposed. The controversial issue is whether the settlement should be approved. However, from the defendants' perspective, the certification and settlement approval are linked and if the settlement is not approved, the defendants reserve their right to oppose certification of this class proceeding. The application proceeded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to the certification of the class action, I find that the requirements have been met. The statement of claim alleges the following cause of action: whether the defendants are liable for negligent design, testing, manufacture, distribution and sales of Silzone-coated mechanical heart valves. It asserts an identifiable class proposed to be defined as "all persons resident in British Columbia on the approval date, or date of death, whichever occurred first, who were implanted in British Columbia or elsewhere with a Silzone product". The representative plaintiff asserts the following common issue: "Did the defendants breach a duty of care to the B.C. class with respect to the design of any of its Silzone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certification of the class action achieves the objectives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judicial economy, access to justice, and behaviour modification. The vast majority of the claims would not be economic to pursue in the absence of a class proceeding. Any notion of judicial economy would be destroyed if the class members were required to proceed individually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litigation plan is the proposed settlement agreement and its efficacy depends upon whether the settlement is approved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representative plaintiff is Elsie Burnett, who on the common issue I find does not have a conflict with other B.C.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I approve the settlement, I would also certify this proceeding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EVIDENCE RELEVANT TO LIABILITY, CAUSATION AND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this and the other class proceedings in Canada, important issues are whether the defendants were negligent in the design of the Silzone-coated mechanical heart valves, and the nature and extent of any physical harm, injury, or complications that people suffered because they were implanted with the Silzone-coated mechanical heart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appropriate at this point to examine the evidence that was before me of the possible and actual harm be caused by the Silzone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Dr. Jamieson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applicants rely on the affidavits of Dr. W.R.E. Jamieson, a professor of surgery at the Faculty of Medicine at UBC, who, since graduating from Dalhousie University medical school in 1966, has spent more than 42 years training, practicing, teaching, researching, and publishing in the area of cardio-vascular and thoracic surgery, with particular emphasis on heart valve "disease and risks and complications inherent in valve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Since 1998 he has been at UBC as the principal investigator in AVERT, including the St. Jude Silzone-coated mechanical heart valves. He has prepared an analysis of the complications experienced by 254 B.C. residents who are implanted with a Silzone-coated mechanical heart valve, and are participating in the UBC Cardiac Valve database of the division of cardio-vascular surgery (the "UBC Database"), including what he says is the calculation of the linearized rate for each such complication and a comparison to the OPC rates published by the FDA.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conclusion of the hearing, the objectors raised an objection to this evidence based on Dr. Jamieson's stated qualifications. Mr. Mogerman argues that Dr. Jamieson's credibility, reliability, and, as such, the weight to be given to his opinion should be affected by the fact that he was erased from the medical register and placed on the Temporary Register of the College of Physicians and Surgeons of British Columbia in 2001. The placement on the Temporary Register carried with it certain restrictions on his ability to perform heart surgery. Mr. Mogerman points out that the American College of Surgeons, to which Dr. Jamieson, as part of his qualifications, claims membership, requires an expert witness to have a current valid and unrestricted license to practice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Mogerman argues that I should exercise caution and not decide scientific issues that are seriously in dispute across Canada in this litigation. In the circumstances, Mr. Mogerman says that no final determination on the validity of Dr. Jamieson's opinions, both as to complications and the future risk to the B.C. class members, should be made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Poyner and Mr. Neave for the plaintiff and the defendants, respectively, disagree. They submit that Dr. Jamieson's qualifications were not misstated, and there is no suggestion based upon the applicable rules of the B.C. College of Physicians and Surgeons that he may not give the opinions in his affidavit. Moreover, they argue he is not testifying about cardiac surgery per </w:t>
      </w:r>
      <w:r>
        <w:rPr>
          <w:rFonts w:ascii="arial" w:eastAsia="arial" w:hAnsi="arial" w:cs="arial"/>
          <w:i/>
          <w:color w:val="000000"/>
          <w:sz w:val="20"/>
          <w:lang w:val="en-US" w:eastAsia="en-US" w:bidi="ar-SA"/>
        </w:rPr>
        <w:t>se</w:t>
      </w:r>
      <w:r>
        <w:rPr>
          <w:rFonts w:ascii="arial" w:eastAsia="arial" w:hAnsi="arial" w:cs="arial"/>
          <w:color w:val="000000"/>
          <w:sz w:val="20"/>
          <w:lang w:val="en-US" w:eastAsia="en-US" w:bidi="ar-SA"/>
        </w:rPr>
        <w:t>, but is explaining the outcome of his academic research. Mr. Neave points out that the movement to Temporary Register of the College was when Dr. Jamieson, now 69, was 62. Mr. Neave notes that Dr. Jamieson became a full professor at UBC in 2003 and was found to have all the required qualifications for that position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fact of Dr. Jamieson being placed on the temporary register was not fully explained or canvassed, particularly given there was no cross-examination of any experts. However, it is a factor I will weigh in assessing Dr. Jamieson's opinions and whether the extent of any possible risk from the Silzone heart valve has been fully and properly investigated by counsel for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Jamieson deposed that, starting in 1998, the defendant St. Jude Medical sponsored AVERT, a randomized clinical trial designed to evaluate the efficacy of the Silzone-coated sewing ring to reduce the incidents of prosthetic valve endocarditis. There were three Canadian hospitals involved, including St. Paul's and Vancouver General. In total, there were 17 sites that participated in the trial. The enrolment in AVERT was suspended on January 21, 2000. At that time, a total of 807 patients were enrolled, 403 were implanted with Silzone-coated mechanical heart valves, and 404 with non-Silzone-coated mechanical heart valves. Dr. Jamieson noted that AVERT investigators determined that, in January 2000, there was a "small but statistically significant higher rate of explants due to paravalvular leak" in those patients in the Silzone arm of AVERT as compared to those in the non-Silzone arm of AVERT. He deposed that the difference in the rates of major paravalvular leak between the two arms of the study lost statistical significance post-two years after implant, although Mr. Mogerman referred to an article that indicated the additional risks disappeared four years after implant.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Jamieson attached the published studies, abstracts and case reports of which he was aware with respect to the performance of the Silzone-coated mechanical heart valve in humans. These were marked Exhibits E1-43 to his affidavit and I will review the highlights of that literature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First, I will describe Dr. Jamieson's evidence. Although there is a dispute as to the precise nature of possible complications, the focus of the defendant and the representative plaintiff's submission in support of the settlement is that Dr. Jamieson has followed the vast majority of the B.C. class and is able to describe the actual outcome from surgery for the B.C. patients. (I note that the objectors say that such analysis still does not fully answer the question of possible future problems and does not address the possibility of psychological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Jamieson, in his affidavit sworn March 18, 2008, describes the operation of the heart and the four heart valves and that when, as a result of various heart conditions or diseases, the natural heart valve does not function properly, one treatment is to replace it with a prosthetic valve, either mechanical valves comprised of carbon and metal compounds, or biological or tissue valves. He describes the complications associated with valve replacement surgery:</w:t>
      </w:r>
      <w:r>
        <w:rPr>
          <w:rFonts w:ascii="arial" w:eastAsia="arial" w:hAnsi="arial" w:cs="arial"/>
          <w:sz w:val="20"/>
          <w:lang w:val="en-US" w:eastAsia="en-US" w:bidi="ar-SA"/>
        </w:rPr>
        <w:cr/>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well-known complications associated with valve replacement surgery. They include: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paravalvular leak;</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endocarditis;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thrombus;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thromboembolism;</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haemorrhage from the use of anticoagulant drugs and other factors;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technical problems during surgery;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issues with the valve itself and valve failure;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myocardial dysfunction;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multi-organ failure;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arrhythmia; and</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cardiac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Jamieson deposed that the Canadian Cardiovascular Society recognizes these complications and has adopted a standard protocol for Canadian physicians for the treatment and monitoring of patients with prosthetic heart valves. Dr. Jamieson attached the 2004 Canadian Cardiovascular Consensus which describes complications associated with prosthetic valves as follows, at p. 75E: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Complications associated with heart valve prostheses are important factors in determining long term prognosis following valve replacement surgery, resulting in reoperation, morbidity or death. Even though mechanical and tissue heart valve prostheses differ substantially in structure and are predisposed to different complications, the overall rate of problems is similar between the two valve types. Prosthesis-related complications are responsible for reoperation or death in about 50% to 60% of patients within 10 years of valve replacement surgery. Despite similar overall complication rates, the frequency and nature of specific valve-related complications vary with prosthesis type, site of implantation and patient factors. Four broad categories of heart valve prosthesis-related complications are recognized and include the following:</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thromboembolic or hemorrhagic;</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infection;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dysfunction;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nonstructural dysfunction.</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Jamieson referred to the complication rates for recognized complications: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Regulatory agencies, including Health Canada and the Food and Drug Administration ("FDA") in the United States, have recognized that certain complications such as paravalvular leak, endocarditis, thrombus, thromboembolism, and hemorrahage, while infrequent, are still inherent in treatment with every mechanical heart valve, including those on the market today. For example, the FDA has adopted Objective Performance Criteria ("OPC") which are estimates of background rates or frequency of risk of occurrence for the known complications with valve replacement surgery in the general heart valve population, regardless of make or model of heart valve. The OPC values were derived from a review of data in published references with respect to more than 10,000 heart valve recipients and some 45,000 valve years of data. Based on this data, the OPC for mechanical valves for each of the following complications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Complications with Mechanical</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Heart Valves</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per patient-year)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88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paravalvular leak</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Major paravalvular leak (i.e.,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requires surgical intervention)</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77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Minor paravalvular leak</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150"/>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Endocarditis: based on blood</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cultures, clinical signs, and/or</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histological evidence at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reoperation or autopsy. Includes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thrombosis, embolus or leak</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associated with active infection.</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Thromboembolism: neurological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deficit or peripheral arterial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embolus which occurs after the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immediate perioperative period.</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Excludes septic and hemorrhagic</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emboli</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Valve Thrombosis: thrombosis 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valve proved by operation,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autopsy, or clinical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investigation.</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 Haemorrhage: bleeding that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causes death, stroke, operation,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hospitalization or transfusion,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whether or not the patient is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taking anticoagulant or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antiplatelet drugs.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219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Major Haemorrhage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Jamieson spoke of the results of the AVERT investigation. He said there was only a statistical increase in the rate of PVL in patients with the Silzone valve in the first two years compared with non-Silzone valves, and no other increased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connection with this particular lawsuit, Dr. Jamieson considered the following alleged complications: paravalvular leak, endocarditis and thrombosis. He said at paragraphs 37-38 of his affidavit:</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Amended Statement of Claim filed in this action and I am informed thereby that the Plaintiff asserts that Silzone (R) coated valves had an early and high incidence of paravalvular leak, endocarditis and thrombosis as compared to conventional mechanical valves without the Silzone (R) coating. The Plaintiff also asserts that there were early reports of a high incidence of thrombus formation and thromboembolism. It is further claimed that sewing cuffs on Silzone (R) valves develop leaks and that the sewing cuffs do not promote healthy tissue ingrowth and increase the risk of other adverse events. It is further alleged that the Silzone (R) coating is cytotoxic and caused lack of endothelialisation, suture dehisensce leading to hemodynamic instability, hemolysis, thrombus formation, transient ischemic attacks, thromboembolic stroke, hemosiderosis, valve destabilization, local necrosis, second stage dehiscence and sudden death. It is also alleged that prophylactic medication and drug level monitoring will be required. The requirement for ongoing medical monitoring is asserted. Finally, the Plaintiff claims that many recipients are likely to require pacemakers.</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previously and will be outlined further below, the complications that the Plaintiff asserts in the Amended Statement of Claim, paravalvular leak, endocarditis, thrombus and thromboembolism, haemorrhage and death, are recognized mechanical valve related complications regardless of the manufacturer and model of the mechanical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Jamieson deposes that as part of his research he has been the director of clinical cardiac surgery, research in the division of cardiovascular surgery at UBC, and is responsible for maintaining the UBC Cardiac Valve Database, which he established in 1979, and it includes the operative report and discharge summary for each patient; patient interviews concerning his or her subjective assessment of his or her condition, including any limitations on physical activity and bleeding events; hospital records, questionnaires; description of medications; echocardiograms; and, in the event of a patient's death, a death certificate and an analysis of the cause of death and interviews with the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Jamieson deposes that since 1997, 254 patients who were implanted with a Silzone-coated mechanical heart valve have participated in the UBC Valve Database, and those patients have had 255 operations comprised of 80 aortic valve replacements, 139 mitral valve replacements, and 36 multiple valve replacements, and 44 of those patients were enrolled in AVERT. In terms of analysing the patients to determine their complication rates, and in particular paravavular leak, he said as follows at paragraphs 54-58:</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2006, I, along with other researchers, completed a study of patients in the UBC Valve Database who had been implanted with Silzone (R) valves to determine the complication rates in that patient group for major and minor paravalvular leak, major thromboembolism, haemorrhage and valve related re-operation ("Seven Year Study").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the Seven Year Study, I undertook an analysis of the complication rates in the patients in the UBC Valve Database who had been implanted with Silzone (R) valves, including a comparison of those rates with the OPC rates for those complications. The data in the UBC Valve Database demonstrate that the complications experienced by those Silzone (R) valve recipients have occurred at rates that are not statistically significant different from the acceptable background rates represented by the OPC.</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I conducted a comparison of the upper 95 percent confidence intervals for the linearized rates for each of the complications in the UBC Valve Database as against two times the OPC rate. That analysis is similar to the method the FDA uses in evaluating a new mechanical heart valve for approval (as opposed to a modification to a previously approved valve, like the addition of Silzone (R) coating to the sewing cuff). If the upper limit of the 95 percent confidence interval is less than twice the OPC rate the valve performance is considered acceptable for approval purposes. The upper 95 percent confidence interval for the linearized rate of each complication in the UBC Valve Database was less than twice the value of the applicable OPC rate for each complication.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determined that nine of the 254 patients implanted with Silzone (R) valves had major paravalvular leaks during the seven years post implant. This group of nine patients received 10 Silzone (R) valves, comprised of three aortic valves, three mitral valves and four multiple valves. Eight of nine patients were treated by replacement of the Silzone (R) valve. One of the nine died 15 months post-implant. He died the same month he was under consideration for reoperation. One of the remaining eight patients died after the second operation for major paravalvular leak. There were six events in the aortic and mitral positions, with a linearized rate of 0.5 percent per patient year. Thus, data in the UBC Valve Database do not demonstrate evidence of a statistically significant difference between the rate of major paravalvular leak in the Silzone (R) valve recipients and the background rate for major paravalvular leak represented by the OPC.</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determined during the Seven Year Study that there were eight minor paravalvular leak events, two in the aortic position, one in the mitral position, and five in multiple replacements. None of those patients required surgery. The three events in aortic and mitral positions yield a linearized rate of minor paravalvular leak of 0.2 percent per patient year. Like major paravalvular leak, the data in the UBC Valve Database do not demonstrate evidence of a statistically significant difference between the rate of minor paravalvular leak in the Silzone (R) valve recipients and the background rate for minor paravalvular leak represented by the OPC. In my opinion the Silzone (R) coating on heart valves does not materially increase the risk of minor paravalvular leak, or of major paravalvular leak for the period commencing two years after implantation. Patients with Silzone (R) valves are not, in my opinion, currently at any increased risk of paravalvular leak due to the Silzone (R) coating.</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Jamieson noted that in order to determine the specific cause of paravalvular leak in a specific patient with a Silzone-coated mechanical heart valve, an assessment of the patient's medical history and medical records at the time must be conducted, as he said that there are a host of factors as being independently significant risk factors, including a history of hypertension and whether surgery was required on an urgent basis. He also said at paragraph 62:</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there are a number of other factors that would have to be assessed to determine specific causation of paravalvular leak in a particular patient. Other confounding factors include annular tissue condition, that is: any calcification of the valve ring and surgery related problems at the time of implant. Other potential factors which must also be considered are the patient's age; medical history; medical condition at the time of surgery; operative factors or surgical technique including, the manner in which the valve conforms to the size of the patients annulus, suture technique and suture failure; tissue failure; and patient healing response. Of particular significance, as will be discussed below, is a history of infective endocarditis. Patients with such a history are known to have a higher risk of subsequent infection.</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terms of endocarditis, Dr. Jamieson said at paragraphs 67-68:</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examination of the records of the 254 patients in the UBC Valve Database who received Silzone (R) valves I determined that there were two cases of prosthetic valve endocarditis, one in the aortic position and one in a multiple replacement. The one event in the aortic position yields a linearized rate of 0.1 percent per patient year for the combined aortic and mitral positions. Thus, data in the UBC Valve Database do not demonstrate evidence of a statistically significant difference between the rate of prosthetic valve endocarditis in the Silzone (R) valve recipients and the background rate for prosthetic valve endocarditis represented by the OPC.</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Silzone (R) coating on heart valves does not materially increase the risk of infective endocarditis. Patients with Silzone (R) valves are not currently at any increased risk of infective endocarditis due to the Silzone (R)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terms of the analysis required to assess cause of any infective endocarditis, Dr. Jamieson said at paragraphs 69-70 and 74, with respect to prosthetic valve endocarditis (PVE):</w:t>
      </w:r>
      <w:r>
        <w:rPr>
          <w:rFonts w:ascii="arial" w:eastAsia="arial" w:hAnsi="arial" w:cs="arial"/>
          <w:sz w:val="20"/>
          <w:lang w:val="en-US" w:eastAsia="en-US" w:bidi="ar-SA"/>
        </w:rPr>
        <w:cr/>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determine the specific cause of prosthetic valve endocarditis associated with any Silzone (R) valve in any patient a host of possible causes must be considered. For example, the 2004 Canadian Consensus, describes certain causes for early and late prosthetic valve infective endocarditis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Early prosthetic valve endocarditis occurs in the first 60 days of implantation and is likely due to a break in surgical technique or transient episodes of bacteremia from wound infections, venous catheters or postoperative pneumonia. The nosocomial origin of early PVE is due to staphylococcal organisms, Gram-negative bacilli and possibly fungi.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Late PVE occurs from bacteremia from dental procedures or infections, skin infections, abdominal infections (diverticulitis, cholecytitis) and invasive medical procedures. The organisms are streptococcal and enterococcal species.</w:t>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recognized that a predisposing heart condition and intravenous drug use can give rise to prosthetic valve endocarditis. Other risk factors include the general risks associated with implanted biomaterials; a history of native or prosthetic valve infective endocarditis; infection elsewhere in the body, particularly the mouth, sinus, ear, skin and urinary tract; a history of chronic disease associated with decreased immunity and resistance to infections such as chronic valvular heart disease with congestive cardiac failure, treatment with immunosuppressive drugs, and inflammatory bowel disease; chronic renal disease; chronic liver disease; chronic disorders of the blood in which immunity is compromised; chronic alcoholism; obesity; diabetes and duration of the cardiac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the host of causes that can give rise to prosthetic valve endocarditis specific causation can only be determined upon an individual analysis of the patient's medical history and his or her specific medical condition at the time prosthetic valve endocarditis is diagnosed.</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Jamieson also discussed the risk of thrombosis or thromboembolism. He said at paragraphs 75 and 77-79:</w:t>
      </w:r>
      <w:r>
        <w:rPr>
          <w:rFonts w:ascii="arial" w:eastAsia="arial" w:hAnsi="arial" w:cs="arial"/>
          <w:sz w:val="20"/>
          <w:lang w:val="en-US" w:eastAsia="en-US" w:bidi="ar-SA"/>
        </w:rPr>
        <w:cr/>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Thrombus is a blood clot. Valve thrombus is thrombus attached to or near the prosthetic heart valve, occluding blood flow or interfering with function (proved by operation, autopsy, or clinical investigation), exclusive of infection. The formation and presence of a blood clot or thrombus is described as thrombosis. A travelling thrombus is called an embolism. Thromboembolism or a thromboembolic event is the process by which a thrombus or embolism obstructs a vessel. Thromboembolic events consist of major cerebrovascular accidents, transient ischemic attacks ("TIA"), reversible ischemic neurologic deficits ("RIND"), arterial embolization and embolic myocardial infarction. Most symptoms of a TIA disappear within an hour, although they may persist for up to 24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examination of the records of the 254 patients in the UBC Valve Database who received Silzone (R) valves in the Seven Year Study I determined that only one patient was diagnosed with thrombosis in the period from two to seven years post implant, which was in the mitral position. The linearized rate in the combined aortic and mitral positions was 0.1 percent per patient year. Thus, data in the UBC Valve Database do not demonstrate evidence of a statistically significant difference between the rate of thrombosis in the Silzone (R) valve recipients and the background rate for thrombosis represented by the OPC.</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examination of the records of the 254 patients in the UBC Valve Database who received Silzone (R) valves as part of the Seven Year Study I determined that there were 41 late (or post 30 day) thromboembolic events, yielding a linearized rate of 3.3 percent per patient year. Thus, data in the UBC Valve Database do not demonstrate evidence of a statistically significant difference between the rate of thromboembolism in the Silzone (R) valve recipients and the background rate for thromboembolism represented by the OPC.</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Silzone (R) coating on heart valves does not materially increase the risk of thrombosis or thromboembolic events. Patients with Silzone (R) valves are not currently at any increased risk of thrombosis or thromboembolic events due to the Silzone (R)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Jamieson disagrees with the authors of the Cardiff Embolic Risk Factor Study that there is an increased risk of thromboembolism to patients implanted with a Silzone valve. He referred to an article entitled, "The Silzone Effect: how to reconcile contradictory reports" (at E-36) and says at paragraphs 30-36 of his March 18, 2008 affidavit:</w:t>
      </w:r>
      <w:r>
        <w:rPr>
          <w:rFonts w:ascii="arial" w:eastAsia="arial" w:hAnsi="arial" w:cs="arial"/>
          <w:sz w:val="20"/>
          <w:lang w:val="en-US" w:eastAsia="en-US" w:bidi="ar-SA"/>
        </w:rPr>
        <w:cr/>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various reviews of the AVERT data in which I been involved (along with my AVERT colleagues) there has not been any statistically significant difference in the rates of thromboembolic events between the Silzone (R) valve recipient group and the non-Silzone (R) group.</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a 2003 paper entitled "Incidence of Embolism and Paravalvular Leak after St. Jude Silzone (R) Valve Implantation: Experience from the Cardiff Embolic Risk Factor Study" ("Cardiff Paper").</w:t>
      </w:r>
    </w:p>
    <w:p>
      <w:pPr>
        <w:numPr>
          <w:numId w:val="6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Cardiff Paper was based on a single centre study of risk factors for stroke after valve replacement in which the researchers compared the results of 51 Silzone (R) patients with 116 St. Jude Medical standard valve patients matched for stroke risk factors.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results in the Cardiff Paper are not as scientifically reliable as the AVERT results. AVERT was a randomized multi-centre clinical trial. Single centre non-randomized studies like the Cardiff study cannot form a valid scientific basis upon which to found conclusions pertaining to medical risks and complications inherent with prosthetic heart valves. Single centre studies are recognized as not being as reliable for a number of reasons including, an unidentified bias in patient selection or testing, the historical "control" group not being representative of the general population or the existence of a confounding factor which independently affects the underlying heart disease or the particular complication being examined.</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authors of the Cardiff Paper did not report an increased risk of paravalvular leak, endocarditis, hemorrhage, or death with the Silzone (R) valve. They reported comparable results for thromboembolic events in patients with an aortic valve replacement. However, for patients with mitral and double valve replacements, they found freedom from major thromboembolism rates of 65 percent for Silzone (R) valves and 95 percent for standard valves for the first three months post implant. There were no major thromboembolic events that occurred following the three month post implant period. The authors concluded, "The increased major thromboembolic risk seems to be an early phenomenon (less than three months after placement) and so patients who have now had a Silzone (R) valve implanted for several years may not be at higher risk".</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instructed that Mr. Butchart believes that there is an increased risk of thromboembolism in the mitral position to patients implanted with a Silzone (R) valve, even after seven years.</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my research outlined in this Affidavit and my review of the medical literature on the topic, I disagree with Mr. Butchart's opinion that there is an increased risk of thromboembolism to patients implanted with a Silzone (R) valve. To my knowledge no other researcher who has published in this area shares Mr. Butchart's view.</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terms of the risk of haemorrhage, Dr. Jamieson said that individual analysis is required to assess the cause of any major haemorrhage, but he said generally as follows at paragraphs 81-83:</w:t>
      </w:r>
      <w:r>
        <w:rPr>
          <w:rFonts w:ascii="arial" w:eastAsia="arial" w:hAnsi="arial" w:cs="arial"/>
          <w:sz w:val="20"/>
          <w:lang w:val="en-US" w:eastAsia="en-US" w:bidi="ar-SA"/>
        </w:rPr>
        <w:cr/>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2004 Canadian Consensus provides that the rate of all haemorrhage for patients with mechanical valves is approximately 15 percent by 15 years post implant.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examination of the records of the 254 patients in the UBC Valve Database who received Silzone (R) valves in the Seven Year Study I determined that there were eight haemorrhage events in the aortic position, 15 events in the mitral position and seven events in multiple replacement patients. The combined 23 events in the aortic and mitral positions yields a linearized rate of 1.9 percent per patient year. Thus, data in the UBC Valve Database do not demonstrate evidence of a statistically significant difference between the rate of haemorrhage in the Silzone (R) valve recipients and the background rate for haemorrhage represented by the OPC.</w:t>
      </w:r>
    </w:p>
    <w:p>
      <w:pPr>
        <w:numPr>
          <w:numId w:val="6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Silzone (R) coating on heart valves does not materially increase the risk of haemorrhage. Patients with Silzone (R) valves are not currently at any increased risk of haemorrhage due to the Silzone (R) coating.</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terms of the risk of death, by way of the analysis of the UBC Database, Dr. Jamieson said as follows at paragraphs 86-87:</w:t>
      </w:r>
      <w:r>
        <w:rPr>
          <w:rFonts w:ascii="arial" w:eastAsia="arial" w:hAnsi="arial" w:cs="arial"/>
          <w:sz w:val="20"/>
          <w:lang w:val="en-US" w:eastAsia="en-US" w:bidi="ar-SA"/>
        </w:rPr>
        <w:cr/>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examination of the records of the 254 patients in the UBC Valve Database who received Silzone (R) valves in the Seven Year Study I determined that five years after implantation the survival rate was 86 percent and at seven years was 80.3 percent. These survival rates were very similar to those in the AVERT study. The survival rates in the Seven Year Study were also similar to the survival rates for other mechanical heart valve recipients in the same age ranges in the mainland of British Columbia.</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Silzone (R) coating on heart valves does not materially increase the risk of death and such patients are not at any materially increased risk of death due to the Silzone (R)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Jamieson also disagreed with Mr. Butchart, one of the authors of the Cardiff Paper, that Silzone patients require special monitoring. In terms of drug therapy, he says that the two types of medication required, anti-coagulants and antibiotics, are the same regardless of the type of mechanical heart valve and that any other medications are related to the underlying disease, processes experienced by the patient. In his summary, Dr. Jamieson says as follows at paragraphs 108 and 109:</w:t>
      </w:r>
      <w:r>
        <w:rPr>
          <w:rFonts w:ascii="arial" w:eastAsia="arial" w:hAnsi="arial" w:cs="arial"/>
          <w:sz w:val="20"/>
          <w:lang w:val="en-US" w:eastAsia="en-US" w:bidi="ar-SA"/>
        </w:rPr>
        <w:cr/>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Silzone (R) valve recipients face the same risks and complications as do patients implanted with any type of mechanical heart valve. The cause of any particular complication must be assessed in light of the patient's medical history - as valve replacement does not generally cure the underlying heart disease - and in light of the patient's condition at the time the complication occurs.</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rates of adverse events in patients in the UBC Valve Database who were implanted with a Silzone do not demonstrate evidence of a statistically significant difference from the background rate for the applicable Objective Performance Criteria. In my opinion they demonstrate that there is no increased risk of complications in that patient group.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Mogerman questions whether Dr. Jamieson's work could be considered to be a rigorous statistical analysis, much less a study of causation of injuries from the Silzone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Expert Evidence from Ontario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applicants in support of the application to approve the settlement filed the experts' affidavits that were filed in the Ontario proceedings. These include: Alan R. Flory, Vice-President of Clinical and Regulatory Affairs of St. Jude Medical Inc.'s Cardiac Surgery Division (affidavits sworn June 29, 2001, January 20, 2003, March 24, 2003, and May 28, 2003); Dr. Henry Frank Mizgala, cardiologist (affidavits sworn June 28, 2001 and January 18, 2003); Dr. Lee Edward Errett, cardiac surgeon (affidavits sworn June 28, 2001, January 20, 2003, and March 21, 2003); Dr. Jack Hirsh, clinical internist and haematologist (affidavits sworn June 29, 2001, January 20, 2003 and March 20, 2003); Dr. Judith K. Jones, pharmacoepidemiologist, clinical pharmacologist, and internist (affidavits sworn January 27, 2003 and March 21, 2003); Dr. Joseph V. Rodricks, toxicologist (affidavits sworn June 25, 2001 and March 28, 2003); Dr. Frederick J. Schoen, Professor of Pathology (affidavits sworn May 7, 2002 and June 19, 2002); Dr. H. Grant Stiver, physician in the field of infectious diseases (affidavits sworn January 16, 2003 and March 24, 2003); and Dr. Michael K. Popkin, psychiatrist (affidavit sworn June 28,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One of the experts, Dr. Judith Jones, a pharmacoepidemiologist and internist engaged in studying drug and medical product safety, deposed that, in the AVERT study post-18 months, there was no statistically significant difference in the experience of major paravalvular leak between Silzone patients and those with conventional valves. She said that the data from AVERT showed no increased risk of thromboembolic events or any increase risk of prosthetic valve endocarditis in those patients with a Silzone heart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 Filed by the Objectors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Mr. Mogerman asserts that it cannot be said with certainty that, apart from increased early major PVL, there is no risk that the Silzone valve will not cause future harm to the class members. The objectors say that Dr. Jamieson's analysis of the U.B.C. Valve Database does not purport to be a rigorous statistical study, much less an analysis of whether the injuries of any particular class member were caused by St. Jude Medical's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Mr. Mogerman's submission, I should not resolve that issue, the extent of future risk, on this application, and should reject the proposed settlement. He says that there is a serious contest in the evidence, and in that respect relies on the evidence that he extracted from the expert evidence that was filed in the certification proceedings in Ontario. Let me review some of the highlights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objectors referred to four affidavits from Dr. David L. Sackett, who has been engaged in internal medicine clinical practice, teaching and research, with a major focus on determining the efficacy and safety of drugs and operations since 1967. In his initial affidavit, sworn in 2001, he provided this opinion in his summary at paragraph 30:</w:t>
      </w:r>
      <w:r>
        <w:rPr>
          <w:rFonts w:ascii="arial" w:eastAsia="arial" w:hAnsi="arial" w:cs="arial"/>
          <w:sz w:val="20"/>
          <w:lang w:val="en-US" w:eastAsia="en-US" w:bidi="ar-SA"/>
        </w:rPr>
        <w:cr/>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human terms, the degree of harm done by Silzone valves to patients who receive them is huge:</w:t>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every 48 patients given Silzone (rather than conventional) valves, one more patient will suffer a major paravalvular leak;</w:t>
      </w:r>
    </w:p>
    <w:p>
      <w:pPr>
        <w:numPr>
          <w:numId w:val="7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every 23 patients given Silzone (rather than conventional) valves, one more patient will have to undergo repeat major heart surgery for valve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Sackett at that time expressed concern about the delay in the AVERT results not being subject to any peer-reviewed full-length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his second affidavit sworn in April 2002, Dr. Sackett points out that the AVERT study had been subject to a peer review and publication in a journal since his initial affidavit. The report set out follow-up data on patients who received Silzone valves. At two years of follow-up, the freedom from explant rate was 90.1% in the Silzone patients, compared to 99.4% in the non-Silzone group. He said, at paragraph 6 of his second affidavit, "Put another way, for every 11 patients who received a Silzone valve, one more of them had to undergo a valve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his fourth affidavit sworn April 16, 2003, Dr. Sackett deposed, at paragraph 16:</w:t>
      </w:r>
      <w:r>
        <w:rPr>
          <w:rFonts w:ascii="arial" w:eastAsia="arial" w:hAnsi="arial" w:cs="arial"/>
          <w:sz w:val="20"/>
          <w:lang w:val="en-US" w:eastAsia="en-US" w:bidi="ar-SA"/>
        </w:rPr>
        <w:cr/>
      </w:r>
    </w:p>
    <w:p>
      <w:pPr>
        <w:numPr>
          <w:numId w:val="7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Silzone valve was clearly extremely harmful in the short run. Due to the small numbers of long-term patients and the wide confidence intervals for their continuing application rates, we simply cannot yet discern from the AVERT trial whether the Silzone valve is also harmful in the long run. Given the severity of these complications and the previous dangerous track record of the Silzone valve, the continued, complete follow-up of all the patients in the AVERT trial, under the scrutiny of an independent review body whose members have no financial ties to St. Jude Medical, Inc., is essential to determine the magnitude of future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objectors referred to the affidavit of Dr. Charles Harry Goldsmith, a professor of clinical epidemiology and biostatistics at McMaster University. In his February 25, 2003 affidavit, he noted that the AVERT study was to detect a 50% reduction in the risk of prosthetic valve endocarditis, but that the trial was stopped early. His analysis was that the sample sizes were too small to support the analysis in an affidavit of Dr. Judith K. Jones dated January 27, 2003, but he said that one size was large enough and it showed that even after two years a higher percentage of patients with Silzone valves (11.3%) had a paravalvular leak than with conventional valves (8.7%). He says that it does not follow from Dr. Jones' conclusion that this 2.6% difference is not statistically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Dr. Goldsmith's April 17, 2003 affidavit, he analysed the AVERT data and found that there is a significantly higher risk of adverse events in Silzone valve recipients as compared to conventional valve recipients, and that Silzone valve recipients have a lower chance of being event-free at both the 24 and 36 month marks. He concluded, at paragraph 26, that:</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Dr. Jones' conclusion that "the AVERT data does not provide any evidence that patients with Silzone valves are currently at a greater risk for major paravalvular leak or any other complication followed in AVERT" ... is simply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objectors referred to a number of affidavits from Dr. Gregory John Wilson, a pathologist at The Hospital for Sick Children in Toronto. He expressed the opinion, with reference to a number of reports, including the AVERT study, at paragraph 183 in his affidavit sworn February 7, 2002, that:</w:t>
      </w:r>
      <w:r>
        <w:rPr>
          <w:rFonts w:ascii="arial" w:eastAsia="arial" w:hAnsi="arial" w:cs="arial"/>
          <w:sz w:val="20"/>
          <w:lang w:val="en-US" w:eastAsia="en-US" w:bidi="ar-SA"/>
        </w:rPr>
        <w:cr/>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all of the above-mentioned reports and data, combined with observations of poor healing on the silver coated sewing rings of Silzone valves, provides strong support for the conclusion that the Silzone coating increases the risk for thrombus build-up and, with it, the risk of thromboembolism, thromboembolic stroke and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summary of his opinions at paragraphs 215-218, Dr. Wilson says:</w:t>
      </w:r>
      <w:r>
        <w:rPr>
          <w:rFonts w:ascii="arial" w:eastAsia="arial" w:hAnsi="arial" w:cs="arial"/>
          <w:sz w:val="20"/>
          <w:lang w:val="en-US" w:eastAsia="en-US" w:bidi="ar-SA"/>
        </w:rPr>
        <w:cr/>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Silzone coating frustrates the normal tissue healing process. The normal situation for healing with a mechanical heart valve is a thin, strong pannus coating, into and on the sewing ring, with a thrombo-resistant endothelial cell covering over the pannus. For the Silzone valve, one sees partial or complete attenuation of the tissue healing process, in some cases, pannus overgrowth, in others, and little tissue ingrowth into the sewing ring in all cases. The lack of an endothelial cell covering is noteworthy for all the Silzone valves I have seen.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Silzone valve patients, because of this frustrated healing process, are likely at greater risk of experiencing significant, life-threatening complications.</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Silzone valve patients will require a higher level of monitoring than that required for other mechanical valve patients, in order to protect them from Silzone valve-related morbidity and mortality.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Dr. Wilson's February 24, 2003 affidavit, he provides these conclusions, at paragraph 124: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In summary, it is my opinion that:</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adverse effects of the Silzone coating, including what I have previously referred to as "frustrated healing" are primarily due to silver toxicity;</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spalling ("flaking off") of the silver particles from the sewing cuff spreads the toxic effects of the silver beyond the sewing ring of the valve into nearby tissue;</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Silzone coating interferes with the normal healing process and results in extremes of lack of tissue ingrowth and excessive tissue overgrowth;</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experts have incorrectly cited the medical conditions and treatment received by the individuals whose valves I examined, and have raised a number of "factors" which are irrelevant to those patients;</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photographs of the additional valves which I have reviewed since my last affidavit are consistent with my histological examination of the valves and tissue referred to in my earlier affidavits;</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combination of clinical pathological correlation and the known information regarding silver and the Silzone valve provide a scientifically sound, highly probable explanation of how the Silzone heart valves cause harm to patients receiving them; and,</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patients who have received the Silzone valve have been harmed, and need to be monitored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April 15, 2003 affidavit, Dr. Wilson says:</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with Dr. Hirsh that low INR [anti-coagulation] levels may increase the risk of thromboembolism and stroke in patients with all types of prosthetic heart valves. The important issue is, however, the increased risk of thromboembolism and stroke, beyond that of a normal mechanical heart valve, caused by Silzone. Dr. Hirsh continues to ignore the Toronto General Hospital experience and the published results from the Butchart/Ionescu study, both of which demonstrate serious concerns regarding increased thromboembolic events due to Silzone.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Frank O. Tyers, a now-retired heart surgeon, swore an affidavit on February 22, 2002, where he provided a summary of his opinions at paragraphs 88-90:</w:t>
      </w:r>
      <w:r>
        <w:rPr>
          <w:rFonts w:ascii="arial" w:eastAsia="arial" w:hAnsi="arial" w:cs="arial"/>
          <w:sz w:val="20"/>
          <w:lang w:val="en-US" w:eastAsia="en-US" w:bidi="ar-SA"/>
        </w:rPr>
        <w:cr/>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Silzone patients have in common that they received one or more inadequately tested, unproven, defective mechanical heart valves with silver-coated sewing cuffs. All have been placed at past, current and long-term significantly increased risk.</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Silzone coating acts through a common mechanism that is damaging to the heart and tissues the coating contacts. The results are inflammation, inadequate early and mid-term healing and inappropriate late healing including pannus abnormalities, lack of endothelialization, increased thrombus on poorly adherent tissue at its interface with the fabric of the cuff, increased stroke, increased incidence, larger size and more rapid progression of paravalvular leakage to dehiscence, increased re-operation, increased irreversible deterioration of heart function, increased prosthetic valve endocarditis and increased death. All the observed problems are the expected results of fibroblastic, endothelial and white cell dysfunction caused by exposure to the silver coating.</w:t>
      </w:r>
    </w:p>
    <w:p>
      <w:pPr>
        <w:numPr>
          <w:numId w:val="8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because of these increased risks and, as discussed above, the need for timely diagnosis of them to avoid premature and avoidable deaths, that an aggressive monitoring program is required. This program must include regular transesophageal echocardiograms ["TEE"] as well as other regular studies, so that incipient valve failure can be detected in advance and so that patients may make informed decisions about possible elective explantation. Monitoring must also provide for studies to follow and document other Silzone related risks, and for evaluation of newer, less invasive modalities than 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Literature on the Silzone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McKee, counsel for the defendants, reviewed the published literature that includes 42 published studies, abstracts and case reports on the St. Jude Silzone valves in human beings. They are set out in Dr. Jamieson's affidavit at Exhibits "E"(1) to "E"(43), in chronological order, the most recent being in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understood that this was all of the published peer reviewed literature at least up to the date of the filing of the application for approval of the settlement. The defendants argued that that the published literature on the Silzone valve showed an increased risk of paravalvular leak in the two years post-implant, but indicated that it lost statistical significance thereafter. The defendants say, and this is their key point, that although the evidence of future risk may not be complete, or in some areas in dispute, here in British Columbia, the court and the parties have sufficient evidence to assess the reasonableness of a settlement, because they have evidence of the actual experience and complications for patients implanted with Silzone valves.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will highlight some of this literature that was reviewed by the defendants' counsel Mr. McKee, and by Mr. Mogerman.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Mogerman points to articles in 2001 at "E"(17) and "E"(18) that indicated that the patients enrolled in the AVERT study need special surveillance for early detection of potentially inflammatory reactions to the silver-coated sewing ring. One such report was headed by Dr. Butany of the Toronto General Hospital, which indicated higher rates of valve dehiscence (rupture or splitting open), and noted that events occurred predominantly in the first few months post-implant. As I mentioned, the AVERT study was to be 4,440 people, but stopped at 807 when there were early indicators of increased major paravalvular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That experience in the study was described in an extract entitled "Paravalvular Leak and Other Events in Silzone-Coated Mechanical Heart Valves: A Report From AVERT" authored by fourteen doctors and statisticians, including Dr. Jamieson, presented at a conference in January 2001, and published in the Annals of Thoracic Surgery in 2002. The results indicated major paravalvular leakage occurred in 18 of 403 patients receiving Silzone valves, and 4 of 404 patients without Silzone valves. The conclusions were that Silzone prosthesis has increased the risk of paravalvular leakage requiring reoperation. In Mr. McKee's submission, at this time there were no other complications, but the effect of the Silzone valve had then yet to be studied over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 clinical study called "Prosthetic heart valves with silver-coated sewing cuff fabric: Early morphological features in two patients" published in the Canadian Journal of Cardiology in July 2002, indicated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 model St. Jude Medical Silzone mechanical heart valve prosthesis, designed to prevent infective endocarditis, was associated with clinical features of endocarditis in these two cases. Significant pannus and thrombus were seen on both prostheses, which likely led to emboli and stroke in the first case. The cause of the paravalvular abscess in the second case has not yet been established. The early failure of these prostheses suggests that patients with this prosthesis be followed up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One of the reports at "E"(34), "Incidence of embolism and paravalvar leak after St. Jude Silzone valve implantation: experience from the Cardiff Embolic Risk Factor Study", published in Heart in 2003, said by Mr. McKee to be an outlier, concluded that patients with Silzone mitral valves had a high rate of early postoperative embolism but no excess paravalvar leak. Mr. Mckee said that while others speak of increased paravalvular leak, this article referred to a different condition, increased thromboembolism. I set out Dr. Jamieson's comments on this study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 study called "Thrombogenicity and Reoperation of the St. Jude Medical Silzone (R) Valve: A Comparison with the Conventional St. Jude Medical Valve" published in the Journal of Heart Valve Disease in September 2003,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 Jude Medical Silzone (R) valve was withdrawn from the market after an interim analysis of the AVERT study revealed a 2.76% incidence of paravalvar leakage leading to valve re-replacement, compared with only 1.02% in the control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results of this study were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difference was found in the incidence of either thromboembolism or paravalvar leakage after either Silzone or conventional valve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study was based on 113 patients who received the Silzone valve at the authors' institution, as compared to 101 patients who, immediately prior to the Silzone group, received a conventional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an article entitled "The Silzone effect: how to reconcile contradictory reports?", published in the European Journal of Cardio-thoracic Surgery in 2004, Dr. Gary Grunkemeier and YingXing Wu concluded that the contradictory findings could be partly due to clinical and technical reasons. It indicated that no new events have been reported since the original AVERT and Cardiff Embolic Risk Factor Study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 letter to the editor in the September 2004 issue of the Journal of Heart Valve Disease, four doctors from Christchurch Hospital said that "[a] review of our patients did not indicate any increased risk of thromboembolism, though two patients suffered transient ischemic attacks at times when their INR was subtherapeutic."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McKee suggested that, on the literature, there is an argument available to the defendants that there is no increased paravalvular leak in patients with the Silzone valve. However, he went on to say that is disputed, and that the issue has been resolved as part of the compromise for the proposed settlement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an abstract at "E"(38) entitled "Prevalence and Severity of Paravalvular Regurgitation in the Artificial Valve Endocarditis Reduction Trial (AVERT) Echocardiography Study", published in the Journal of the American College of Cardiology in 2004, several doctors in seven locations, including Dr. Jamieson in Vancouver,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Excluding those patients who had initial prosthetic valve explant, the two-year echocardiographic follow-up of the AVERT cohort shows no statistically significant differences in the prevalence or severity of PVR [paravalvular regurgitation] in the Silzone-coated prosthetic valve compared with the conventional prosthetic valve. Further monitoring is warranted to determine whether these clinical outcomes remain similar on long-term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"Importance of implant technique on risk of major paravalvular leak (PVL) after St. Jude mechanical heart valve replacement: a report from the Artificial Valve Endocarditis Reduction Trial (AVERT)", a further study from hospitals in the United States, Canada and Switzerland (including Dr. Jamieson as the third named author) published in the European Journal of Cardio-thoracic Surgery in 2005, the authors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Suture technique without pledgets is an independent significant risk factor for major PVL events. In this study, use of pledgets during valve replacement had a protective effect against subsequent paravalvular leak, supporting the use of buttress reinforcement for valve suture. The use of Silzone cuff, although not statistically significant, showed a strong trend as a risk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an article, that according to Mr. McKee reviewed all of the data to that time, which was published in the European Journal of Cardio-thoracic Surgery in 2006, entitled "Time-related risk of the St. Jude Silzone heart valve", authored by six doctors in the United States, led by Dr. Grunkemeier, a statistician, the conclusion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additional risks of the Silzone valve, compared to the Control, diminish over time and disappear by 4 years after implant. The minimum time after implant of patients currently alive with Silzone is now well beyond 5 years; thus, these current patients now have a risk profile similar to that of patients with a standard St. Jude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a brief report entitled "Intermediate results of the St. Jude Silzone [TM] Mechanical Heart Valve: Is routine clinical follow-up sufficient?", dated September 2006, Dr. Desai, on behalf of the five doctors involved,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first postoperative year, Silzone (R) valves in the Mitral position were associated with a high rate of explantation. After the first year, outcomes of the Silzone (R) valve appear to be similar to other mechanical prostheses and we do not recommend any special surveillance beyond routine annual clinical and echocardiographic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an article entitled "Pathologic Analysis of 19 Heart Valves With Silver-Coated Sewing Rings", the lead author of which is Dr. Butany, published in the Journal of Cardiac Surgery in 2006, the conclusion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the largest morphologically analyzed series of Silzone (R) explants. It demonstrates a consistent pattern of atypical tissue incorporation into the silver-coated sewing ring particularly in the mitral position. Clinical and morphologic features of IE (sterile) are seen in the early postimplant period. Prosthesis-related problems were almost wholly seen at the mitral site, in our group. Our current data indicate that although early failure due to dehiscence and paravalvular leak is a problem, Silzone (R) valves that "survive" past six months will likely function as well as the [St. Jude Medical] - standard prosthesis.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Mogerman, however, directed my attention to this section in the above-mentioned article: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removal of the Silzone (R) valve from the market, we had noted an unusually high number of early valve failures with the Silzone (R) valve. In comparison, no early valve explants of the St. Jude Medical Standard bileafel valve had occurred at our institution in the two years immediately prior to removal of the Silzone (R) valve from the worldwide market. In this paper, we describe our institutional experience with Silzone (R) valve examined pathologically after surgical explantation for prosthesis failure or at autopsy. Infective endocarditis occurs with most prosthetic valves, and its incidence continues through the lifetime of the device. It is likely that the infection starts on the thrombi deposited on the device (or in the fabric of the sewing cuff and perivalvular region) and that the thrombus, infected or otherwise, can lead to embolism.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final study that was filed in evidence before me was authored by Dr. Dandekar and three others, entitled "Silzone-Coated St. Jude Medical Valves: Six-Year Experience in 46 Patients", published in the Journal of Heart Valve Disease in January 2007. They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single-center, non-randomized study of 46 patients, the findings of increased paravalvular leak with the Silzone valve, as identified in AVERT study, could not be confirmed. Moreover, the incidence of thromboembolic complications reported was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Comments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objectors say that, at best, there is a serious contest in the evidence about whether it can be said with certainty that there is no risk that the Silzone-coated mechanical heart valve will cause future harm to the class members. They say that, at a minimum, there is increased risk of early major paravalvular leak, and perhaps increased other risks, including thromboembolism.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proponents of the settlement say that the literature as a whole, at worst, indicates that the risk of major PVL exceeded the background rate for the period thirty days to two years post-implant, but it was not statistically different thereafter. They say that the literature on the whole does not demonstrate a higher rate for any complications, including thromboembolic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considering the merits of the settlement, it is not necessary for me to reach any final conclusions on the expert evidence. That would be difficult if not impossible, because I have not had the advantage of hearing the experts under cross-examination. However, from counsel's review of the expert evidence and the literature I am able to have a reasonable understanding of the scope of the dispute from a scientific and medical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What is significant in the case before me is that I have the benefit of evidence of the complications actually suffered by the members of the proposed class in B.C. Although the literature and affidavits from the experts are, to a certain extent, in dispute about the scope and extent of possible complications, including any future risk (and are, to some extent, dated), I find it is a fair argument that, based on what was put before me, including the experience of the people in the B.C. class, the only identified risk that was associated with the Silzone valve was increased major paravalvular leak in the first two years post-implant. Although there are other possible complications than PVL, the literature and the actual experience of the B.C. class tends to show that thrombisis, thromboembolism, haemorrhage and endocarditis are not suffered by the B.C. class in greater amounts then the usual complication rate from mechanical heart valve implantation.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have considered Mr. Mogerman's submissions about the possible shortcomings and conflict in the expert evidence. However, I have concluded that the state of the evidence from the experts, the literature, and the experience of the members of the B.C. class, properly weighed, was sufficient for counsel to reach conclusions on the likelihood of success, and negotiate a settlement. I also find that it was reasonable for the representative plaintiff' counsel to approach the settlement on the basis that the only significant complication that might be identified as flowing from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increased paravalvular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relating to alleged psychological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However, evidence was filed by several objectors as to their experience with the Silzone valve, particularly in emotional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One objector, L.B., who had the Silzone valve implanted in 1998, said that she became angry and upset upon learning of the allegedly defective Silzone-coated mechanical heart valve. That objector's spouse, G.B., says there is not enough money to compensate his wife for what she will go through for the rest of her life because of this valve, and the worries that they have about whether it will be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Another objector, W.D., received a mitral replacement valve in 1999. His wife, K.D., described her husband as being "beside himself" when he learned of the recall in 2000. Mr. D. learned about the recall from a friend at dinner in January 2000. The next day, he learned that the recall pertained to St. Jude, and if he had one of the valves it could malfunction at any time, causing a massive stroke or even death. He went on the internet to look up the serial number on his valve, and he said it felt like being hit by a wet bag of cement when he saw the number.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felt as if I was marked for death. I started to cry but I had to fight my tears because I was in the middle of a very busy travel office. I was in a total daze for lack of a better word. I started to have chest pains. I had just gone through hell (the replacement of the mitral valve) and now apparently I was going to have to do it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dumbfounded to receive a letter that proposed a settlement in my case for $500.00, especially in light of the fact that I had never been contacted personally by anyone at Poyner Baxter's office to ask about my health or what stress and anxiety I and my family have lived with since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says he is living with some symptoms, including "pain, shortness of breath, digestive problems, fatigue and anxiety". He said, "[t]he hardest thing for me is not knowing. I do not know if my St. Jude valve will last another 2 years or 20 years". He said he was gravely worried about the impact the defect with have on this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One objector, J.R., had a porcine aortic valve replacement in 1988, and in 1999 was diagnosed with severe prosthetic valve aortic stenosis. She underwent aortic valve replacement in 1999 and received a St. Jude Medical mechanical heart valve with the Silzone coated sewing cuff. She had initial leakage which she was advised was gone after one year. When she first heard of the recall, she was extremely upset and, in her husband's words, "the hair on the back of [her] neck stood up". She says when she later discovered after her surgery that the valve had been removed from hospital use and the study was being discontinued she was disappointed and scared. Mr. Newlands, one of class counsel in Ontario, recommended she see Dr. Frank Tyers. She was advised by him that St. Jude valves have significant short-term and long-term problems for recipients, and that the scar tissue in her heart is holding the valve in place. She describes her problems as shortness of breath, weakness, dizzy spells, passing out, and now poor memory. She says that as a result of the stress she has put on weight, lost sleep, and her family has had to endure a lot of stress. She says when she thinks about how uncertain her future is she gets very emotional and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A.J. received a St. Jude mechanical heart valve in 1999. She deposes she considers the $500 settlement ridiculous. She has had shortness of breath, dizzy spells, and a blood clots removed from her leg, but does not believe she had a paravalular leak. She said, at paragraph 15 of her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Everyday I live in fear. I lie in bed at night, listening to the valve pounding away, and worrying about what will happen if it stops. I take it one day at a time, but am always wondering what [the] future holds, and am very uncertain about my health because of the valve. Discussing the recall and the uncertainty of my future upsets my family, particularly my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Another of the objectors, F.B., was born in 1958 and received a St. Jude mechanical heart valve as part of mitral heart valve replacement in December 1998. F.B. had complications and in 1999 spent ten days in St. Paul's Hospital, where he had 2-2 1/2 litres of blood removed from a sac located between his heart and the lining. He was diagnosed by Dr. Edward Chan as suffering from dermatographism, a condition brought on by stress which his doctor indicated was likely the result of the stress related to valve surgery and the Silzone valve that was implanted. He describes that not knowing what the future may hold is upsetting and he feels like he is a walking time bomb, that the stress has affected him not only health-wise, but in his marriage and family life. He has only taken a few days off work because of his health since surgery, and he thinks he should have taken more but his job has always been important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APPROVAL OF SETTLEMENT - THE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s. 35(1), a settlement is not binding unless approved by the court. Section 35(1)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may be settled, discontinued or abandoned only</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approval of the court,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terms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For a settlement to be approved, it must be fair, reasonable, and in the best interests of the class: </w:t>
      </w:r>
      <w:r>
        <w:rPr>
          <w:rFonts w:ascii="arial" w:eastAsia="arial" w:hAnsi="arial" w:cs="arial"/>
          <w:b/>
          <w:i/>
          <w:color w:val="000000"/>
          <w:sz w:val="20"/>
          <w:lang w:val="en-US" w:eastAsia="en-US" w:bidi="ar-SA"/>
        </w:rPr>
        <w:t>Dabbs v. Sun Life Assurance Co. of Canada,</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[1998] O.J. No. 1598</w:t>
        </w:r>
      </w:hyperlink>
      <w:r>
        <w:rPr>
          <w:rFonts w:ascii="arial" w:eastAsia="arial" w:hAnsi="arial" w:cs="arial"/>
          <w:color w:val="000000"/>
          <w:sz w:val="20"/>
          <w:lang w:val="en-US" w:eastAsia="en-US" w:bidi="ar-SA"/>
        </w:rPr>
        <w:t xml:space="preserve"> (C.J. (Gen. Div.)) ["</w:t>
      </w:r>
      <w:r>
        <w:rPr>
          <w:rFonts w:ascii="arial" w:eastAsia="arial" w:hAnsi="arial" w:cs="arial"/>
          <w:b/>
          <w:i/>
          <w:color w:val="000000"/>
          <w:sz w:val="20"/>
          <w:lang w:val="en-US" w:eastAsia="en-US" w:bidi="ar-SA"/>
        </w:rPr>
        <w:t>Dabbs No. 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discussing whether to approve the settlement, the court may take into account the following factors, which were articulated by Sharpe J. in </w:t>
      </w:r>
      <w:r>
        <w:rPr>
          <w:rFonts w:ascii="arial" w:eastAsia="arial" w:hAnsi="arial" w:cs="arial"/>
          <w:b/>
          <w:i/>
          <w:color w:val="000000"/>
          <w:sz w:val="20"/>
          <w:lang w:val="en-US" w:eastAsia="en-US" w:bidi="ar-SA"/>
        </w:rPr>
        <w:t>Dabbs No. 1</w:t>
      </w:r>
      <w:r>
        <w:rPr>
          <w:rFonts w:ascii="arial" w:eastAsia="arial" w:hAnsi="arial" w:cs="arial"/>
          <w:color w:val="000000"/>
          <w:sz w:val="20"/>
          <w:lang w:val="en-US" w:eastAsia="en-US" w:bidi="ar-SA"/>
        </w:rPr>
        <w:t xml:space="preserve"> at para. 13, the final two factors were added by Winkler J. in </w:t>
      </w:r>
      <w:r>
        <w:rPr>
          <w:rFonts w:ascii="arial" w:eastAsia="arial" w:hAnsi="arial" w:cs="arial"/>
          <w:b/>
          <w:i/>
          <w:color w:val="000000"/>
          <w:sz w:val="20"/>
          <w:lang w:val="en-US" w:eastAsia="en-US" w:bidi="ar-SA"/>
        </w:rPr>
        <w:t>Parsons v. Canadian Red Cross Society</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(1999), 40 C.P.C. (4th) 151</w:t>
        </w:r>
      </w:hyperlink>
      <w:r>
        <w:rPr>
          <w:rFonts w:ascii="arial" w:eastAsia="arial" w:hAnsi="arial" w:cs="arial"/>
          <w:color w:val="000000"/>
          <w:sz w:val="20"/>
          <w:lang w:val="en-US" w:eastAsia="en-US" w:bidi="ar-SA"/>
        </w:rPr>
        <w:t xml:space="preserve"> at para. 71 (Ont. S.C.J.):</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likelihood of recovery or likelihood of success;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amount and nature of discovery, evidence or investigation;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terms and conditions;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 and experience of counsel;</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expense, likely duration of litigation, and risk;</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 of neutral parties, if any;</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objectors and nature of objections;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good faith, arms length-bargaining, and the absence of collusion;</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and nature of communications by counsel and the representative plaintiff with class members during the litigation;</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conveying to the court the dynamics of, and the positions taken by the parties during the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As noted in </w:t>
      </w:r>
      <w:r>
        <w:rPr>
          <w:rFonts w:ascii="arial" w:eastAsia="arial" w:hAnsi="arial" w:cs="arial"/>
          <w:b/>
          <w:i/>
          <w:color w:val="000000"/>
          <w:sz w:val="20"/>
          <w:lang w:val="en-US" w:eastAsia="en-US" w:bidi="ar-SA"/>
        </w:rPr>
        <w:t>Parsons</w:t>
      </w:r>
      <w:r>
        <w:rPr>
          <w:rFonts w:ascii="arial" w:eastAsia="arial" w:hAnsi="arial" w:cs="arial"/>
          <w:color w:val="000000"/>
          <w:sz w:val="20"/>
          <w:lang w:val="en-US" w:eastAsia="en-US" w:bidi="ar-SA"/>
        </w:rPr>
        <w:t xml:space="preserve"> at para. 73 these factors should be a guide in the process, and nothing more, and in any particular case some factors will have greater significance than others, and weight should be attributed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According to Groberman J., as he then was, in </w:t>
      </w:r>
      <w:r>
        <w:rPr>
          <w:rFonts w:ascii="arial" w:eastAsia="arial" w:hAnsi="arial" w:cs="arial"/>
          <w:b/>
          <w:i/>
          <w:color w:val="000000"/>
          <w:sz w:val="20"/>
          <w:lang w:val="en-US" w:eastAsia="en-US" w:bidi="ar-SA"/>
        </w:rPr>
        <w:t>Jeffery v. Nortel Networks Corp.</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2007 BCSC 69</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68 B.C.L.R. (4th) 317</w:t>
        </w:r>
      </w:hyperlink>
      <w:r>
        <w:rPr>
          <w:rFonts w:ascii="arial" w:eastAsia="arial" w:hAnsi="arial" w:cs="arial"/>
          <w:color w:val="000000"/>
          <w:sz w:val="20"/>
          <w:lang w:val="en-US" w:eastAsia="en-US" w:bidi="ar-SA"/>
        </w:rPr>
        <w:t xml:space="preserve"> at para. 28, the relevant factors on an application to approve a settlement may be summarized in four questions: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counsel of sufficient experience and ability undertaken sufficient investigations to satisfy the court that the settlement is based on a proper analysis of the claim?</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 reason to believe that collusion or extraneous considerations have influenced negotiations such that an inappropriate settlement may have been reached?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cost/benefit analysis, are the plaintiffs well-served by accepting the settlement rather than proceeding with the litigation?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sufficient information been provided to the members of the class represented by representative plaintiffs, and, if so, are they generally favourably disposed to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onus of satisfying the court that the settlement should be approved is on the party seeking approval: </w:t>
      </w:r>
      <w:r>
        <w:rPr>
          <w:rFonts w:ascii="arial" w:eastAsia="arial" w:hAnsi="arial" w:cs="arial"/>
          <w:b/>
          <w:i/>
          <w:color w:val="000000"/>
          <w:sz w:val="20"/>
          <w:lang w:val="en-US" w:eastAsia="en-US" w:bidi="ar-SA"/>
        </w:rPr>
        <w:t>Dabbs No. 1</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basic question is whether the settlement is fair and reasonable, and in the best interests of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To some degree, the representative plaintiff and the defendants focussed on what I might call the </w:t>
      </w:r>
      <w:r>
        <w:rPr>
          <w:rFonts w:ascii="arial" w:eastAsia="arial" w:hAnsi="arial" w:cs="arial"/>
          <w:b/>
          <w:i/>
          <w:color w:val="000000"/>
          <w:sz w:val="20"/>
          <w:lang w:val="en-US" w:eastAsia="en-US" w:bidi="ar-SA"/>
        </w:rPr>
        <w:t>Jeffery</w:t>
      </w:r>
      <w:r>
        <w:rPr>
          <w:rFonts w:ascii="arial" w:eastAsia="arial" w:hAnsi="arial" w:cs="arial"/>
          <w:color w:val="000000"/>
          <w:sz w:val="20"/>
          <w:lang w:val="en-US" w:eastAsia="en-US" w:bidi="ar-SA"/>
        </w:rPr>
        <w:t xml:space="preserve"> four questions, while the objectors focussed on the </w:t>
      </w:r>
      <w:r>
        <w:rPr>
          <w:rFonts w:ascii="arial" w:eastAsia="arial" w:hAnsi="arial" w:cs="arial"/>
          <w:b/>
          <w:i/>
          <w:color w:val="000000"/>
          <w:sz w:val="20"/>
          <w:lang w:val="en-US" w:eastAsia="en-US" w:bidi="ar-SA"/>
        </w:rPr>
        <w:t>Dabbs No. 1</w:t>
      </w:r>
      <w:r>
        <w:rPr>
          <w:rFonts w:ascii="arial" w:eastAsia="arial" w:hAnsi="arial" w:cs="arial"/>
          <w:color w:val="000000"/>
          <w:sz w:val="20"/>
          <w:lang w:val="en-US" w:eastAsia="en-US" w:bidi="ar-SA"/>
        </w:rPr>
        <w:t xml:space="preserve"> factors as supplemented by later authority. However, both approaches are simply a guide or means of reviewing the evidence and the relevant considerations so that the Court may determine if the settlement is fair, reasonable, and in the best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court has to scrutinize the evidence carefully and ensure that it has sufficient evidence to be satisfied that the settlement is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As Sharpe J., as he then was, stated in </w:t>
      </w:r>
      <w:r>
        <w:rPr>
          <w:rFonts w:ascii="arial" w:eastAsia="arial" w:hAnsi="arial" w:cs="arial"/>
          <w:b/>
          <w:i/>
          <w:color w:val="000000"/>
          <w:sz w:val="20"/>
          <w:lang w:val="en-US" w:eastAsia="en-US" w:bidi="ar-SA"/>
        </w:rPr>
        <w:t>Dabbs v. Sun Life Assurance Co. of Canada</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(1998), 40 O.R. (3d) 429</w:t>
        </w:r>
      </w:hyperlink>
      <w:r>
        <w:rPr>
          <w:rFonts w:ascii="arial" w:eastAsia="arial" w:hAnsi="arial" w:cs="arial"/>
          <w:color w:val="000000"/>
          <w:sz w:val="20"/>
          <w:lang w:val="en-US" w:eastAsia="en-US" w:bidi="ar-SA"/>
        </w:rPr>
        <w:t xml:space="preserve"> at 439-440, </w:t>
      </w:r>
      <w:hyperlink r:id="rId371" w:history="1">
        <w:r>
          <w:rPr>
            <w:rFonts w:ascii="arial" w:eastAsia="arial" w:hAnsi="arial" w:cs="arial"/>
            <w:i/>
            <w:color w:val="0077CC"/>
            <w:sz w:val="20"/>
            <w:u w:val="single"/>
            <w:shd w:val="clear" w:color="auto" w:fill="FFFFFF"/>
            <w:lang w:val="en-US" w:eastAsia="en-US" w:bidi="ar-SA"/>
          </w:rPr>
          <w:t>22 C.P.C. (4th) 381</w:t>
        </w:r>
      </w:hyperlink>
      <w:r>
        <w:rPr>
          <w:rFonts w:ascii="arial" w:eastAsia="arial" w:hAnsi="arial" w:cs="arial"/>
          <w:color w:val="000000"/>
          <w:sz w:val="20"/>
          <w:lang w:val="en-US" w:eastAsia="en-US" w:bidi="ar-SA"/>
        </w:rPr>
        <w:t xml:space="preserve"> (C.J. (Gen. Div.)), aff'd </w:t>
      </w:r>
      <w:hyperlink r:id="rId372" w:history="1">
        <w:r>
          <w:rPr>
            <w:rFonts w:ascii="arial" w:eastAsia="arial" w:hAnsi="arial" w:cs="arial"/>
            <w:i/>
            <w:color w:val="0077CC"/>
            <w:sz w:val="20"/>
            <w:u w:val="single"/>
            <w:shd w:val="clear" w:color="auto" w:fill="FFFFFF"/>
            <w:lang w:val="en-US" w:eastAsia="en-US" w:bidi="ar-SA"/>
          </w:rPr>
          <w:t>41 O.R. (3d) 97</w:t>
        </w:r>
      </w:hyperlink>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165 D.L.R. (4th) 482</w:t>
        </w:r>
      </w:hyperlink>
      <w:r>
        <w:rPr>
          <w:rFonts w:ascii="arial" w:eastAsia="arial" w:hAnsi="arial" w:cs="arial"/>
          <w:color w:val="000000"/>
          <w:sz w:val="20"/>
          <w:lang w:val="en-US" w:eastAsia="en-US" w:bidi="ar-SA"/>
        </w:rPr>
        <w:t xml:space="preserve">, leave to appeal to the S.C.C. refused, </w:t>
      </w:r>
      <w:hyperlink r:id="rId373" w:history="1">
        <w:r>
          <w:rPr>
            <w:rFonts w:ascii="arial" w:eastAsia="arial" w:hAnsi="arial" w:cs="arial"/>
            <w:i/>
            <w:color w:val="0077CC"/>
            <w:sz w:val="20"/>
            <w:u w:val="single"/>
            <w:shd w:val="clear" w:color="auto" w:fill="FFFFFF"/>
            <w:lang w:val="en-US" w:eastAsia="en-US" w:bidi="ar-SA"/>
          </w:rPr>
          <w:t>[1998] S.C.C.A. No. 372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Dabbs No. 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settlement of the kind under consideration here will affect a large number of individuals who are not before the court, and I am required to scrutinize the proposed settlement closely to ensure that it does not sell short the potential rights of those unrepresented parties. I agree with the thrust of Professor Watson's comments in "Is the Price Still Right? Class Proceedings in Ontario", a paper delivered at a CIAJ Conference in Toronto, October 1997, that class action settlements "must be seriously scrutinized by judges" and that they should be "viewed with some suspicion". On the other hand, all settlements are the product of compromise and a process of give and take and settlements rarely give all parties exactly what they want. Fairness is not a standard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Ontario New Home Warranty Program v. Chevron Chemical Co.</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(1999), 46 O.R. (3d) 130</w:t>
        </w:r>
      </w:hyperlink>
      <w:r>
        <w:rPr>
          <w:rFonts w:ascii="arial" w:eastAsia="arial" w:hAnsi="arial" w:cs="arial"/>
          <w:color w:val="000000"/>
          <w:sz w:val="20"/>
          <w:lang w:val="en-US" w:eastAsia="en-US" w:bidi="ar-SA"/>
        </w:rPr>
        <w:t xml:space="preserve"> at para. 92, </w:t>
      </w:r>
      <w:hyperlink r:id="rId374" w:history="1">
        <w:r>
          <w:rPr>
            <w:rFonts w:ascii="arial" w:eastAsia="arial" w:hAnsi="arial" w:cs="arial"/>
            <w:i/>
            <w:color w:val="0077CC"/>
            <w:sz w:val="20"/>
            <w:u w:val="single"/>
            <w:shd w:val="clear" w:color="auto" w:fill="FFFFFF"/>
            <w:lang w:val="en-US" w:eastAsia="en-US" w:bidi="ar-SA"/>
          </w:rPr>
          <w:t>37 C.P.C. (4th) 175</w:t>
        </w:r>
      </w:hyperlink>
      <w:r>
        <w:rPr>
          <w:rFonts w:ascii="arial" w:eastAsia="arial" w:hAnsi="arial" w:cs="arial"/>
          <w:color w:val="000000"/>
          <w:sz w:val="20"/>
          <w:lang w:val="en-US" w:eastAsia="en-US" w:bidi="ar-SA"/>
        </w:rPr>
        <w:t xml:space="preserve"> (S.C.J.),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Evidence sufficient to decide the merits of the issue is not required because compromise is necessary to achieve any settlement. However, the court must possess adequate information to elevate its decision above mere conjecture. This is imperative in order that the court might be satisfied that the settlement delivers adequate relief for the class in exchange for the surrender of litigation rights against the defendants. See </w:t>
      </w:r>
      <w:r>
        <w:rPr>
          <w:rFonts w:ascii="arial" w:eastAsia="arial" w:hAnsi="arial" w:cs="arial"/>
          <w:i/>
          <w:color w:val="000000"/>
          <w:sz w:val="20"/>
          <w:lang w:val="en-US" w:eastAsia="en-US" w:bidi="ar-SA"/>
        </w:rPr>
        <w:t>Newberg on Class Actions,</w:t>
      </w:r>
      <w:r>
        <w:rPr>
          <w:rFonts w:ascii="arial" w:eastAsia="arial" w:hAnsi="arial" w:cs="arial"/>
          <w:color w:val="000000"/>
          <w:sz w:val="20"/>
          <w:lang w:val="en-US" w:eastAsia="en-US" w:bidi="ar-SA"/>
        </w:rPr>
        <w:t xml:space="preserve"> 3rd ed. (Shepard's/McGraw-Hill,1992), ss. 11.45-46.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While it is not the proper function of this Court to re-litigate the merits of the action, substitute its judgment for that of the parties, or attempt to renegotiate, I have to determine the fairness and reasonableness of the proposed settlement, and whether it is in the best interests of the class as a whole. The Court's power is not to modify the terms of this negotiated settlement, but rather is to approve it or reject it, or bring areas of concern to the attention of counsel in rejecting it: </w:t>
      </w:r>
      <w:r>
        <w:rPr>
          <w:rFonts w:ascii="arial" w:eastAsia="arial" w:hAnsi="arial" w:cs="arial"/>
          <w:b/>
          <w:i/>
          <w:color w:val="000000"/>
          <w:sz w:val="20"/>
          <w:lang w:val="en-US" w:eastAsia="en-US" w:bidi="ar-SA"/>
        </w:rPr>
        <w:t xml:space="preserve"> Dabbs No. 1</w:t>
      </w:r>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It is perhaps to say the obvious that there is no perfect settlement. What is required is that the settlement must fall within a range of reasonableness: see </w:t>
      </w:r>
      <w:r>
        <w:rPr>
          <w:rFonts w:ascii="arial" w:eastAsia="arial" w:hAnsi="arial" w:cs="arial"/>
          <w:b/>
          <w:i/>
          <w:color w:val="000000"/>
          <w:sz w:val="20"/>
          <w:lang w:val="en-US" w:eastAsia="en-US" w:bidi="ar-SA"/>
        </w:rPr>
        <w:t>Sawatzky v. Société Chirurgicale Instrumentarium Inc.</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(1999), 71 B.C.L.R. (3d) 51</w:t>
        </w:r>
      </w:hyperlink>
      <w:r>
        <w:rPr>
          <w:rFonts w:ascii="arial" w:eastAsia="arial" w:hAnsi="arial" w:cs="arial"/>
          <w:color w:val="000000"/>
          <w:sz w:val="20"/>
          <w:lang w:val="en-US" w:eastAsia="en-US" w:bidi="ar-SA"/>
        </w:rPr>
        <w:t>, 37 C.P.C. (4th) 163 (S.C.). There Brenner J., as he then was,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 settlement must fall within a zone or range of reasonableness. The range of reasonableness has been described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Reasonableness allows for a range of possible resolutions. A less than perfect settlement may be in the best interest of those affected by it when compared to the alternative of the risks and costs of litigation.</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Dabbs v. Sun Life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Assurance Co. of Canada</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(1998), 40 O.R. (3d) 429</w:t>
        </w:r>
      </w:hyperlink>
      <w:r>
        <w:rPr>
          <w:rFonts w:ascii="arial" w:eastAsia="arial" w:hAnsi="arial" w:cs="arial"/>
          <w:color w:val="000000"/>
          <w:sz w:val="20"/>
          <w:lang w:val="en-US" w:eastAsia="en-US" w:bidi="ar-SA"/>
        </w:rPr>
        <w:t xml:space="preserve"> (Ont. Gen. Div.)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Haney</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[1998] B.C.J. No. 2936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There is a strong initial presumption of fairness when the settlement was negotiated at arms-length by counsel for the class: </w:t>
      </w:r>
      <w:r>
        <w:rPr>
          <w:rFonts w:ascii="arial" w:eastAsia="arial" w:hAnsi="arial" w:cs="arial"/>
          <w:b/>
          <w:i/>
          <w:color w:val="000000"/>
          <w:sz w:val="20"/>
          <w:lang w:val="en-US" w:eastAsia="en-US" w:bidi="ar-SA"/>
        </w:rPr>
        <w:t>Ford v. F. Hoffmann-La Roche Ltd.</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(2005), 74 O.R. (3d) 758</w:t>
        </w:r>
      </w:hyperlink>
      <w:r>
        <w:rPr>
          <w:rFonts w:ascii="arial" w:eastAsia="arial" w:hAnsi="arial" w:cs="arial"/>
          <w:color w:val="000000"/>
          <w:sz w:val="20"/>
          <w:lang w:val="en-US" w:eastAsia="en-US" w:bidi="ar-SA"/>
        </w:rPr>
        <w:t xml:space="preserve"> at para. 113, </w:t>
      </w:r>
      <w:hyperlink r:id="rId377" w:history="1">
        <w:r>
          <w:rPr>
            <w:rFonts w:ascii="arial" w:eastAsia="arial" w:hAnsi="arial" w:cs="arial"/>
            <w:i/>
            <w:color w:val="0077CC"/>
            <w:sz w:val="20"/>
            <w:u w:val="single"/>
            <w:shd w:val="clear" w:color="auto" w:fill="FFFFFF"/>
            <w:lang w:val="en-US" w:eastAsia="en-US" w:bidi="ar-SA"/>
          </w:rPr>
          <w:t>12 C.P.C. (6th) 252</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question before me is whether I am satisfied that the proposed settlement is in the best interests of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VIII.</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DISCUSSION OF VARIOUS FACTORS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CONSIDERATIONS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For convenience I will generally consider the evidence and the submissions of counsel concerning the proposed settlement with reference to the factors discussed in </w:t>
      </w:r>
      <w:r>
        <w:rPr>
          <w:rFonts w:ascii="arial" w:eastAsia="arial" w:hAnsi="arial" w:cs="arial"/>
          <w:b/>
          <w:i/>
          <w:color w:val="000000"/>
          <w:sz w:val="20"/>
          <w:lang w:val="en-US" w:eastAsia="en-US" w:bidi="ar-SA"/>
        </w:rPr>
        <w:t>Jeffrey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Dabbs No. 1</w:t>
      </w:r>
      <w:r>
        <w:rPr>
          <w:rFonts w:ascii="arial" w:eastAsia="arial" w:hAnsi="arial" w:cs="arial"/>
          <w:color w:val="000000"/>
          <w:sz w:val="20"/>
          <w:lang w:val="en-US" w:eastAsia="en-US" w:bidi="ar-SA"/>
        </w:rPr>
        <w:t xml:space="preserve"> and other factors that I find are relevant in this case. I will use the headings or questions in </w:t>
      </w:r>
      <w:r>
        <w:rPr>
          <w:rFonts w:ascii="arial" w:eastAsia="arial" w:hAnsi="arial" w:cs="arial"/>
          <w:b/>
          <w:i/>
          <w:color w:val="000000"/>
          <w:sz w:val="20"/>
          <w:lang w:val="en-US" w:eastAsia="en-US" w:bidi="ar-SA"/>
        </w:rPr>
        <w:t>Jeffrey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Has counsel of sufficient experience and ability undertaken sufficient investigations to satisfy the court that the settlement is based on a proper analysis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This question probably includes a consideration of many of the factors mentioned in </w:t>
      </w:r>
      <w:r>
        <w:rPr>
          <w:rFonts w:ascii="arial" w:eastAsia="arial" w:hAnsi="arial" w:cs="arial"/>
          <w:b/>
          <w:i/>
          <w:color w:val="000000"/>
          <w:sz w:val="20"/>
          <w:lang w:val="en-US" w:eastAsia="en-US" w:bidi="ar-SA"/>
        </w:rPr>
        <w:t>Dabbs No. 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likelihood of recovery or success; the amount of discovery, evidence or investigation; the settlement terms; the recommendation and experience of counsel; and the recommendation of neutral parties, if any. Those factors mentioned in </w:t>
      </w:r>
      <w:r>
        <w:rPr>
          <w:rFonts w:ascii="arial" w:eastAsia="arial" w:hAnsi="arial" w:cs="arial"/>
          <w:b/>
          <w:i/>
          <w:color w:val="000000"/>
          <w:sz w:val="20"/>
          <w:lang w:val="en-US" w:eastAsia="en-US" w:bidi="ar-SA"/>
        </w:rPr>
        <w:t>Dabbs No. 1</w:t>
      </w:r>
      <w:r>
        <w:rPr>
          <w:rFonts w:ascii="arial" w:eastAsia="arial" w:hAnsi="arial" w:cs="arial"/>
          <w:color w:val="000000"/>
          <w:sz w:val="20"/>
          <w:lang w:val="en-US" w:eastAsia="en-US" w:bidi="ar-SA"/>
        </w:rPr>
        <w:t xml:space="preserve"> of course are also considerations in other parts of the </w:t>
      </w:r>
      <w:r>
        <w:rPr>
          <w:rFonts w:ascii="arial" w:eastAsia="arial" w:hAnsi="arial" w:cs="arial"/>
          <w:b/>
          <w:i/>
          <w:color w:val="000000"/>
          <w:sz w:val="20"/>
          <w:lang w:val="en-US" w:eastAsia="en-US" w:bidi="ar-SA"/>
        </w:rPr>
        <w:t>Jeffrey</w:t>
      </w:r>
      <w:r>
        <w:rPr>
          <w:rFonts w:ascii="arial" w:eastAsia="arial" w:hAnsi="arial" w:cs="arial"/>
          <w:color w:val="000000"/>
          <w:sz w:val="20"/>
          <w:lang w:val="en-US" w:eastAsia="en-US" w:bidi="ar-SA"/>
        </w:rPr>
        <w:t xml:space="preser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objectors' view, the absence of proper investigation from a substantive and procedural perspective is largely where this settlement falls down. There are essentially two aspects to this: first, the objectors say that the applicants have not properly investigated the harm that the Silzone valve may cause; and second, they say the applicants have failed to properly investigate the claims of those who, under the settlement, will receive only a nominal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Let me start by focusing on the central thesis of this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theory of the settlement is straightforward enough. The proponents of the settlement say that this is complex litigation where the result is unclear, particularly when it comes to deciding whether any particular complication a patient suffers relates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reason for the recall of the Silzone valve was an increase in paravalvular leaks in the first two years post-implant. There is some evidence, although it is by no means conclusive, that early paravalvular leak is the only complication that is outside the statistical norm for all mechanical heart valves. But there is also some evidence of possible greater risk of paravalvular leak post-two years, and some evidence of other possible increased complications. The defendants say that the proposed settlement participants in fact have not exhibited a greater-than-normal rate of paravalvular leak at all, or other increased complications, when their situation is measured against the general population (something Mr. Mogerman says really puts in question the accuracy or legitimacy of the opinions of Dr. Jamieson). However, the defendants say that by this settlement, they are prepared to compensate individuals in the B.C. class if and whenever paravalvular leak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Although the plaintiff's counsel acknowledges that they have not done formal discovery, they say that after the failed mediation, they thought their investigation was sufficient to conclude that the proposed settlement is appropriate. To evaluate the claim, they had the following: the AVERT study; what they describe as extensive communication with class members; personal information that they had on class members from the UBC Cardiac Valve Database; and the materials in the extensive affidavits and reports out of the Ontario certification proceedings. The plaintiff's counsel says that the review of virtually all of the medical records of the class is as good a workup as there can be of the possible health concerns of the class members. Based on that, they say that they have a clear picture of the possible and actual health complications of the class in B.C. and the numbers of class members who are suffering from major and minor PVL.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medical evidence, the proponents say, supports the contention that compensation will be paid to those with the serious complications that might be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the passage of time, the medical literature, and Dr. Jamieson's review of almost all of the patients records indicate that there are unlikely to be further significant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compromise from the defendants' perspective is that they will pay compensation if a paravalvular leak occurs to a person regardless of whether it was during or after the initial two year period. In the defendants' submission, this is a reasonable compromise given the weight of the literature that the only evidence of increased complications for paravalvular leak is in the first two years after implant.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objectors' argument is that the settlement is too risky because it resolves the possible future risk from the Silzone valve on incomplete evidence that was not the subject of cross-examination. This is countered, in the defendants' submission, by the contention that there is sufficient evidence to support the merits of the settlement and, in any event, a settlement is a compromise of disputed facts and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Was there, as the plaintiffs say, substantial and sufficient information to assess the reasonableness and fairness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objectors argue that the level of investigation is inadequate, and is not to the point where it can be said with reasonable certainty that the Silzone valve does not present a risk of future harm. I recognize that I have not had the benefit of cross-examination before me of expert witnesses who could describe and fully explain the possible increased complications from the Silzone valve, and whether paravalvular leak was the only significant increased complication.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objectors also say that the unreasonableness of the settlement is underscored by the fact that the compromise was made by the plaintiffs' counsel without the benefit of an independent expert hired by them to assess information that essentially was provided by the defendants. I think this is a fair point, and a relevant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argument of the objectors is that the representative plaintiff's counsel in B.C. simply did no investigation while the Ontario counsel took the risk. They point out that in Ontario, where the trial is about to begin, there are 13 experts for the plaintiffs and 19 for the defendants, that production of documents is ongoing, and the reliability of the AVERT data and whether it has been influenced by the defendants is in issue. The objectors say that the proposed settlement is unreasonable because the representative plaintiff's lawyer has simply relied on information provided by the defendants (largely Dr. Jamieson's information) as to whether and the extent to which the claim would succeed. The representative plaintiff's counsel, however, argues that although the objectors challenge the weight to be attached to Dr. Jamieson's evidence, the substance of his evidence as to the complications suffered by the B.C. class has not really been challenged. Moreover, Mr. Poyner says that if a class member can establish that he or she suffered paravalvular leak, they can share in a compensatory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do not agree that there has been no investigation. In fact, there has been significant investigation both of the effect of the Silzone valve generally and the actual impact on the B.C. class. While the issue of possible future harm is not finally resolved and might not be fully resolved unless there is a trial, I recognize that the settlement is a compromise that also provides compensation for complications that, the defendants say, might well be found not to be caused by the defendant. Those payments are to be made in exchange for settlement of the litigation. It is not unusual that relevant facts and possible consequences are in dispute when the court approves a settlement 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Is it significant that the settlement was entered into prior to examinations for discovery or further investigation of some kind? The defendants referred to a number of authorities indicating that discovery is not a precondition to settlement approval if the court has sufficient evidence to exercise an objective, impartial and independent assessment of the settlement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objectors' contention that the investigation is incomplete and the expert evidence concerning the potential risk of complications from the Silzone valve is inadequate must be weighed in light of the unique circumstances before me, specifically, that the actual complications facing the B.C. class are largely known now several years after the last implant of a Silzone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objectors suggest that there is an increased risk of a thromboembolic event and a longer term increased risk of paravalvular leak. As noted by the defendants those issues, as well as the issue of whether there is increased monitoring required, are hotly contested issues in the litigation in Ontario. According to Dr. Jamieson's evidence, the authors of the Cardiff paper found that increased major thromboembolic risk seemed to be an early phenomenon (less than three months after placement), and those patients who have had the Silzone valve for several years may not be at higher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weight of the evidence before me suggests that the most significant claim relating to complications is likely increased early paravalvular leaking. There is evidence that none of the patients in B.C. have suffered complications greater than those statistically expected by all mechanical heart valve patients. That suggests that the plaintiffs might have difficulty establishing causation either for the class or the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overall weight of the literature, on my review, generally tends to support the defendant's thesis that the different rates of complications lose their statistical significance after the first two years. While that may be challenged by the objectors, and the evidence on that point is not entirely clear, settlements arise out of disputed factual situations and the benefit of a reasonable settlement is the certainty that it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weight of the medical literature that I have reviewed supports the position that in terms of the complications to members of the B.C. class from the implant of the SIilzone valve, the settlement is a reasonable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am satisfied that the level of investigation by the representative plaintiff's lawyers underlying a settlement based on the extent of normal and increased complications from mechanical valve implantation is reasonable, given the literature that was reviewed by the representative plaintiff's counsel and Dr. Jamieson's evidence. The settlement is based on the existence of complications of the type that led to the recall of the Silzone valve, and compensation is paid to those suffering those complications even though, statistically, some such complications occur with the implantation of any mechanical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table that I set out earlier in these reasons describes amounts those suffering from PVL will likely recover from the settlement if approved. It was not suggested in argument that those projections were inaccurate in terms of the likely number of people with PVL in the B.C. class. Nor was it suggested that the amounts of compensation for people in those categories were necessarily unreasonable, although it was suggested by Mr. Mogerman that if the plaintiffs succeeded at trial the compensation would be larger, and he may well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find that the quantum allocated to sufferers of paravalvular leakage is not an unreasonable compromise, given the expected numbers who will be claiming from the proposed compensation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What weight should I give the recommendation of counsel? If the parties are acting in good faith and at arms length, as they appear to be in this case, this is a significant consideration. The representative plaintiff's lawyers have experience in class proceedings litigation and their recommendation, made after lengthy negotiations and a review of the medical evidence, is entitled to some weight. I am mindful that it would have been better if an independent expert had been retained by the plaintiffs to advise on the proposed settlement, and that it would have been preferable if that expert had also opined on the current state of the medical literature concerning Silzone valves. However, that is simply one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was told that plaintiffs' counsel in Ontario do not approve of the settlement. The fact of a settlement in B.C., but not in Ontario or Quebec, where (at least in Ontario) the issue has been far more completely investigated, raises some questions as to the reasonableness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However, there appear to be important distinctions between this proceeding and the actions in eastern Canada. First, unlike in Ontario and Quebec, healthcare costs as a subrogated claim are not part of the class proceeding in British Columbia. That claim will be the subject of a separate claim by the Province. Second, an important difference between B.C. and the other provinces appears to be that almost all of the records of the B.C. class have been examined by Dr. Jamieson, and the effect of the Silzone heart valve on those patients is relatively well-known, now some seven years or more since implantation.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One suggestion put forward by the objectors' counsel was to simply await the outcome of the Ontario case. That has a certain superficial attraction. However, that will lead to further delays, and if the litigation goes badly for the plaintiffs in Ontario, the same settlement in British Columbia, if not now approved, might no longer be available to the plaintiffs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Let me summarize. The evidence presented to me, which was said to include all relevant literature up to the date of Dr. Jamieson's affidavit, and the expert evidence that I have described, does suggest that the representative plaintiff might not be able to satisfy the burden of proof with respect to the breach of the standard of care and the issue of causation, except perhaps for major paravalvular leak in the period of thirty days to two years post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strongest argument for the settlement, insofar as possible complications from the defendants' Silzone valve are concerned, is not only the fact that the class has generally been studied, but also that significant compensation would be provided for serious complications whenever they occurred, notwithstanding the fact that the B.C. class might not be able to demonstrate increased complications from the norm, or that the Silzone valve causes increased complications beyond the first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these rather unique circumstances, where the medical complications of the people in the class generally are known, I find that the expert evidence and medical literature (even though it is controversial to some extent), and counsel's recommendation is an adequate basis for me to form an assessment of the reasonableness of the settlement, insofar as the issue of serious complications from the Silzone valve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Let me turn to the second aspect of the argument against the settlement which, apart from the issue of increased levels of complications, is the failure to investigate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There are two central areas where the objectors say that the failure of the applicant to do sufficient investigation makes the settlement unreasonable. They are: first, the investigation and assessment of the claim for the cost of future care, and, second, the claim by the class members in British Columbia for damages for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What of the investigation into the possible claim for the cost of future care? Although Mr. Mogerman points to the evidence of the class members that suggests that counselling and added drug and travel costs result directly from the Silzone valve recall, the defendants dispute this and say that the costs of future care will be borne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Gruber for the defendants refers to the affidavit of Dr. Jamieson that there is no evidence that future care requirements will not be borne by the Medical Services Plan in this province. He also argued that there was no evidence of increased drug cost by reason of a Silzone valve implant. As to travel costs, Mr. Gruber points out that, in terms of the monitoring of heart valve patients, there is no evidence of more frequent monitoring being required for Silzone-valve patients as compared to those with a conventional mechanical valve. Also, the defendants challenge whether this type of claim, like the one for psychological harm, is economically worth pursuing either as part of, or outside of,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 large focus of the objectors' opposition to the settlement is in its failure to recognize and compensate class members for psychological harm from the implant of the Silzone valve. The objectors say that the $500 payment to class members who have not suffered from paravavular leak is only reasonable if those class members have not suffered any harm whatsoever, there is no risk that they will suffer harm that can be connected to the Silzone valve, and future care and monitoring will be provided at no expense to them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objectors say that the affidavit evidence they filed shows that the class members have suffered serious emotional and psychological harm. They say that they are entitled to compensation even if they are unable to establish physical damage from the Silzone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Both parties referred to the recent decision of the Supreme Court of Canada in </w:t>
      </w:r>
      <w:r>
        <w:rPr>
          <w:rFonts w:ascii="arial" w:eastAsia="arial" w:hAnsi="arial" w:cs="arial"/>
          <w:b/>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at para. 8, where the Court said this about psychological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plaintiff who suffers personal injury will be found to have suffered damage. Damage for purposes of this inquiry includes psychological injury. The distinction between physical and mental injury is elusive and arguably artificial in the context of tort.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Supreme Court added,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said, psychological disturbance that rises to the level of personal injury must be distinguished from psychological upset. Personal injury at law connotes serious trauma or illness: see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[1970] 2 Q.B. 40 (C.A.), at p. 42;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[1996] 1 A.C. 155 at p. 189; Linden and Feldthusen, at pp. 425-27. The law does not recognize upset, disgust, anxiety, agitation or other mental states that fall short of injury. I would not purport to define compensable injury exhaustively, except to say that it must be serious and prolonged and rise above the ordinary annoyances, anxieties and fears that people living in society routinely, if sometimes reluctantly, accept. The need to accept such upsets rather than seek redress in tort is what I take the Court of Appeal to be expressing in its quote from </w:t>
      </w:r>
      <w:r>
        <w:rPr>
          <w:rFonts w:ascii="arial" w:eastAsia="arial" w:hAnsi="arial" w:cs="arial"/>
          <w:i/>
          <w:color w:val="000000"/>
          <w:sz w:val="20"/>
          <w:lang w:val="en-US" w:eastAsia="en-US" w:bidi="ar-SA"/>
        </w:rPr>
        <w:t>Vanek v. Great Atlantic &amp; Pacific Co. of Canada</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(1999), 48 O.R. (3d) 228</w:t>
        </w:r>
      </w:hyperlink>
      <w:r>
        <w:rPr>
          <w:rFonts w:ascii="arial" w:eastAsia="arial" w:hAnsi="arial" w:cs="arial"/>
          <w:color w:val="000000"/>
          <w:sz w:val="20"/>
          <w:lang w:val="en-US" w:eastAsia="en-US" w:bidi="ar-SA"/>
        </w:rPr>
        <w:t xml:space="preserve"> (C.A.): "Life goes on" (para. 60). Quite simply, minor and transient upsets do not constitute personal </w:t>
      </w:r>
      <w:r>
        <w:rPr>
          <w:rFonts w:ascii="arial" w:eastAsia="arial" w:hAnsi="arial" w:cs="arial"/>
          <w:i/>
          <w:color w:val="000000"/>
          <w:sz w:val="20"/>
          <w:lang w:val="en-US" w:eastAsia="en-US" w:bidi="ar-SA"/>
        </w:rPr>
        <w:t>injury</w:t>
      </w:r>
      <w:r>
        <w:rPr>
          <w:rFonts w:ascii="arial" w:eastAsia="arial" w:hAnsi="arial" w:cs="arial"/>
          <w:color w:val="000000"/>
          <w:sz w:val="20"/>
          <w:lang w:val="en-US" w:eastAsia="en-US" w:bidi="ar-SA"/>
        </w:rPr>
        <w:t>, and hence do not amount to damage.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There was a serious dispute at the hearing as to whether the evidence of the emotional condition of some of the objectors was to the level where, absent other physical damage, they might be entitled to compensation. Mr. Mogerman said the evidence of complaints in the objectors' affidavits could not be described as "the ordinary annoyances, anxieties and fears that people living in society routinely ... accept". Mr. Neave for the defendants says there is nothing in the evidence that was filed by the objectors to suggest the distress or anxiety has risen to the level of serious trauma or injury that is compensable as per </w:t>
      </w:r>
      <w:r>
        <w:rPr>
          <w:rFonts w:ascii="arial" w:eastAsia="arial" w:hAnsi="arial" w:cs="arial"/>
          <w:b/>
          <w:i/>
          <w:color w:val="000000"/>
          <w:sz w:val="20"/>
          <w:lang w:val="en-US" w:eastAsia="en-US" w:bidi="ar-SA"/>
        </w:rPr>
        <w:t>Mustapha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issue of psychological harm or injury does not appear to have been the focus of settlement discussions or a central thrust in this or the Ontario litigation, largely, I expect, because the focus was on potentially serious physical complications from the valve and, in Ontario, health care costs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This is a convenient time to discuss the requirement that for court approval a settlement must be fair and reasonable to all of those affected. Given the fact that most of the class members will only receive nominal compensation, this is a significant factor in considering the reasonableness of this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 recognize that a settlement does not have to be ideal for everyone. In </w:t>
      </w:r>
      <w:r>
        <w:rPr>
          <w:rFonts w:ascii="arial" w:eastAsia="arial" w:hAnsi="arial" w:cs="arial"/>
          <w:b/>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(1999), 68 B.C.L.R. (3d) 350</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[2000] 1 W.W.R. 688</w:t>
        </w:r>
      </w:hyperlink>
      <w:r>
        <w:rPr>
          <w:rFonts w:ascii="arial" w:eastAsia="arial" w:hAnsi="arial" w:cs="arial"/>
          <w:color w:val="000000"/>
          <w:sz w:val="20"/>
          <w:lang w:val="en-US" w:eastAsia="en-US" w:bidi="ar-SA"/>
        </w:rPr>
        <w:t xml:space="preserve"> (S.C.), Smith J., as he then was, approved the settlement for the class action claim arising out of the infection of the Canadian blood supply with Hepatitis C virus. Many objections were raised to the proposed settlement, but he found,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 However, having regard to the principle that I must be concerned with the best interest of the class as a whole as opposed to the individual interests of particular class members, I have concluded that none of the objections are of such significance as to render the proposed settlement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Ontario Superior Court of Justice also approved the settlement for Hepatitis C contaminated blood in </w:t>
      </w:r>
      <w:r>
        <w:rPr>
          <w:rFonts w:ascii="arial" w:eastAsia="arial" w:hAnsi="arial" w:cs="arial"/>
          <w:b/>
          <w:i/>
          <w:color w:val="000000"/>
          <w:sz w:val="20"/>
          <w:lang w:val="en-US" w:eastAsia="en-US" w:bidi="ar-SA"/>
        </w:rPr>
        <w:t>Parsons</w:t>
      </w:r>
      <w:r>
        <w:rPr>
          <w:rFonts w:ascii="arial" w:eastAsia="arial" w:hAnsi="arial" w:cs="arial"/>
          <w:color w:val="000000"/>
          <w:sz w:val="20"/>
          <w:lang w:val="en-US" w:eastAsia="en-US" w:bidi="ar-SA"/>
        </w:rPr>
        <w:t>. At paras. 79-80, Winkler J. found that the fact that the settlement is not ideal for any particular class member is not a bar to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 </w:t>
      </w:r>
      <w:r>
        <w:rPr>
          <w:rFonts w:ascii="arial" w:eastAsia="arial" w:hAnsi="arial" w:cs="arial"/>
          <w:color w:val="000000"/>
          <w:sz w:val="20"/>
          <w:u w:val="single"/>
          <w:lang w:val="en-US" w:eastAsia="en-US" w:bidi="ar-SA"/>
        </w:rPr>
        <w:t>The fact that a settlement is less than ideal for any particular class member is not a bar to approval for the class as a whole.</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mandates that class members retain, for a certain time, the right to opt out of a class proceeding. This ensures an element of control by allowing a claimant to proceed individually with a view to obtaining a settlement or judgement that is tailored more to the individual's circumstances. In this case, there is the added advantage in that a class member will have the choice to opt out while in full knowledge of the compensation otherwise available by remaining a member of the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This settlement </w:t>
      </w:r>
      <w:r>
        <w:rPr>
          <w:rFonts w:ascii="arial" w:eastAsia="arial" w:hAnsi="arial" w:cs="arial"/>
          <w:color w:val="000000"/>
          <w:sz w:val="20"/>
          <w:u w:val="single"/>
          <w:lang w:val="en-US" w:eastAsia="en-US" w:bidi="ar-SA"/>
        </w:rPr>
        <w:t>must be reviewed on an objective standard, taking into account the need to provide compensation for all of the class members while at the same time recognizing the inherent difficulty in crafting a universally satisfactory settlement for a disparate group.</w:t>
      </w:r>
      <w:r>
        <w:rPr>
          <w:rFonts w:ascii="arial" w:eastAsia="arial" w:hAnsi="arial" w:cs="arial"/>
          <w:color w:val="000000"/>
          <w:sz w:val="20"/>
          <w:lang w:val="en-US" w:eastAsia="en-US" w:bidi="ar-SA"/>
        </w:rPr>
        <w:t xml:space="preserve"> In other words, the question is does the settlement provide a reasonable alternative for those Class Members who do not wish to proceed to trial?</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question is whether the settlement is fair and reasonable to the class as a whole. The applicants did not dispute that was the proper test. Is this settlement fair and reasonable to all even though a significant number of class members are only receiving nominal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proponents' argument is that this settlement is fair to the class as a whole as all class members who suffered an injury or a possible injury, i.e. a complication of the type identified, will be compensated and the others, who are unlikely to have claims that are compensable, will receive nominal amounts or may opt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and the representative plaintiff argue that the objectors are only looking at the interests of 230 or so plaintiffs, not the whole group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 settlement like this, which provides significant compensation to only to a few in the class, and nominal compensation to the rest, must nevertheless be carefully scrutinized.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my view, even though a settlement only provides significant compensation to a few, it may be fair and reasonable to the class as a whole if the court is satisfied that the possible claims of the others have been adequately investigated by counsel for the representative plaintiff. It would not be unreasonable to settle the claims for a class as a whole by significant payment to those suffering from serious complications and nominal payments to others, if the court was satisfied that possible claims by others in the class had been investigated and reasonably found to lack merit, or not be economically worth pursuing, or the court itself reached that conclusion on a review of sufficient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Counsel for the objectors says that many in the class have compensable claims for psychological damage suffered because of the implantation of what they say is a negligently designed heart valve. In his submission, these claims have not been properly investigated by the representative plaintiff's counsel so as to permit a reasonable determination that they are without merit. For that reason, he says, the settlement should not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Mogerman put it this way. He says that there has not been the requisite work-up of the class members in British Columbia, by consultation with the class members and experts, to determine if they have suffered, and to what extent, from compensable psychological injury from the allegedly defective Silzone mechanical valve. He says that for settlement purposes, class counsel should have obtained medical records, retained a psychologist or other expert, and attempted a possible damage assessment in order to assess the claims and the risks of advancing them. Mr. Mogerman says that the class action is the vehicle that gives this group access to justice, as even for a claim at the high end (say damages in the range of $40,000 for psychological injury), no individual could, practically, sue the defendants. For that reason, he argues, proper consideration must be given to that claim as part of the settlement of the class action, not simply by permitting the class members to opt out to pursue it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Mogerman acknowledges that the recommendation of the class counsel is an important consideration, but says that it is only deserving of weight if all claims have been properly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Mr. Mogerman refers to certain authorities to suggest that the proposed settlement payment of $500 is not within a proper range, and also to support his contention that even if the defendants establish that there is no risk of future harm in terms of increase complications, the valve recipients have lived with a real and scientifically sound perceived threat to their health for years because of the defective valve that was implanted in them. In </w:t>
      </w:r>
      <w:r>
        <w:rPr>
          <w:rFonts w:ascii="arial" w:eastAsia="arial" w:hAnsi="arial" w:cs="arial"/>
          <w:b/>
          <w:i/>
          <w:color w:val="000000"/>
          <w:sz w:val="20"/>
          <w:lang w:val="en-US" w:eastAsia="en-US" w:bidi="ar-SA"/>
        </w:rPr>
        <w:t>Fitzgerald v. Tin</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2003 BCSC 151</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11 B.C.L.R. (4th) 375</w:t>
        </w:r>
      </w:hyperlink>
      <w:r>
        <w:rPr>
          <w:rFonts w:ascii="arial" w:eastAsia="arial" w:hAnsi="arial" w:cs="arial"/>
          <w:color w:val="000000"/>
          <w:sz w:val="20"/>
          <w:lang w:val="en-US" w:eastAsia="en-US" w:bidi="ar-SA"/>
        </w:rPr>
        <w:t xml:space="preserve">, the court awarded $15,000 to a plaintiff who "had a reasonable and genuine concern arising out of her fear of HIV infection" for seven months after being pricked accidentally by a hypodermic needle in a taxi. In </w:t>
      </w:r>
      <w:r>
        <w:rPr>
          <w:rFonts w:ascii="arial" w:eastAsia="arial" w:hAnsi="arial" w:cs="arial"/>
          <w:b/>
          <w:i/>
          <w:color w:val="000000"/>
          <w:sz w:val="20"/>
          <w:lang w:val="en-US" w:eastAsia="en-US" w:bidi="ar-SA"/>
        </w:rPr>
        <w:t>Tsoutsoulas v. Canada (Attorney General),</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[2006] O.J. No. 1020</w:t>
        </w:r>
      </w:hyperlink>
      <w:r>
        <w:rPr>
          <w:rFonts w:ascii="arial" w:eastAsia="arial" w:hAnsi="arial" w:cs="arial"/>
          <w:color w:val="000000"/>
          <w:sz w:val="20"/>
          <w:lang w:val="en-US" w:eastAsia="en-US" w:bidi="ar-SA"/>
        </w:rPr>
        <w:t xml:space="preserve"> (S.C.J.), the plaintiff was awarded $25,000 after being bitten by a carrier of HIV and the period in which infection was uncertain was longer than in </w:t>
      </w:r>
      <w:r>
        <w:rPr>
          <w:rFonts w:ascii="arial" w:eastAsia="arial" w:hAnsi="arial" w:cs="arial"/>
          <w:b/>
          <w:i/>
          <w:color w:val="000000"/>
          <w:sz w:val="20"/>
          <w:lang w:val="en-US" w:eastAsia="en-US" w:bidi="ar-SA"/>
        </w:rPr>
        <w:t>Fitzgerald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representative plaintiff's counsel did not argue that the quantum of the payment was adequate compensation for a psychological injury, if one was proven, but made several arguments why this settlement is fair and reasonable These include:</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for distress and other emotional injury, as described in the affidavits from some of the objectors, do not reach the level where there is a compensable injury as explained by </w:t>
      </w:r>
      <w:r>
        <w:rPr>
          <w:rFonts w:ascii="arial" w:eastAsia="arial" w:hAnsi="arial" w:cs="arial"/>
          <w:b/>
          <w:i/>
          <w:color w:val="000000"/>
          <w:sz w:val="20"/>
          <w:lang w:val="en-US" w:eastAsia="en-US" w:bidi="ar-SA"/>
        </w:rPr>
        <w:t>Mustapha</w:t>
      </w:r>
      <w:r>
        <w:rPr>
          <w:rFonts w:ascii="arial" w:eastAsia="arial" w:hAnsi="arial" w:cs="arial"/>
          <w:color w:val="000000"/>
          <w:sz w:val="20"/>
          <w:lang w:val="en-US" w:eastAsia="en-US" w:bidi="ar-SA"/>
        </w:rPr>
        <w:t xml:space="preserve"> and there is no physical injury otherwise suffered by the plaintiffs that would make anxiety and distress compensable as part of general damages,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psychological injury, the plaintiff's counsel argues, was never the focus of or mentioned during settlement discussions, but has only arisen lately when brought up by the objectors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defendants' counsel supports those arguments, and also argues that in assessing these emotional and psychological claims, I must recognize that the people implanted with mechanical heart valves are suffering from life-threatening heart disease in any event. The defendants argue that the conditions about which the plaintiffs are anxious are possible complications of this type of surgery,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not. Moreover, they say that as the plaintiffs could only recover for reasonably induced fear, their claim could not succeed. (The objectors respond that their fear or emotional reaction was reasonably induced by learning that they had had a defective valve implanted.) The plaintiffs, Mr. Neave argues, would have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their psychological injury, if that was proven, related to the elevated level of complication, not simply from heart disease and the surgery. As a result, the defendants say, the plaintiffs would face an overwhelming difficulty in proving that their upset and anxiety reached the level of a compensable injury, or that it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their underlying health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defendant's counsel in reply also made the following submission that perhaps explains why this claim was not the focus of the settlement negotiations: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given the attendant difficulty of proving loss causation in an individual issues trial that would inevitably follow a successful common issues trial, the question is not, as proposed by counsel for the objectors, whether there is no possibility of recovery for psychological injury; the real question is there is any economic value to any such claim even if it were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counsel also questions the advisability, from a cost/benefit analysis, of reducing the amount paid to the class members, for class counsel to hire a clinical psychologist to review each class member's records, given the inherent problems of proving psychological injury and causation for psychological injury. He points out that the objectors have not filed such medical evidence in support of their objections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defendants further argue that there is no prejudice to the class as a whole, because if the defendants are wrong about the fact that the cost of proof of causation of the loss is prohibitive, it is viable for the class members who believe they have compensable psychological injury to opt out and await the outcome of the Ontario common issues trial. They could then seek to rely on the findings in that trial in an individual trial in British Columbia. The objectors' counsel says that such an approach defeats the purposes of class proceeding legislation, including access to justice and 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considering whether to approve this particular settlement, this aspect, the extent of investigation and assessment of this type of claim, has provided significant difficulty in determining whether the proposed settlement is fair and reasonable to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investigation and recommendation of class counsel is an important consideration. Class counsel investigates and assesses the possible claims before making a settlement. What is an appropriate amount of investigation depends on the circumstances and the case. Where there is adequate investigation, the court should not lightly second guess class counsel. It is not a precondition to a settlement that discoveries be conducted or that any particular type of investigation take place. For example, in terms of issue of increased complications from the Silzone valve, although the objectors said that the investigation of the medical evidence was wanting and notwithstanding issues as to weight and conflicting opinion, I was satisfied that there was sufficient evidence that counsel and the court could exercise an objective and independent assessment of the reasonableness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Here, the possible claim of the B.C. class members for psychological injury was not investigated or assessed by counsel for the class. That appears to be because the focus of their efforts was on the nature and extent of increased physical complications from the Silzone valve, and the recovery of healthcare costs on a subrogated basis. With the amendment to drop the claim for healthcare costs, the focus narrowed, and a settlement was reached that was based on possible increased physical complications. Class counsel, it appears, did not consider the claim for psychological damage, as it was not raised in settlement discussions until it was raised by the objectors. It is reasonable to conclude that while there were questionnaires sent out to the members of the class in B.C., their possible claims for psychological harm as a result of being implanted with the recalled Silzone valve were not matters that were investigated, worked up, or considered by the representative plaintiff's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will discuss the significance of this conclusion below. Counsel for the defendants and the representative plaintiff submit that regardless of the level of investigation, there is nevertheless sufficient evidence in the circumstances for me to exercise an objective, impartial, and independent assessment of the fairness and reasonableness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there any reason to believe that collusion or extraneous considerations have influenced negotiations such that an inappropriate settlement may have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second factor in </w:t>
      </w:r>
      <w:r>
        <w:rPr>
          <w:rFonts w:ascii="arial" w:eastAsia="arial" w:hAnsi="arial" w:cs="arial"/>
          <w:b/>
          <w:i/>
          <w:color w:val="000000"/>
          <w:sz w:val="20"/>
          <w:lang w:val="en-US" w:eastAsia="en-US" w:bidi="ar-SA"/>
        </w:rPr>
        <w:t>Jeffrey</w:t>
      </w:r>
      <w:r>
        <w:rPr>
          <w:rFonts w:ascii="arial" w:eastAsia="arial" w:hAnsi="arial" w:cs="arial"/>
          <w:color w:val="000000"/>
          <w:sz w:val="20"/>
          <w:lang w:val="en-US" w:eastAsia="en-US" w:bidi="ar-SA"/>
        </w:rPr>
        <w:t xml:space="preserve"> is whether there is any reason to believe that collusion or extraneous considerations have influenced negotiations such that an inappropriate settlement may have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It is not suggested that there was collusion or any extraneous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On a cost/benefit analysis, are the plaintiffs well-served by accepting the settlement rather than proceeding with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argument in support of accepting the settlement is as follows. Given the evidence that the members of the B.C. class are not experiencing complication rates that are different from the background rates experienced by those implanted with non-Silzone mechanical heart valves, there is a significant prospect that the representative plaintiff could not satisfy the burden of proof on her to show a breach of the standard of care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If the settlement is not approved, the B.C. class will either have to wait for the Ontario litigation to be determined, or expend money to retain independent experts for a trial in British Columbia. With possible delays and appeals, it might be several years before the common issues trial in Ontario is resolved. Even if the Ontario case is decided at trial in favour of the plaintiffs, and the result is binding here, the argument is that there will still be at least individual trials for all B.C. class members on causation and damages. There is no prejudice, say the defendants, as the individual plaintiffs may always opt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Overall, the argument is that on a cost/benefit analysis, the class as a whole will benefit from the settlement as opposed to pursuing the litigation. I think that is correct for those members in B.C. who will receive compensation for paravalvular leak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Insofar as the plaintiffs who will only receive a $500 payment, the settlement is reasonable if it appears that those members have no compensable claim, or one that is not economical to pursue as an individual claim or as part of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Has sufficient information been provided to the members of the class represented by representative plaintiffs, and, if so, are they generally favourably disposed to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This factor is similar to some of the factors mentioned in </w:t>
      </w:r>
      <w:r>
        <w:rPr>
          <w:rFonts w:ascii="arial" w:eastAsia="arial" w:hAnsi="arial" w:cs="arial"/>
          <w:b/>
          <w:i/>
          <w:color w:val="000000"/>
          <w:sz w:val="20"/>
          <w:lang w:val="en-US" w:eastAsia="en-US" w:bidi="ar-SA"/>
        </w:rPr>
        <w:t>Dabbs No. 1</w:t>
      </w:r>
      <w:r>
        <w:rPr>
          <w:rFonts w:ascii="arial" w:eastAsia="arial" w:hAnsi="arial" w:cs="arial"/>
          <w:color w:val="000000"/>
          <w:sz w:val="20"/>
          <w:lang w:val="en-US" w:eastAsia="en-US" w:bidi="ar-SA"/>
        </w:rPr>
        <w:t>: the number of objectors; the nature of objections; and the communication with class members during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Although some concerns were expressed about the level of compensation to class members with the most significant complications, paravalvular leak, the most significant complaint about the settlement is that it is not fair and reasonable to the class as a whole, given that it offers little to people who have not suffered major or minor paravalvular leak, and their claims have been not properly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There are a significant number of objectors opposing the approval of the settlement. A central complaint of the objectors, as I have mentioned, is the failure to investigate and assess recovery for psychological injury caused by the implantation of a defective heart valve, and to adequately recognize that in the settlement. In that respect, although I was told of questionnaires that went out to the class members, as I mentioned, there does not appear to have been any communication with class members on that possible claim and they have not be asked to provide evidence of their possible claims for analysis or assessment.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IX.</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do not have the authority to rewrite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may only approve the settlement, or reject it if I am not persuaded that it was shown to be fair and reasonable to all affected. Nevertheless, if I reject the settlement, I can bring areas of concern to the attention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Although I generally find the settlement acceptable, I am not prepared to approve it on its present terms. Counsel may consider my comments and make a further application if they can agree on terms that they think will address my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 recognize that settlements are not perfect, and only have to be shown to be within a range or zone of reasonableness. The aspect of the settlement that concerns me and places the settlement outside the range of reasonableness relates to the nominal compensation paid to so many class members when there is evidence of the possibility that some of them </w:t>
      </w:r>
      <w:r>
        <w:rPr>
          <w:rFonts w:ascii="arial" w:eastAsia="arial" w:hAnsi="arial" w:cs="arial"/>
          <w:color w:val="000000"/>
          <w:sz w:val="20"/>
          <w:u w:val="single"/>
          <w:lang w:val="en-US" w:eastAsia="en-US" w:bidi="ar-SA"/>
        </w:rPr>
        <w:t>might</w:t>
      </w:r>
      <w:r>
        <w:rPr>
          <w:rFonts w:ascii="arial" w:eastAsia="arial" w:hAnsi="arial" w:cs="arial"/>
          <w:color w:val="000000"/>
          <w:sz w:val="20"/>
          <w:lang w:val="en-US" w:eastAsia="en-US" w:bidi="ar-SA"/>
        </w:rPr>
        <w:t xml:space="preserve"> have compensable claims for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am not persuaded that the fact that objectors might opt out and await the outcome of the Ontario case, and hope to sue in British Columbia based on favourable findings in that litigation, makes this settlement fair and reasonable to the class as a whole, because I do not think that approach properly considers the resolution of these claims in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 recognize that there are significant difficulties with the psychological claims. I also appreciate that there are significant issues of causation, and that in the absence of proven psychological injury, or even with it, these claims may not be economically viable. There are serious questions about whether, based on the evidence that was filed by these objectors, the plaintiffs could satisfy the test in </w:t>
      </w:r>
      <w:r>
        <w:rPr>
          <w:rFonts w:ascii="arial" w:eastAsia="arial" w:hAnsi="arial" w:cs="arial"/>
          <w:b/>
          <w:i/>
          <w:color w:val="000000"/>
          <w:sz w:val="20"/>
          <w:lang w:val="en-US" w:eastAsia="en-US" w:bidi="ar-SA"/>
        </w:rPr>
        <w:t>Mustapha</w:t>
      </w:r>
      <w:r>
        <w:rPr>
          <w:rFonts w:ascii="arial" w:eastAsia="arial" w:hAnsi="arial" w:cs="arial"/>
          <w:color w:val="000000"/>
          <w:sz w:val="20"/>
          <w:lang w:val="en-US" w:eastAsia="en-US" w:bidi="ar-SA"/>
        </w:rPr>
        <w:t xml:space="preserve">, but on properly analyzed evidence, perhaps some might. Nevertheless, upon full consideration, which in my view has not yet taken place, some members of the class may well have suffered compensable foreseeable injury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 have concluded that this settlement would be reasonable to all affected if it contained some reasonable provision that those who were able to establish on medical evidence that they suffered injury to the compensable level as per </w:t>
      </w:r>
      <w:r>
        <w:rPr>
          <w:rFonts w:ascii="arial" w:eastAsia="arial" w:hAnsi="arial" w:cs="arial"/>
          <w:b/>
          <w:i/>
          <w:color w:val="000000"/>
          <w:sz w:val="20"/>
          <w:lang w:val="en-US" w:eastAsia="en-US" w:bidi="ar-SA"/>
        </w:rPr>
        <w:t>Mustapha</w:t>
      </w:r>
      <w:r>
        <w:rPr>
          <w:rFonts w:ascii="arial" w:eastAsia="arial" w:hAnsi="arial" w:cs="arial"/>
          <w:color w:val="000000"/>
          <w:sz w:val="20"/>
          <w:lang w:val="en-US" w:eastAsia="en-US" w:bidi="ar-SA"/>
        </w:rPr>
        <w:t xml:space="preserve"> received some negotiated compensation. I think that this aspect must be more fully addressed by the parties. There are no doubt many ways that my concern could be addressed by the parties, but I leave that to them. The settlement can then be brought back to court if the representative plaintiff and defendants continue to agree on the terms of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Apart from my concerns about that aspect, I would have approved the settlement, as it otherwise appears to be, on all issues, a fair and reasonable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will therefore summarize my comments in that respect, as this matter may come back to court before me. While I recognize the plaintiffs have not retained an independent expert, and there is doubt whether there is a possible long-term risk of increased complication, the weight of the evidence before me indicates that the central claim for physical harm is likely increased paravalvular leaking in the shorter term, and that none of the patients in B.C. have likely suffered complications beyond those statistically expected from all mechanical heart valve patients. I recognize that there are disputed facts and opinions, such as the extent of the possible increased complications and the reliability of the evidence of the condition of the B.C. class members, and questions of the weight that I should attach to the expert evidence generally. However, I find that the quantum allocated to sufferers of paravalvular leakage is not an unreasonable amount or compromise, given the expectation of the number of claimants that will be claiming from a fixed amount of compensation. The strongest point for the settlement insofar as the physical injuries of the class members are concerned is the fact that they have generally been studied, and significant compensation is paid notwithstanding the fact that there is evidence that the complications are not statistically significantly different from all patients with mechanical heart valves.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settlement is a compromise. On one hand, the objectors say that the amount of the plaintiffs' recovery in this settlement even for serious complications is inadequate. They suggest that in the Ontario and Quebec proceedings there is evidence that the complications are greater (and the literature shows that there is some support for that argument). On the other hand, the proponents of the settlement argue that liability and causation are serious issues that they have conceded only to reach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recognize that the psychological claim has not been the focus of this litigation in British Columbia. The focus appears to have been the serious physical complications and, in Ontario, health care costs as well. However, when so many receive only a nominal payment that begs the question, is the settlement fair to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Although I would have approved the settlement if I was satisfied that the possible claims for psychological injury had been properly investigated and assessed by the representative plaintiff's counsel, I am not satisfied that they were. On my own review of the evidence, I am not satisfied that it is appropriate to conclude that none of the class would have compensable claims for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Although a settlement does not have to achieve a standard of perfection, and only has to be found to be in a range of reasonableness, I have concluded that to grant the application would be to approve a settlement that has not presently been shown to contain terms that are fair and reasonable to all those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application to approve the settlement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DEFINITION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If I were to approve the settlement, counsel for the Ontario plaintiffs, Mr. Edinger, submits that I should amend the proposed B.C. class of "all persons resident in B.C. on the Approval Date, or date of death, whichever occurred first, who were implanted in B.C. or elsewhere with a Silzone product" in light of the Ontario certification order in January 16, 2004 to exclude members of the Patients class under the Ontario certification order and make it clear that the claims of the Family class under the Ontario Certification order are not affected by the proposed certification and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issue has arisen because since the Ontario certification order in 2004, although it excluded residents of B.C. (or Quebec), eight or more people have since become residents of B.C. Mr. Edinger's concern is that under the proposed release in the settlement agreement, the claims of some members in the Patients' class and some in the Family class in Ontario might have their claims released if the proposed settlement and the proposed form of release are approved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principles of comity, in the submission of the Ontario plaintiffs, require that these exclusions from the B.C. Class be made. The defendants oppose this and say that there is a well-accepted practice in Ontario, when there is a national class action certified, to defer to the jurisdiction of other courts in other provinces over residents of those provinces involving the same defendants and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defendants refer to </w:t>
      </w:r>
      <w:r>
        <w:rPr>
          <w:rFonts w:ascii="arial" w:eastAsia="arial" w:hAnsi="arial" w:cs="arial"/>
          <w:b/>
          <w:i/>
          <w:color w:val="000000"/>
          <w:sz w:val="20"/>
          <w:lang w:val="en-US" w:eastAsia="en-US" w:bidi="ar-SA"/>
        </w:rPr>
        <w:t>Nantais v Telectronics Proprietary (Canada) Ltd.</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(1995), 25 O.R. (3d) 331</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129 D.L.R. (4th) 110</w:t>
        </w:r>
      </w:hyperlink>
      <w:r>
        <w:rPr>
          <w:rFonts w:ascii="arial" w:eastAsia="arial" w:hAnsi="arial" w:cs="arial"/>
          <w:color w:val="000000"/>
          <w:sz w:val="20"/>
          <w:lang w:val="en-US" w:eastAsia="en-US" w:bidi="ar-SA"/>
        </w:rPr>
        <w:t xml:space="preserve"> (C.J. (Gen. Div.)); </w:t>
      </w:r>
      <w:r>
        <w:rPr>
          <w:rFonts w:ascii="arial" w:eastAsia="arial" w:hAnsi="arial" w:cs="arial"/>
          <w:b/>
          <w:i/>
          <w:color w:val="000000"/>
          <w:sz w:val="20"/>
          <w:lang w:val="en-US" w:eastAsia="en-US" w:bidi="ar-SA"/>
        </w:rPr>
        <w:t>Wilson v Servier Canada Inc.</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(2002), 59 O.R. (3d) 656</w:t>
        </w:r>
      </w:hyperlink>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213 D.L.R. (4th) 751</w:t>
        </w:r>
      </w:hyperlink>
      <w:r>
        <w:rPr>
          <w:rFonts w:ascii="arial" w:eastAsia="arial" w:hAnsi="arial" w:cs="arial"/>
          <w:color w:val="000000"/>
          <w:sz w:val="20"/>
          <w:lang w:val="en-US" w:eastAsia="en-US" w:bidi="ar-SA"/>
        </w:rPr>
        <w:t xml:space="preserve"> (S.C.J.); and </w:t>
      </w:r>
      <w:r>
        <w:rPr>
          <w:rFonts w:ascii="arial" w:eastAsia="arial" w:hAnsi="arial" w:cs="arial"/>
          <w:b/>
          <w:i/>
          <w:color w:val="000000"/>
          <w:sz w:val="20"/>
          <w:lang w:val="en-US" w:eastAsia="en-US" w:bidi="ar-SA"/>
        </w:rPr>
        <w:t>Elliott v Boliden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Ltd.</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(2006), 34 C.P.C. (6th) 339</w:t>
        </w:r>
      </w:hyperlink>
      <w:r>
        <w:rPr>
          <w:rFonts w:ascii="arial" w:eastAsia="arial" w:hAnsi="arial" w:cs="arial"/>
          <w:color w:val="000000"/>
          <w:sz w:val="20"/>
          <w:lang w:val="en-US" w:eastAsia="en-US" w:bidi="ar-SA"/>
        </w:rPr>
        <w:t xml:space="preserve"> (Ont. S.C.J.). Those cases are informative, but they are not directly on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Ontario plaintiffs argue that although the Ontario courts may alter certifications in changed circumstances, it should not be assumed that they will do so here, and the principles of order, fairness, and comity do not support, as the defendants argue, that such a change would be made in Ontario. Here, they say that there was no question of rushing to certification in Ontario: the Ontario order was made five years ago; the Ontario order properly excluded residents of B.C. at the time; and the people in the Patients class in Ontario gained status at that time by the Ontario order. In Mr. Edinger's submission, people with rights under the Ontario certification order have simply migrated after some time to B.C., and the Ontario order will not and should not necessarily be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my view, the appropriate order, were I to grant approval of the settlement, would be to so on the basis of the of the class definition as proposed by the proponents of the settlement. Rather than altering the definition of the class as suggested by Mr.Edinger, I would direct that proper notice should be given to those covered by the Ontario Order who were not excluded as being B.C. residents, but who may now be B.C. residents, of their right to opt out from the proposed settlement if it is subsequently approved in B.C. I will hear further submissions if the matter comes back before me at that time about the concern raised by Mr. Edinger as to the scope of the proposed release and the possible effect on Family class members under the Ontario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XI.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application for certification and to approve the settlement is dismissed. The representative plaintiff and the defendants will have leave to bring on an application to approve a settlement again on further material once they have considered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Campbell River Indian Band v. WorleyParsons Canada Ltd., [2013] B.C.J. No. 1572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27-28, 2012; April 22-24,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S093612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1572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1272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C.L.R. (4th) 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230 A.C.W.S. (3d) 702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2201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Campbell River Indian Band a band within the meaning of the Indian Act, with offices located in Campbell River, British Columbia, Plaintiffs, and WorleyParsons Canada Ltd., doing business as Westmar and Westmar Consultants Inc., Defendants, and Mary Klugherz dba Klugherz and Associates and David Nairne &amp; Associates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0" w:name="Keywords_16"/>
      <w:bookmarkEnd w:id="120"/>
      <w:r>
        <w:rPr>
          <w:rFonts w:ascii="arial" w:eastAsia="arial" w:hAnsi="arial" w:cs="arial"/>
          <w:b/>
          <w:color w:val="000000"/>
          <w:sz w:val="20"/>
          <w:lang w:val="en-US" w:eastAsia="en-US" w:bidi="ar-SA"/>
        </w:rPr>
        <w:t>Civil litigation — Civil procedure — Trials — Trial of an issue — Summary trials — Availability — Application by defendant for summary trial dismissed — Plaintiff Indian Band contracted with defendant to design and supervise construction of cruise ship docking facility — Docking facility flawed — Plaintiff commenced proceeding for breaches of contact, fiduciary duty and tort — Defendant sought summary trial concerning alleged limitation clause which limited its contractual liability — Issue not suitable for summary trial — Limitation clause did not affect plaintiff's non-contractual claims — Consideration of limitation clause required assessing circumstances surrounding parties' agreement — Factual findings relevant to limitation clause intertwined with facts trial judge required to assess to resolve non-contractual claims — Supreme Court Civil Rules, Rule 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Terms — Application by defendant for summary trial dismissed — Plaintiff Indian Band contracted with defendant to design and supervise construction of cruise ship docking facility — Docking facility flawed — Plaintiff commenced proceeding for breaches of contact, fiduciary duty and tort — Defendant sought summary trial concerning alleged limitation clause which limited its contractual liability — Issue not suitable for summary trial — Limitation clause did not affect plaintiff's non-contractual claims — Consideration of limitation clause required assessing circumstances surrounding parties' agreement — Factual findings relevant to limitation clause intertwined with facts trial judge required to assess to resolve non-contractual claims — Supreme Court Civil Rules, Rule 9-7.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1" w:name="Case Summary_16"/>
            <w:bookmarkEnd w:id="1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a summary trial dismissed. The plaintiff Indian Band contracted with the defendant to design and supervise construction of a cruise ship docking facility. The docking facility was flawed and the plaintiff commenced a proceeding seeking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 of fiduciary duty. The dock project evolved over time from a larger cruise ship terminal to a stand-alone dock. A licence agreement entered into by the parties when they entered into a contact concerning the original project included a limitations clause. The defendant argued that the limitations clause was also applicable to the stand-alone dock project and limited its contractual liability. It brought an application for summary trial on the issue of the limitation clause's validity and enforceability.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2" w:name="Holdings of Court_13"/>
            <w:bookmarkEnd w:id="122"/>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limitation clause issue was not suitable for summary trial. Ruling on the limitations clause issue would not improve the efficiency of the trial and would require factual findings being made that might be inconsistent with subsequent findings of the trial judge. The limitations clause had limited scope and would not limit the defendant's liability for the non-contractual claims. To determine whether the clause applied to the stand-alone project, it would be necessary to consider the circumstances surrounding the parties' agreement and not just the contractual documents. Such findings of fact concerning the parties' interactions respecting the project were intertwined with the facts that the trial judge would be required to assess to resolve the non-contractual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3" w:name="Legislation Cited_13"/>
      <w:bookmarkEnd w:id="1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9-7, Rule 9(7)(11)(b)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4" w:name="Counsel_17"/>
      <w:bookmarkEnd w:id="1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 Wells, D.L. Dalke.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J.R. Singleton, Q.C., S.M. Vorbrodt.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17"/>
      <w:bookmarkEnd w:id="125"/>
      <w:r>
        <w:pict>
          <v:line id="_x0000_s1114" style="position:absolute;z-index:251829248"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INTRODUCTION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FACTS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Boliden Project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discussions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January 2002 Proposal</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2002 Proposal</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Band obtains funding</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proceeds on the Boliden Dock</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November 2002 Estimate</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Band receives funding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April 2004 Proposal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Dick takes over as economic development officer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Boliden Project collapses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begin planning the Stand-alone dock</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provides funding for conceptual design of the Stand-alone Dock</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August 2004 Estimate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Kullmann confirms that Westmar has begun conceptual design work</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2004 Estimate</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Confirmation Letter</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June 2005 Proposal</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Stand-alone Dock is constructed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litigation begins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POSITION OF THE PARTIES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Westmar's view of the contracts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Band's view of the contracts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ISSUES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ANALYSIS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Clause does not limit non-contractual liability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Band's contractual and non-contractual claims are based on the same underlying facts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underlying the contractual claims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underlying the non-contractual claims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matter is not suitable for summary disposition.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6" w:name="L.D. RUSSELL J."/>
            <w:bookmarkEnd w:id="126"/>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a summary trial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applicant, Worleyparsons Canada Ltd., is an engineering firm who designed and supervised the construction of a cruise ship docking facility for the respondents, the Campbell River Indian Band (the "Band"). The applicant's design of that dock has proven flawed, and the Band sues under the contract, in tort, and for breach of fiduciary duty. The applicant says that its agreement with the Band to design the dock was governed by a contract that contains a limitation clause (the "Limitation Clause"). The applicant asks this Court to decide a single issue: is the Limitation Clause valid and enforceable, and does it therefore limit the applicant's liability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find that the validity of the Limitation Clause is factually intertwined with the Band's claims in tort and breach of fiduciary duty. Resolving the issue of the Limitation Clause in isolation from these other issues does not promote judicial efficiency and risks embarrassing the trial judge. I therefore find that this matter is not suitable for summary trial and I dismiss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the parties began working together, the applicant was operating under the name "Westmar Consultants Inc.", and I will refer to the applicant as "Westmar". Westmar is an engineering firm with considerable experience in marine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Band's reserve is located on the coast of Vancouver Island near the City of Campbell River. In the past, the Band has engaged in a number of economic development projects, including numerous expansions to a marina, the development of a multi-million dollar shopping mall, the development of a strip mall, and the development and operation of an aboriginal art and gift shop. In or around 2006, the Band also negotiated a long-term sublease agreement with Wal-Mart and Home Depot.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Boliden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2001, a cruise ship called into the City of Campbell River as part of its regular schedule. Later that year, Royal Caribbean Inc. ("Royal Caribbean") expressed an interest in calling into Campbell River more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Seeing the potential for economic development, the Band decided to consider constructing a docking facility capable of attracting more cruise ships. The Band believed that Campbell River could be a successful cruise ship port of call, providing that there were facilities adequate to host the cruise 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Boliden-Westmin Canada Ltd. ("Boliden") operates a commercial docking facility in Campbell River, known as the "Boliden Dock". The Boliden Dock is used to ship mining products. The Band believed that the Boliden Dock site could be used both for its original mining purpose and for hosting cruise ships, and Boliden agreed in principle to this arrangement. However, the Boliden Dock would need a number of upgrades and modifications before it could accommodate cruise ships. The Band and Boliden would also eventually need to negotiate a formal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Boliden recommended Westmar to the Band, as Westmar had previously done some engineering work on the Boliden Dock. In late 2001 or early 2002, the Band decided to seek Westmar's assistance in upgrading the Boliden Dock in order to use it as a cruise ship facility. I will refer to this work as the "Boliden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The initial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start of the Boliden Project, the Band's representative was Mr. Robert Duncan, who was the Band's "economic development officer". As such, he was responsible for advancing the Band's business interests. He carried out rent reviews, gathered information for the chief and council, participated in negotiations, sought out economic development opportunities, and performed various business-related planning activities. As economic development officer, he had limited authority and had to submit all significant commitments -- including contracts -- to the Band's council for approval. Mr. Duncan had a high school education and had previously worked as a commercial fisherman, and later as general manager of the Band. Mr. Duncan had some experience in other business developments: he had been involved in a marina expansion and several mall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all relevant times, Westmar's representative to the Band was Mr. Harald Kullmann. Mr. Kullmann has been a marine engineer since 1993 and a senior project manager at Westmar since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their initial discussions, Mr. Kullmann assured Mr. Duncan that Westmar was the leading marine engineering firm in western Canada and that Westmar had significant expertise in cruise ship terminals. Mr. Duncan explained to Mr. Kullmann that the Band did not have funds of its own to pay for the Boliden Project, and that the Band would need to obtain funding from government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order to obtain that funding, the Band needed to show the government agencies a business proposal. So the Band asked Westmar to provide an estimate of costs for the preliminary engineering work that would be needed to begin the Boliden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The January 2002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estimate took the form of a letter dated January 10, 2002 (the "January 2002 Proposal"). The January 2002 Proposal contemplated the development of a concept-level design for a cruise ship terminal at the Boliden Dock site. The January 2002 Proposal discussed some of the background to the Boliden Project, listed a number of activities that would need to be completed in the course of preparing conceptual designs, and provided a cost-estimate for that preliminary work. The total projected cost for the work outlined in the January 2002 Proposal was $27,400.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its penultimate paragraph, the January 2002 Proposal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propose to undertake this work on the basis of our Standard Terms of Engagement and Fee and Disbursement Schedule, copies of which are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Westmar attached two other documents to the January 2002 Proposal. One of the documents is entitled the "Canadian Fee and Disbursement Schedule". This document contains tables listing the hourly rates for various classes of engineers, specialists, draftspersons, and other workers. It also explains Westmar's disbursement policies and terms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second document is entitled the "Standard Terms of Engagement". This document contains various contractual terms and conditions, including terms related to payment of fees and disbursements, notice provisions, and a termination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Standard Terms of Engagement contains the Limitation Clause. That clause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PROFESSIONAL RESPONSIBILITY AND LIMITATION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Westmar shall provide the standards of care, skill and diligence normally provided by a professional engineer in the performance of the Services contemplated by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Westmar shall not be responsible for a Contractor's failure to perform work in accordance with the relevant contract documents; for design of, or defects in, proprietary equipment; for loss of earnings or other consequential damage, however caused.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anything to the contrary contained in this Agreement, the aggregate liability of Westmar, </w:t>
      </w:r>
      <w:r>
        <w:rPr>
          <w:rFonts w:ascii="arial" w:eastAsia="arial" w:hAnsi="arial" w:cs="arial"/>
          <w:b/>
          <w:color w:val="000000"/>
          <w:sz w:val="20"/>
          <w:lang w:val="en-US" w:eastAsia="en-US" w:bidi="ar-SA"/>
        </w:rPr>
        <w:t>its Directors, Officers, and Employees</w:t>
      </w:r>
      <w:r>
        <w:rPr>
          <w:rFonts w:ascii="arial" w:eastAsia="arial" w:hAnsi="arial" w:cs="arial"/>
          <w:color w:val="000000"/>
          <w:sz w:val="20"/>
          <w:lang w:val="en-US" w:eastAsia="en-US" w:bidi="ar-SA"/>
        </w:rPr>
        <w:t xml:space="preserve"> under this Agreement, including liability for professional errors, omissions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fundamental breach of contract, shall be limited to compensation under this Agreement and </w:t>
      </w:r>
      <w:r>
        <w:rPr>
          <w:rFonts w:ascii="arial" w:eastAsia="arial" w:hAnsi="arial" w:cs="arial"/>
          <w:b/>
          <w:color w:val="000000"/>
          <w:sz w:val="20"/>
          <w:lang w:val="en-US" w:eastAsia="en-US" w:bidi="ar-SA"/>
        </w:rPr>
        <w:t>any such liability</w:t>
      </w:r>
      <w:r>
        <w:rPr>
          <w:rFonts w:ascii="arial" w:eastAsia="arial" w:hAnsi="arial" w:cs="arial"/>
          <w:color w:val="000000"/>
          <w:sz w:val="20"/>
          <w:lang w:val="en-US" w:eastAsia="en-US" w:bidi="ar-SA"/>
        </w:rPr>
        <w:t xml:space="preserve"> shall expire one year from the completion of the Project or any relevant part of the Project.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Client agrees that Westmar's Directors, Officers, and Employees shall have no personal liability to the Client, its Directors, Officers, or Employees, in respect of a claim whether in contract, tort, and/or any other cause of action in law.</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Standard Terms contains a clause entitled "Compensation", which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Charges for the Services performed will be made in accordance with our standard terms, based on the hourly fee and disbursement schedule attached. All charges will be made in, and will be payable in, Canadian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Westmar prepared the January 2002 Proposal in order to assist the Band in its search for funding. Mr. Duncan, the Band's representative, did not bring the January 2002 Proposal to the Band Council for approval, as he did not intend to hire Westmar unless and until the Band obtained outside funding. As a result, the Band did not approve the January 2002 Proposal and the Boliden Project did not go forward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The September 2002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September 2002, the Band requested another estimate for preliminary engineering work on the Boliden Project. The Band needed this estimate as it was planning to apply for $100,000 in government funding, which would cover Westmar's preliminary work and some of the geotechnical testing needed to assess the suitability of the Boliden Dock as a cruise ship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estimate took the form of a letter (the "September 2002 Proposal"). This letter is very similar in form to the January 2002 Proposal. The scope of work contemplated in the September 2002 Proposal was also similar: the development of a concept-level design for a cruise ship terminal at the Boliden Dock site. The total cost of the work was estimated to be $94,475, of which $56,000 was budgeted for a geotechnical site investigation. The September 2002 Proposal also referenced the Standard Terms of Engagement and the Fee and Disbursement Schedule, and both of those documents were attached to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the preparation of the September 2002 Proposal, Westmar and the Band continued to discuss the work needed to begin the Boliden Project. Over time, they decided to engage in a different scope of work than what was described in the September 2002 Proposal, but the parties did not amend that document or draft a new 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The Band obtains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preparation of the September 2002 Proposal, the Band obtained $100,000 in government funding for the Boliden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October 18, 2002, Mr. Duncan informed Westmar by email that the Band had obtained the funding needed to proceed with the initial stages of the Boliden Project. He asked whether Mr. Kullmann wanted "something in writing between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an emailed response, Mr. Kullmann made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would like to proceed at this time, all we would need is for you (I assume that you have signing authority) to ask us to proceed on the basis of our proposal dated ____. E-mail or letter would work for me. If you like, I can forward a sample invoice and cover letter so that you know what would be coming on a monthly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response to this email, Mr. Duncan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Sounds fine monthly invoice will be good for my reporting to the Province. I don't mind dealing directly with [the geotechnical contractor] we could save the taxes on the job which will be some savings for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Band never sent any other letter or email asking Westmar to proceed on the basis of any particular proposal.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Work proceeds on the Boliden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Despite the lack of clear written approval, Westmar proceeded with the preliminary work on the Boliden Project. This work was generally similar to the work described in the September 2002 Proposal, but some of it varied significantly from what was described in that proposal. For example, while the September 2002 Proposal has Westmar subcontracting another firm to carry out the geotechnical investigation, in fact the Band contracted that engineering firm directly. This is a significant variation from the September 2002 Proposal, since the geotechnical work made up more than half of the total cost estimate contained in that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Westmar continued to work for the Band even after completing all of the preliminary engineering work on the Boliden Project. From late 2002 through 2003, Westmar assisted the Band in obtaining funding approval, attended meetings, and coordinated with other groups, such as Indian and Northern Affairs Canada, Western Economic Diversificiation, and the Campbell River Port of Call Committee. None of this work was outlined in any express written agreement, although Mr. Kullmann charged the Band for his time. Westmar simply invoiced the Band based on Westmar's hourly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parties disagree on the nature of this work. The Band says the work was essentially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billed hourly, and not contractually linked to the September 2002 Proposal. Mr. Duncan says the work from 2003 to 2004 was done pursuant to oral discussions between him and Mr. Kullmann. Westmar says that the work was closely related to the design of the dock and the September 2002 Proposal, and that the work was effectively a continuation of that proposal even if the proposal does not actually contemplate that work. Mr. Kullmann agreed that the scope of work performed shifted as the product unfolded to deal with new issues that arose; while Mr. Kullmann informed Mr. Duncan of those changes, no new proposal, contract, or retainer was created.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 The November 2002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November 2002, the Band sought and received another letter from Westmar, this time for further detailed design work on the Boliden Project (the "November 2002 Estimate"). The November 2002 Estimate takes a similar form to the earlier proposals, but rather than describing itself as a "proposal" it describes itself as an "estimate". This letter contains a list of the activities needed to complete the detailed designs for the modification and upgrade of the Boliden Dock and an estimate of the cost of each activity. The total cost of the work proposed in this estimate was $162,500. Unlike the earlier proposals, this letter did not contain a reference to the Standard Terms of Engagement or to the Schedule of Fees and Disbursements, and those documents were not attached to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unclear whether or not Westmar intended the November 2002 Estimate to have any contractual effect, or whether Westmar only prepared it in order to assist the Band in obtaining funding. Mr. Kullmann stated that the November 2002 Estimate was not a "proposal", but merely a quote. However, he also stated that had the Band accepted that estimate, Westmar would have been bound by it. Mr. Kullmann indicated that in his view the difference between a mere quote and a proposal capable of forming an agreement was the inclusion of the "standard terms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any event, the Band only intended to use the November 2002 Estimate in order to obtain funding, never accepted the estimate, and the work described in the November 2002 Estimate was not carried out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 The Band receives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December 2003, the Band received funding of over $2.7 million for the Boliden Project. The funding approval carried a number of conditions that had to be met before the funds would be released. One of these conditions was that Boliden had to approve the use of the Boliden Dock as a cruise ship facility. This condition would eventually prove to be a fatal hurdle for the Boliden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Shortly after the Band received funding approval, Mr. Duncan left his position as the Band's economic development officer. In February 2004, Mr. Helmut Urhahn, an environmental consultant who had previously worked on the environmental aspects of the Boliden Project, took over as interim leader of the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 The April 2004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April 2004, Westmar sent Mr. Urhahn a letter containing a written proposal for detailed design and construction inspection work for the Boliden Project (the "April 2004 Proposal"), which was then on hold. Mr. Urhahn wanted to provide this proposal to a funding agency as soon as work on the Boliden Project 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April 2004 Proposal takes the same form of the earlier proposals: it sets out a series of activities with an associated price for each. This proposal was for the detailed design work and the construction inspections of the Boliden Project, at a projected total cost of $349,950. The April 2004 Proposal references the Standard Terms of Engagement and the Fee and Disbursement Schedule, and attaches both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Band never signed or accepted the April 2004 Proposal and the work set out in that proposal never proceeded.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 Ms. Dick takes over as economic development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spring and summer of 2004, Ms. Jodee Dick gradually took over the duties of economic development officer. She was officially appointed economic development officer in the fall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Dick is the daughter of Mr. Aubrey Roberts, who was then Chief of the Band, and had been his executive assistant for a number of years. As Chief Roberts' executive assistant, she helped draft the Band's taxation bylaw. She also reviewed documents. Before that, she worked as a lands officer for Indian and Northern Affairs Canada ("INAC"). In that position, she reviewed leases and permits, and dealt with land issues, mortgages, and housing, sometimes with the assistance of a lawyer. At times she was contracted to INAC, where she worked as a trainer for a land management training program. Before becoming economic development officer, Ms. Dick had some familiarity with the Boliden Project, but she did not know any of its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she started as economic development officer, Ms. Dick did not look over the various documents previously exchanged between Westmar and the Band. She understood that Westmar agreed to work for the Band, and that the Band would pay Westmar for that work if and when the Band secured funding. If the Band wished to proceed with any particular work, her practice was to give Westmar oral approval in an informal fashion. When a contract was to be signed in writing, her practice was to have legal counsel review the contract; however, she would not seek legal counsel if she was reviewing a quote or proposal rather than a contract. Her understanding of the relationship between Westmar and the Band was that Westmar would send a quote, and then she would get approval for the quote from the Band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Ms. Dick took over her role as economic development officer, Mr. Kullmann never discussed the Boliden Project or brought the earlier proposals to her attention. They did not discuss the Standard Terms of Engagement or the Limitation Clause. Ms. Dick informed Mr. Kullmann that she had no experience overseeing a construction project like a cruise ship docking facility. She made statements to the effect that Mr. Kullmann would need to "hold her hand" through the process, and that she was counting on him to do so. Ms. Dick relied on Mr. Kullmann's experience and guidance, and she told him so on more than one occasion.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 The Boliden Project collapses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Boliden Project ran into unexpected difficulties in the spring and summer of 2004. The project required approval from Boliden before work on the Boliden Dock could begin. Boliden refused to provide this approval, due in part to increased use of the facility for its primary, mining-related purposes. By the summer of 2004, it was clear that the Boliden Project had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the Boliden Project collapsed, Ms. Dick and Mr. Kullmann discussed some of Westmar's outstanding fees. The Band had intended to pay Westmar once government funding came through. The Band did not otherwise have the funds on hand to pay for consultants. Since Boliden had refused to agree to the joint use agreement, the federal government refused to release the funding. This left the Band without anticipated funds and Westmar was left unpaid for some of the work it had done in excess of the $100,000 the Band received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Westmar contends that it never agreed to an arrangement whereby it would be paid only once funding came through. The Band argues that Westmar knew of and agreed to this arrangement. In discovery, Mr. Kullmann admitted that he understood that he and Westmar would only be paid if and when the Band received funding.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 The parties begin planning the Stand-alone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the Boliden Project had failed, the Band was still interested in constructing a cruise ship facility. With the encouragement of the City of Campbell River, the Band decided to pursue the possibility of building a stand-alone cruise ship docking facility. That facility was eventually built, and became the subject of this action (the "Stand-alone Dock"). The Stand-alone Dock has two components: on-shore buildings and various marine structures, including a pontoon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Westmar advised the Band with respect to the marine portion of the Stand-alone Dock. Westmar determined the design needs and requirements for the Stand-alone Dock and then prepared designs to meet those needs and requirements. Westmar assured the Band that the Stand-alone Dock could be built in its current location. Westmar supervised and managed the construction process on the marine portion of the Stand-alone Dock. Westmar promoted the Stand-alone Dock to various funding agencies and to the cruise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summer of 2004, Ms. Dick, Mr. Kulllmann, and a representative of the City of Campbell River, Mr. Doug Raines, discussed the conceptual design work that the Band would need to undertake to prove the viability of the project to government funding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Because Westmar had yet to be paid for some of the work it performed on the Boliden Project, Mr. Kullmann initially resisted starting work on the design of the Stand-alone Dock.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 The City provides funding for conceptual design of the Stand-alone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Kullmann's concerns were addressed in two ways. First, the Band promised to pay Westmar's outstanding fees out of any funding the Band managed to obtain for the Stand-alone Dock. Second, the City of Campbell River agreed to provide $10,000 in funding to Westmar as "seed money". Ms. Dick understood that further work would be paid for out of any funding that the Band would be able to secure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 letter dated August 19, 2004, the City sent Westmar a letter which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my telephone message this morning, August 19th, 2004 please accept this as authorization to begin the conceptual design of a stand-alone cruise ship dock on the north breakwater of the Discovery Harbour Marina, As per your original estimates to the Band and District of Campbell River, the upset prices on this is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letter was copied to Ms. Dick.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receiving the letter from the City, Westmar confirmed that it had started the conceptual design work for the Stand-alone Dock.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 The August 2004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August 25, 2004, Ms. Dick sent Mr. Kullmann an email asking him to provide her with a cost estimate for the preliminary engineering, geotechnical reports, and concept drawings for the Stand-alone Dock. Ms. Dick needed this cost estimate in order to support an application for outside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August 27, 2004, Westmar sent the Band a brief letter containing an estimate for the cost of preliminary engineering design (the "August 2004 Estimate"). The August 2004 Estimate is a single-page document. It describes itself as an "estimate" rather than a proposal. It contains a description of three tasks (conceptual layout and drawings, geotechnical investigation, and preliminary engineering) with an associated cost for each task. The August 2004 proposal does not mention or attach the Standard Terms of Engagement.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 Mr. Kullmann confirms that Westmar has begun conceptual design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an email sent to Ms. Dick dated September 8, 2004, Mr. Kullmann confirmed that he had begun to prepare conceptual design work for the Stand-alone Project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proceeding with the conceptual work. I had received approval from the District, but since we are working for the Band, I will need confirmation under Band letterhead. If I can get that in the next few days, that would be great. I assume that we will continue under the existing terms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parties disagree on the meaning of the words "existing terms and conditions". Westmar says these words refer to the Standard Terms of Engagement. The Band says they refer to the arrangement whereby Westmar would be paid once the Band obtained government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this time, it had become clear that in order for the Stand-alone Dock project to proceed to the point where the Band would be able to secure funding, additional preliminary engineering work needed to be completed. This work included geotechnical engineering at an estimated cost of $120,000, which would test the suitability of Stand-alone Dock's proposed location for pilings and other works. This work was to be performed by another engineering firm, Levelton Consultants Inc. ("Levelton").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order to fund the geotechnical engineering, the Band pursued more outside funding. The Levelton work did not proceed at that time. Westmar continued to work on the Stand-alone Dock designs. Westmar may have reduced the pace of its progress on the Stand-alone Dock project, although that reduction in pace was not communicated to the Band or the City of Campbell 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 The September 2004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Westmar prepared another written estimate in a letter dated September 15, 2004 (the "September 2004 Estimate"). Mr. Kullmann attached that estimate to an email,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requested, attached is our letter dated September 15, 2004, detailing the proposed scope of work and estimate of fees and disbursements for the conceptual and preliminary designs of the marine works for the Campbell River Cruise Ship Terminal. If we proceed on this basis I propose that we continue on the basis of our existing terms and conditions. Let me know if this works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Once again, the parties do not agree on the meaning of the phrase "existing terms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September 2004 Estimate was for the preliminary engineering design of the Stand-alone Dock. Westmar was to identify the necessary design requirements for the Stand-alone Dock, and then create a conceptual design that would meet those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September 2004 Estimate does not mention the Standard Terms of Engagement, nor were they attached to Mr. Kullmann's email. The opening lines of the September 2004 Estimate refer to the letter as an "estimate", rather than as a "proposal". It outlines a scope of work and estimates the cost of each aspect of that work, which totalled $185,000. Of that total cost, $120,000 was budgeted for the geotechnical work that was to be carried out by Levelton.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Dick provided the September 2004 Estimate to the Band Council, who approved of the plan, providing government funding could be obtained to finance it. To that end, the Band sought funding from a provincial program known as "BCEPI".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this point, the Band became concerned with the pace of progress on the project. The Band hoped to have the Stand-alone Dock complete by the fall of 2005, ready for possible visits from Royal Caribbean cruise ships. In order to move the Stand-alone Dock project forward, the Levelton geotechnical engineering work needed to begin. Westmar was unwilling to subcontract Levelton until the Band could assure Westmar that the Levelton work would be paid for, whether or not the Band eventually obtained funding. Thus, the Band had to decide whether it would accept the risk of paying for the Levelton work without the certain availability of funding.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 The Confirmation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To that end, on October 21, 2004, Westmar told the Band that Westmar would initiate the geotechnical work outlined in the September 2004 Estimate once the Band instructed Westmar to proceed. Westmar asked that those instructions be in writing on Band letterhead, and that the instructions assure Westmar that it would be paid regardless of whether the Band obtained funding. Discussions between Westmar and the Band made clear that in order for the project to move forward, the Band needed to produce a written letter of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Dick and Mr. Kullmann exchanged a series of emails on October 26, 2004. Mr. Kullmann wrote to Ms. Dick requesting that Ms. Dick confirm the September 2004 Proposal: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Jodee,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you kindly forward written confirmation to proceed with conceptual and preliminary design per our letter dated September 15, 2004, along with confirmation that you have received the funding to cover this. Note that this letter covers $185,000 in fees and disbursements, $120,000 of which is for our geotechnical subconsultant.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Dick replied later that same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draft the letter for the Chief's signature but he will be away until tuesday. Please do not let this hold up [your] progress as we are on track and our funding for the entire amount for phase one should be forwarded to the band shortly. The BCEPI funds have allocated $185,000 to you for geotech/engineering and concept drawings. We have access to $138,000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BCEPI funding referred to by Ms. Dick in her letter was funding that had been promised to the Band but that had not yet been transferred to the Band's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Kullmann replied assuring Ms. Dick that work was proceeding apace even in the absence of a confirmatory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Jodee,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Rest assured, this is not holding things up. However, I do need this sort of back-up for others in my office to relax.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Despite Ms. Dick's stated intention to draft a confirmation letter, she did not do so. The need for the letter was discussed at meetings in late October and early November. At one point another consultant working for the band, David Nairne and Associates ("DNA"), agreed to draft a confirmation letter, but DNA also failed to draft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Ms. Dick and DNA had not prepared a confirmation letter, Westmar prepared one instead (the "Confirmation Letter"). Westmar sent Ms. Dick the Confirmation Letter on November 3, 2004. In the Confirmation Letter's covering email, Mr. Kullmann's assistant asked Ms. Dick to sign the final page of the Confirmation Letter and return it to Westmar.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Confirmation Letter is nearly identical to the September 2004 Estimate. It contains nearly all of the same language, the same list of tasks, and the same estimated costs for each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it differs from the September 2004 Estimate in a few small but significant ways. The opening line of the September 2004 Estimate says that it is an "estimate for engineering fees", while the opening line of the Confirmation Letter says that it is a "proposal for engineering fees". The September 2004 Estimate makes no reference to the Standard Terms of Engagement, while the Confirmation Letter contains a paragraph reading: "[w]e proposed to undertake this assignment on the basis of our Standard Terms of Engagement and Fee and Disbursement Schedules". Westmar attached copies of the Standard Terms of Engagement and the Fee and Disbursement to the Confirmation Letter, but not to the September 2004 Estimate. Finally, Westmar added a signature line to the last page of the Confirmation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When she received the Confirmation Letter from Westmar, Ms. Dick did not read the attached Standard Terms of Engagement, and she assumed that the Confirmation Letter was entirely identical to the September 2004 Estimate. She assumed that the Confirmation Letter was intended only to formalize the agreement already reached through the September 2004 Estimate and in the earlier discussions between the parties, and she did not expect the Confirmation Letter to contain any new contractual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Dick brought the Confirmation Letter to the Band council. She explained to the council that the Band needed to commit to pay for the geotechnical work if the Band was to complete the Stand-alone Dock on schedule. Ms. Dick did not present the council with the Standard Terms of Engagement, which had been attached to the Confirmation Letter, as she did not realize their importance. As she recalls, the main issue discussed with the council was the need to commit to paying for the Levelton geotechnical work even before funding could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any event, the Band approved the work outlined in the September 2004 Proposal and the Confirmation Letter. Chief Roberts signed the Confirmation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November 8, 2004, Ms. Dick returned the signed Confirmation Letter to Westmar. In a cover letter written on Band letterhead, Ms. Dick referred to the Confirmation Letter as a "contract",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find a signed copy of the contract for the preliminary engineering design. We look forward to working with you on this exciting project.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 The June 2005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Over the next year, work continued on the Stand-alone Dock. On June 10, 2005, Westmar sent the Band another proposal for the detailed design work of the Stand-alone Dock (the "June 2005 Proposal"). Like the earlier proposals, the June 2005 Proposal sets out a number of proposed tasks and cost estimates for those tasks, which totalled $220,700. The June 2005 Proposal refers to and attached the Standard Terms of Engagement.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Like the Confirmation Letter, the June 2005 Proposal has a signature line, but the Band never signed it. According to Ms. Dick, the detailed design work proposed in the June 2005 Proposal had already been agreed to and Westmar began that work at least as early as May 2005. Ms. Dick believes that Westmar drafted the June 2005 Proposal in order to provide a record for funding agencies.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 The Stand-alone Dock is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Westmar completed the detailed design work in the fall of 2005. The Stand-alone Dock was conceived of as a pontoon dock with a single gangway. Both of these design decisions would prove unfortunate.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construction continued, Westmar continued to meet with various funding agencies and cruise lines. Westmar assured funding agencies, cruise lines and other stakeholders that the Stand-alone Dock as designed by Westmar would be suitable as a cruise ship docking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Westmar acted as the construction contract manager of the Stand-alone Dock project. This aspect of Westmar's work was not subject to any written contract and Westmar provided no written proposal or estimate for this work. Westmar billed the Band as the work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2006, Royal Caribbean advised the Band that due to concerns regarding tides and wave conditions at the Stand-alone Dock, Royal Caribbean had decided not to make any stops in Campbell River. The Band asked Westmar to address these concerns, which Westmar did by writing a report. Westmar also lobbied Royal Caribbean and other cruise ship lines, attempting to convince them that the Stand-alone Dock would be safe for cruise ships. None of this work was subject to any written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Ultimately, construction of the Stand-alone Dock was completed in November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 The litigation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No large cruise ships have ever docked at the Stand-alone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Stand-alone Dock's design contained a number of flaws. Due in part to these design flaws, the Stand-alone Dock was damaged in a series of severe storms. Westmar investigated and concluded that the Stand-alone Dock's pontoon structure would suffer wear and tear during the spring and summer months, and would be unsafe to leave in the water during the winter months. The Band also discovered that many cruise ships prefer a two-gangway dock, as opposed to the single-gangway dock designed by Westmar. The Band identified other potential problems relating to the pontoon design that diminished the attractiveness of the Stand-alone Dock as a cruise ship docking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a result of these alleged design deficiencies, the Band sues Westmar in both contractual and non-contractual causes of actions. The Band says that Westmar:</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its contract or contracts with the Band;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negligently in the services it provided to the Band;</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made negligent misrepresentations upon which the Band relied;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a fiduciary duty to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Band says that these causes of action have led the Band to suffer a number of losses, including:</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loss of profit from the Stand-alone Dock;</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loss of the opportunity to obtain government funding to build a different, more suitable cruise ship dock;</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costs to retrofit the Stand-alone Dock;</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maintenance, repair, deactivation, storage and modification costs; and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associated with the Stand-alone Dock's diminished facility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Westmar admits that the Stand-alone dock, as originally designed and constructed, was not robust enough for the local wave and current conditions. It says that other alleged design deficiencies are unfounded and any problems are the fault of other parties, including the Band. Westmar denies making any misrepresentations, and says that even if it had, any reliance by the Band on those representations would have been unreasonable. Westmar denies owing the Band any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Westmar also denies that the Band suffered any damage, and argues that the Band's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any loss. Finally, Westmar relies on the Limitation Clause, which it says limits the Band's recoverable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this application, Westmar applies to have a single issue within the dispute resolved by summary trial: whether the Limitation Clause is a valid and enforceable part of the contract between Westmar and the Band (the "Limitation Clause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Westmar argues that the Limitation Clause Issue can be decided in a summary fashion. In Westmar's view, a summary determination will streamline the litigation, will save time and reduce complexity at trial, and has implications for the possibility of settlement. Most of the evidence is contained in correspondence, other documents, and affidavits, as well as some discovery evidence, and there are no issues of credibility that make a summary decision inappropriate. Westmar notes that enforceability of a license agreement has been considered appropriate for summary trial in other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Band argues that this matter is not suitable for disposition by summary trial, and it applies to dismiss the application under Rule 9-7(11)(b). According to the Band, there are credibility issues and controversies in the evidence. This matter is complex, and at least one witness (former Chief Roberts) has refused to participate in the discovery process. Resolving the Limitation Clause Issue, even if possible, will not resolve many of the Band's other non-contractual claims; therefore a trial on the issue of the Limitation Clause constitutes "litigation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the heart of this application is the parties' disagreement regarding the nature of the contractual arrangement between Westmar and the Band. I will describe the parties' positions on the nature of the contract in some detail because their disagreement on this point underscores the difficulty of resolving the Limitation Clause Issue in a summary fashion.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Westmar's view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Westmar says that in total there were six contractual documents, made up of the various proposals and letters described above. Each of these proposals and letters contained a list of engineering tasks and the estimated cost of those tasks. The documents usually (but not always) contained the Standard Terms of Engagement.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Westmar says the six contractual documents are as follows:</w:t>
      </w:r>
      <w:r>
        <w:rPr>
          <w:rFonts w:ascii="arial" w:eastAsia="arial" w:hAnsi="arial" w:cs="arial"/>
          <w:sz w:val="20"/>
          <w:lang w:val="en-US" w:eastAsia="en-US" w:bidi="ar-SA"/>
        </w:rPr>
        <w:cr/>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January 2002 Proposal was a written proposal for the conceptual design of the Boliden Dock. The Standard Terms of Engagement were attached to this proposal. The Band did not agree to this proposal.</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2002 Proposal was a written proposal for the preliminary engineering and conceptual design of the Boliden Dock. The Standard Terms of Engagement were attached to this proposal. In Westmar's view, Mr. Duncan agreed to this proposal in the email where he said: "sounds fine." Westmar agrees that some of the work it performed on the Boliden Project was outside of the scope of this proposal, but argues that all of that work was closely related to the work described in the proposal, and so that work should also be understood as falling within the September 2002 Proposal.</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April 2004 Proposal was a written proposal for the detailed design and field inspection of the Boliden Dock. The Standard Terms of Engagement were attached to this proposal. The Band did not agree to this proposal.</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2004 Estimate was a written estimate for the provision of preliminary engineering services regarding the Stand-alone Dock. This letter was similar in form to the earlier proposals, but did not include the Standard Terms of Engagement. In a covering email, Mr. Kullmann stated "if we proceed on this basis, I propose that we continue on the basis of our existing terms and conditions". Westmar argues that when Mr. Kullmann referred to "existing terms and conditions", Mr. Kullmann actually meant the Standard Terms of Engagement.</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Westmar says that it needed the Confirmation Letter to formalize the September 2004 Estimate and to confirm that the Band was prepared to pay for the Levelton geotechnical work, whether or not the Band was able to obtain outside funding. As described above, the Confirmation Letter is a copy of the September 2004 Estimate, modified slightly to include a signature line and a reference to the Standard Terms of Engagement. The Confirmation Letter was signed by Chief Roberts, and in a covering letter included with the signed Confirmation Letter, Ms. Dick referred to the Confirmation Letter as a "contract".</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June 2005 Proposal was a written proposal for the detailed design work of the Stand-alone Dock. The Standard Terms of Engagement were included with this proposal. This proposal was never signed by the Band, but the Band did instruct Westmar to proceed with the work contained in that Proposal, and that work was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Westmar argues that all of the design work on the Boliden Dock was either contained in or closely related to the work proposed in the September 2002 Proposal. All of the design work on the Stand-alone Dock was contained within the Confirmation Letter and the June 2005 Proposal. Westmar says that these three documents represent contracts that were accepted by the Band, that all of these contracts contained the Limitation Clause, and that therefore the Limitation Clause applies to limit Westmar's liability for any work performed under those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To the extent that there was no written contract for the contract management work and certain other tasks, Westmar says that the Band is not claiming damages for that aspect of Westmar's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Westmar's view, then, the contracts take the form of the September 2002 Proposal, the Confirmation Letter, and the June 2005 Proposal, all of which included the Standard Terms of Engagement. In Westmar's view, the contract is clearly governed by the Standard Terms of Engagement, including the Limitation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Band's view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Band takes a significantly different view of the contractual arrangement between the parties. In the Band's view, Westmar has failed to prove that the Band accepted any contract that expressly or implicitly incorporated the Standard Terms of Engagement.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Band argues that rather than being governed by the September 2002 Proposal, the Confirmation Letter, and the June 2005 Proposal, the parties' business relationship unfolded in a more informal manner. While numerous proposals and other documents were drafted and used for various purposes, such as attempts to obtain funding, not all of these documents contained the Standard Terms of Engagement and only one was ever signed. Moreover, Westmar did extensive work not covered by any of the proposals and Westmar began much of the work described in the Proposals before the Proposals were themselves drafted, demonstrating that the parties' agreement was not confined to the various documents prepared by Westmar.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According to the Band, the only formalized agreement was that set out in the Confirmation Letter, but that Confirmation letter was only intended to document a prior oral agreement and contained terms that the Band did not knowingly agree to. The Band argues that the various contractual documents only formalize existing agreements, and so the real question is whether these documents should be considered valid amendments to the already existing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support of this argument, the Band makes a number of arguments regarding the contents of the informal agreements. I particularize some of these arguments below:</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Boliden Dock project, Westmar provided the Band with a number of proposals that were used to assist the Band in its attempts to secure funding. Only one of these Proposals, the September 2002 Proposal, resulted in Westmar performing work on the project. The other proposals were not considered contracts by either party.</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September 2002 Proposal is considered an offer, then it was never accepted. Mr. Duncan's emails are not acceptance of any particular proposal. It is not even clear that Mr. Duncan understood that the September 2002 Proposal was intended to be a contractual document. Mr. Duncan's response of "sounds fine" cannot be considered an acceptance of the September 2002 Proposal.</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carried out by Westmar after October 18, 2002, which Westmar says occurred under the September 2002 Proposal, was different in scope to what was outlined under that proposal. The Band says that the work that was performed after October 18, 2002, was the subject of a simple informal retainer agreement that evolved over time as the work evolved, based on discussions between the parties. The Standard Terms of Engagement formed no part of this simple oral arrangement.</w:t>
      </w:r>
    </w:p>
    <w:p>
      <w:pPr>
        <w:numPr>
          <w:numId w:val="5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Westmar continued working for the Band between February 2003 and June 2004. None of this work is documented in any proposal or estimate. Mr. Duncan says the work was contracted orally.</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Westmar's conduct is inconsistent with the proposal that the Standard Terms of Engagement applied to the parties' arrangement. For example, the Standard Terms of Engagement state that invoices must be paid within 30 days, with interest payable. However, the Band routinely failed to pay its invoices in 30 days, since payment was contingent on the Band receiving funding. The Band says that Westmar agreed to that arrangement, although Westmar disputes that fact.</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Confirmation Letter does not represent the contract between the parties for the conceptual work on the Stand-alone Dock. Westmar developed the conceptual designs pursuant to an informal retainer concluded in August, which was concluded partly orally, partly in writing, and partly by conduct, and which did not include the Standard Terms. Once the Band agreed to work towards paying Westmar for the outstanding invoices related to the Boliden Dock project, and the City committed to paying $10,000, Westmar immediately began conceptual design. The September 2004 Estimate and the Confirmation Letter therefore simply documented a pre-existing contract. Westmar prepared the letters only in order to satisfy funding agencies and to confirm that Westmar would be paid regardless of whether the Band ultimately secured outside funding.</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Confirmation Letter was merely intended to formalize the agreement reached in the summer of 2004, Westmar's inclusion of the Standard Terms of Engagement into the Confirmation Letter was an invalid amendment to a pre-existing contract. The parties did not agree that the Confirmation Letter would add new terms to their agreement and Westmar did not offer any fresh consideration for those new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interpretation is substantiated by the parties' behaviour leading up to the Confirmation Letter. For example, the Confirmation Letter was originally to be written by the Band or DNA, who would not have included the Standard Terms had they drafted the Confirmation Letter. Mr. Kullmann described and treated the Confirmation Letter as a "back-up" needed to comfort the other Westmar staff.</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Band argues that the doctrine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applies, because the Confirmation Letter was radically different from the September 2004 Estimate that the Band believed it was signing and that the Confirmation Letter resembled. While neither Ms. Dick nor the Band read the Confirmation Letter or the Standard Terms of Engagement, the Band says that this failure was not caused by any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Generally, the Band argues that it never agreed to any contract that included the Limitation Clause. The parties' agreement was informal and largely oral. The only document that the Band ever signed (the Confirmation Letter) was intended merely to document a pre-existing agreement, and the inclusion of the Limitation Clause in the Confirmation Letter should not be given legal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Resolving the License Agreement Issue is therefore not a simple matter of interpreting the language of a mutually agreed upon document. Determining whether or not the License Agreement is a part of the contract for the design of the Stand-alone Dock may require an investigation into all the circumstances that led to the creation of the various documents, a consideration of all the discussions and meetings that preceded the drafting of those documents, and an attempt to discern exactly what was said and done by each party before, after, and during the time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issues in this application are as follows:</w:t>
      </w:r>
      <w:r>
        <w:rPr>
          <w:rFonts w:ascii="arial" w:eastAsia="arial" w:hAnsi="arial" w:cs="arial"/>
          <w:sz w:val="20"/>
          <w:lang w:val="en-US" w:eastAsia="en-US" w:bidi="ar-SA"/>
        </w:rPr>
        <w:cr/>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matter suitable for summary determination?</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does the contract between the parties include the Limitation Clause?</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Limitation Clause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begin by considering whether the case is suitable for summary determination. Due to my finding on that issue, it is not necessary for me to consider the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Band contests the suitability of determining this matter by summary trial, and applies under Rule 9-7(11)(b) to dismiss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Rule 9-7 provides for a summary trial, which is a trial in chambers, usually based on documents and affidavits, without the need for live testimony. Rule 9-7 was known as Rule 18A under the former </w:t>
      </w:r>
      <w:r>
        <w:rPr>
          <w:rFonts w:ascii="arial" w:eastAsia="arial" w:hAnsi="arial" w:cs="arial"/>
          <w:i/>
          <w:color w:val="000000"/>
          <w:sz w:val="20"/>
          <w:lang w:val="en-US" w:eastAsia="en-US" w:bidi="ar-SA"/>
        </w:rPr>
        <w:t>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Rule 9-7(11) allows the court to dismiss a summary trial application if the issues raised are not suitable for summary trial or the summary trial will not assist the efficient resolution of the proceedings. Rule 9-7(11)(b)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Adjournment or dismissal</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the issues raised by the summary trial application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are not suitable for disposition under this rule, or</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courts have developed a number of factors when considering whether a matter is suitable for summary disposition under Rule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There are various factors in the authorities that have been considered as to whether a summary trial is suitable. They include: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decide isolated issues in the absence of a full factual matrix and should not decide issues on the basis of assumed facts.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court may in certain circumstances resolve issues and find facts in the face of conflicting evidence, it should be reluctant to do so where there are direct conflicts in affidavit evidence, the resolution of which will require findings with respect to credibility.</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resolve factual issues in the absence of admissible evidence where such evidence may well be tendered in admissible form at a subsequent trial.</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"slice off" and decide isolated issues and circumstances where resolution of those issues will not resolve the litigation or will only resolve the litigation if answered in a particular way. In such circumstances, the 18A applicant will be required to demonstrate and the court expected to decide that the administration of justice including the orderly and effective use of court time will be enhanced by dealing with the separate issue brought forth by the applicant.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will not suitable for resolution by Rule 18A where resolution of a particular issue or issues in the summary trial will require that the court make findings or rulings which will impact on parties or issues which are not before the court on the application. In particular, the court hearing the summary trial must not decide the issues on the basis of facts which might be inconsistent with the findings of the judge at trial.</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cases, the complexity of the issues raised or the volume of the material before the court may be such that the matter is unsuitable for resolution by summary trial.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resolution of discrete issues within a dispute raises particular concerns with respect to the efficient use of court resources, and creates a danger of inconsistent findings. In </w:t>
      </w:r>
      <w:r>
        <w:rPr>
          <w:rFonts w:ascii="arial" w:eastAsia="arial" w:hAnsi="arial" w:cs="arial"/>
          <w:i/>
          <w:color w:val="000000"/>
          <w:sz w:val="20"/>
          <w:lang w:val="en-US" w:eastAsia="en-US" w:bidi="ar-SA"/>
        </w:rPr>
        <w:t>Coast Foundation Society (1974) v. John Currie Architect Inc.</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Groberman J., as he then was, explained the reluctance of the court to rule on distinct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question of when the court ought to give judgment on an issue, as opposed to on the claim generally, is more complex. The court is justifiably reluctant to decide cases in a piecemeal fashion. In addition to all of the concerns that arise when the entire claim is before the court, there is a multitude of others. The result is that the court must exercise considerable caution before coming to the conclusion that it should grant judgment on an issue in a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Where a Rule 18A application requires determination of a difficult issue of law that might not need to be resolved in order to decide the claim at trial, for example, the court may conclude that the appropriate development of the common law demands restraint: </w:t>
      </w:r>
      <w:r>
        <w:rPr>
          <w:rFonts w:ascii="arial" w:eastAsia="arial" w:hAnsi="arial" w:cs="arial"/>
          <w:i/>
          <w:color w:val="000000"/>
          <w:sz w:val="20"/>
          <w:lang w:val="en-US" w:eastAsia="en-US" w:bidi="ar-SA"/>
        </w:rPr>
        <w:t>Bacchus Agents (1981) Ltd. v. Phillipe Dandurand Wines Ltd.</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164 B.C.A.C. 300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court must also be wary of making determinations on particular issues on a Rule 18A application when those issues are inexorably intertwined with other issues that are to be left for determination at trial: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210 D.L.R. (4th) 649</w:t>
      </w:r>
      <w:r>
        <w:rPr>
          <w:rFonts w:ascii="arial" w:eastAsia="arial" w:hAnsi="arial" w:cs="arial"/>
          <w:color w:val="000000"/>
          <w:sz w:val="20"/>
          <w:lang w:val="en-US" w:eastAsia="en-US" w:bidi="ar-SA"/>
        </w:rPr>
        <w:t xml:space="preserve">; inter-relatedness of issues is not always obvious, and caution is necessary whenever a party seeks judgment on an issue as opposed to judgment generally under Rule 18A: </w:t>
      </w:r>
      <w:r>
        <w:rPr>
          <w:rFonts w:ascii="arial" w:eastAsia="arial" w:hAnsi="arial" w:cs="arial"/>
          <w:i/>
          <w:color w:val="000000"/>
          <w:sz w:val="20"/>
          <w:lang w:val="en-US" w:eastAsia="en-US" w:bidi="ar-SA"/>
        </w:rPr>
        <w:t>B.M.P. Global et al v. Bank of Nova Scotia</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[2003] B.C.J. No. 2383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must be borne in mind that the primary purpose of Rule 18A is the efficient resolution of disputes. Where the court does not consider that the determination of an issue under Rule 18A will assist in the efficient resolution of the dispute, it ought not to make the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There are at least two aspects to be considered in gauging the efficiency of the summary trial process. First, this court must be concerned about the allocation of its own resources: </w:t>
      </w:r>
      <w:r>
        <w:rPr>
          <w:rFonts w:ascii="arial" w:eastAsia="arial" w:hAnsi="arial" w:cs="arial"/>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at 212 (C.A.) (paragraph 33). Summary trial applications that will not, even if successful, reduce the length of trial, should, in general, be discouraged. The court must recognize the reality that judicial time is a scarce resource.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Second, the court must consider the efficiency of a partial determination from the standpoint of the litigation itself. Piecemeal decision-making is rarely an efficient manner in which to resolve a dispute. It raises the possibility of multiple appeals on individual issues, and this will generally impede rather than hasten the orderly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this matter is not suitable for summary disposition. Ruling on the Limitation Clause Issue while leaving the non-contractual claims unaffected would not improve trial efficiency. I see no way in which I can rule on the Limitation Clause Issue without making findings of fact that might be inconsistent with the subsequent findings of the judge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reach this conclusion for three reasons. First, in my view the Limitation Clause does not affect the Band's non-contractual claims. Second, the nature of the contract is such that in order to consider the application of the Limitation Clause, I would have to examine the circumstances surrounding the parties' agreement, and not just the contractual documents. Third, the facts I would need to find to resolve the Limitation Clause Issue are intertwined with the facts that the trial judge will need to assess in order to resolve the non-contractual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Limitation Clause does not limit non-contractual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Limitation Clause has a limited scope and does not limit Westmar's liability with respect to non-contractual causes of action. The limited scope of the Limitation Clause is obvious from a plain reading of the Standard Terms of Engagement. Thus, even assuming that I accept Westmar's position that the Limitation Clause forms part of the contract, the Band's non-contractual causes of action will proceed unaffected.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is due to the wording of the Limitation Clause, the relevant parts of which I repeat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anything to the contrary contained in this Agreement, the aggregate liability of Westmar, </w:t>
      </w:r>
      <w:r>
        <w:rPr>
          <w:rFonts w:ascii="arial" w:eastAsia="arial" w:hAnsi="arial" w:cs="arial"/>
          <w:b/>
          <w:color w:val="000000"/>
          <w:sz w:val="20"/>
          <w:lang w:val="en-US" w:eastAsia="en-US" w:bidi="ar-SA"/>
        </w:rPr>
        <w:t>its Directors, Officers, and Employees</w:t>
      </w:r>
      <w:r>
        <w:rPr>
          <w:rFonts w:ascii="arial" w:eastAsia="arial" w:hAnsi="arial" w:cs="arial"/>
          <w:color w:val="000000"/>
          <w:sz w:val="20"/>
          <w:lang w:val="en-US" w:eastAsia="en-US" w:bidi="ar-SA"/>
        </w:rPr>
        <w:t xml:space="preserve"> under this Agreement, including liability for professional errors, omissions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fundamental breach of contract, shall be limited to compensation under this Agreement and any such liability shall expire one year from the completion of the Project or any relevant part of the Project.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Client agrees that Westmar's Directors, Officers, and Employees shall have no personal liability to the Client, its Directors, Officers, or Employees, in respect of a claim whether in contract, tort, and/or any other cause of action in law.</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Limitation Clause thus has two components. The second paragraph excludes Westmar's directors, officers, and employees from any personal liability whatsoever, whether that liability is rooted in contract, tort or some other cause of action. This paragraph does not purport to limit Westmar's corporate liability. That paragraph of the Limitation Clause is not at issue in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By contrast, the first paragraph limits the aggregate liability of Westmar itself, in addition to that of its directors, officers and employees. But it does not do so at large: it only limits the "aggregate liability of Westmar ... </w:t>
      </w:r>
      <w:r>
        <w:rPr>
          <w:rFonts w:ascii="arial" w:eastAsia="arial" w:hAnsi="arial" w:cs="arial"/>
          <w:color w:val="000000"/>
          <w:sz w:val="20"/>
          <w:u w:val="single"/>
          <w:lang w:val="en-US" w:eastAsia="en-US" w:bidi="ar-SA"/>
        </w:rPr>
        <w:t>under this Agreement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 basic principle of contractual interpretation is that the court should "give effect to every part of it, if this be possible, and not to strike out or nullify one clause in a deed, unless it be impossible to reconcile it with another in a more express clause in the same deed": </w:t>
      </w:r>
      <w:r>
        <w:rPr>
          <w:rFonts w:ascii="arial" w:eastAsia="arial" w:hAnsi="arial" w:cs="arial"/>
          <w:i/>
          <w:color w:val="000000"/>
          <w:sz w:val="20"/>
          <w:lang w:val="en-US" w:eastAsia="en-US" w:bidi="ar-SA"/>
        </w:rPr>
        <w:t>Re Strand Music Hall Co.</w:t>
      </w:r>
      <w:r>
        <w:rPr>
          <w:rFonts w:ascii="arial" w:eastAsia="arial" w:hAnsi="arial" w:cs="arial"/>
          <w:color w:val="000000"/>
          <w:sz w:val="20"/>
          <w:lang w:val="en-US" w:eastAsia="en-US" w:bidi="ar-SA"/>
        </w:rPr>
        <w:t xml:space="preserve"> (1865), 35 Beav. 153, 55 E.R. 853 (Ch), Lord Romilly M.R. Thus I must endeavour to give effect to the phrase "under this Agreement" and not render it superfluous.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 meaning of the phrase "under this Agreement" is to restrict the limitation of liability to causes of action arising out of the contract. Thus, liability that arises under the agreement is limited, while liability that arises outside the agreement is not limited. See </w:t>
      </w:r>
      <w:r>
        <w:rPr>
          <w:rFonts w:ascii="arial" w:eastAsia="arial" w:hAnsi="arial" w:cs="arial"/>
          <w:i/>
          <w:color w:val="000000"/>
          <w:sz w:val="20"/>
          <w:lang w:val="en-US" w:eastAsia="en-US" w:bidi="ar-SA"/>
        </w:rPr>
        <w:t>Sault College of Applied Arts and Technology v. Agresso Corp</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[2006] O.J. No. 5265</w:t>
        </w:r>
      </w:hyperlink>
      <w:r>
        <w:rPr>
          <w:rFonts w:ascii="arial" w:eastAsia="arial" w:hAnsi="arial" w:cs="arial"/>
          <w:color w:val="000000"/>
          <w:sz w:val="20"/>
          <w:lang w:val="en-US" w:eastAsia="en-US" w:bidi="ar-SA"/>
        </w:rPr>
        <w:t xml:space="preserve"> (Sup. Ct. J.), where Riopelle J. held that the phrase "under this ... agreement" limited the application of an arbitration clause to causes of action arising under the contract, and not to causes of action in misrepresentation and tort arising out of the formation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Interpreting the first paragraph as limiting non-contractual damages would be to effectively strike out the phrase "under this Agreement". I am reluctant to construe the contract in a way that renders some of its terms superfluous.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first paragraph also lists a number of potential sources of liability that are covered by the limitation of liability: professional errors, omissions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fundamental breach of contract. These are all examples of contractual breaches that are subject to the limitation of liability. The limitation clause does not limit liability for all professional errors, omissions,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only those professional errors, omissions,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arise "under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My conclusion on this point is reinforced by the second paragraph of the Limitation Clause, which states: "The Client Agrees that Westmar's Directors, Officers, and Employees shall have no personal liability ... in respect of a claim whether in contract, tort, and/or any other cause of action in law." Unlike the first paragraph, in the second paragraph liability is excluded generally, in contract, tort, and other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This phrasing demonstrates that when Westmar wished to apply a limitation or exclusion of liability to non-contractual claims, it did so expressly. Another basic rule of interpretation applies to this choice of wording: when different clauses in a contract employ different language, a different meaning is intended. If the first paragraph was intended to limit Westmar's liability in "contract, tort, and/or any other cause of action in law," it would have used the same language used in the second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Finally, the doctrine of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holds that provisions in contracts that are ambiguous are to be construed against the interest of the party who drafted the document. Since I have been able to construe the meaning of the Limitation Clause using other rules of construction, I do not need to apply that doctrine, which "applies, if at all, 'only when all other rules of construction fail'": </w:t>
      </w:r>
      <w:r>
        <w:rPr>
          <w:rFonts w:ascii="arial" w:eastAsia="arial" w:hAnsi="arial" w:cs="arial"/>
          <w:i/>
          <w:color w:val="000000"/>
          <w:sz w:val="20"/>
          <w:lang w:val="en-US" w:eastAsia="en-US" w:bidi="ar-SA"/>
        </w:rPr>
        <w:t>Canadian Railway Co. v. Royal and Sun Alliance Insurance Co. of Canada</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2008 SCC 66</w:t>
        </w:r>
      </w:hyperlink>
      <w:r>
        <w:rPr>
          <w:rFonts w:ascii="arial" w:eastAsia="arial" w:hAnsi="arial" w:cs="arial"/>
          <w:color w:val="000000"/>
          <w:sz w:val="20"/>
          <w:lang w:val="en-US" w:eastAsia="en-US" w:bidi="ar-SA"/>
        </w:rPr>
        <w:t xml:space="preserve"> at para. 33, </w:t>
      </w:r>
      <w:hyperlink r:id="rId400" w:history="1">
        <w:r>
          <w:rPr>
            <w:rFonts w:ascii="arial" w:eastAsia="arial" w:hAnsi="arial" w:cs="arial"/>
            <w:i/>
            <w:color w:val="0077CC"/>
            <w:sz w:val="20"/>
            <w:u w:val="single"/>
            <w:shd w:val="clear" w:color="auto" w:fill="FFFFFF"/>
            <w:lang w:val="en-US" w:eastAsia="en-US" w:bidi="ar-SA"/>
          </w:rPr>
          <w:t>[2008] 3 S.C.R. 453</w:t>
        </w:r>
      </w:hyperlink>
      <w:r>
        <w:rPr>
          <w:rFonts w:ascii="arial" w:eastAsia="arial" w:hAnsi="arial" w:cs="arial"/>
          <w:color w:val="000000"/>
          <w:sz w:val="20"/>
          <w:lang w:val="en-US" w:eastAsia="en-US" w:bidi="ar-SA"/>
        </w:rPr>
        <w:t xml:space="preserve">. I do note that in this case Westmar drafted the Limitation Clause upon which it seeks to rely, the Limitation Clause was part of a standard form document, the Limitation Clause was not brought to the notice of the Band, and the common law has traditionally construed limitation clauses strictly: see, for example, </w:t>
      </w:r>
      <w:r>
        <w:rPr>
          <w:rFonts w:ascii="arial" w:eastAsia="arial" w:hAnsi="arial" w:cs="arial"/>
          <w:i/>
          <w:color w:val="000000"/>
          <w:sz w:val="20"/>
          <w:lang w:val="en-US" w:eastAsia="en-US" w:bidi="ar-SA"/>
        </w:rPr>
        <w:t>Alderslade v. Hendon Laundry, Ltd.,</w:t>
      </w:r>
      <w:r>
        <w:rPr>
          <w:rFonts w:ascii="arial" w:eastAsia="arial" w:hAnsi="arial" w:cs="arial"/>
          <w:color w:val="000000"/>
          <w:sz w:val="20"/>
          <w:lang w:val="en-US" w:eastAsia="en-US" w:bidi="ar-SA"/>
        </w:rPr>
        <w:t xml:space="preserve"> [1945] KB 189, [1945] 1 All E.R. 244, Lord Greene M.R.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any event, the plain meaning of the Limitation Clause is that only contractual liability is limited. That being the case, even if I were to find that the Limitation Clause is a valid and enforceable part of the contract between Westmar and the Band, the Limitation Clause will not affect Westmar's non-contractual claims. Those non-contractual claims will continue to trial unaffected.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I will discuss below, the non-contractual claims deal with the same set of events, discussions, and documents that I would need to consider in resolving the Limitation Clause Issue. For that reason, any finding I make with respect to the parties' contract -- including a finding regarding what documents and terms are or are not contained in that contract -- would necessarily be revisited at trial in resolving the non-contractual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Band's contractual and non-contractual claims are based on the same underlying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order to decide whether or not the Limitation Clause forms part of the contract I would need to make findings of fact that could impair the trial judge when he or she decides the non-contractual claims. It is my view that the contractual claims and the non-contractual claims are based on many of the same underlying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The facts underlying the contractual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will begin by considering the nature of the agreement between Westmar and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Ordinarily, the "parole evidence rule" dictates that a court's interpretation of a contract is limited to a consideration of the terms of that contract. When the contract is written, clear, and unambiguous, no recourse to extrinsic evidence is needed or admissible: </w:t>
      </w:r>
      <w:r>
        <w:rPr>
          <w:rFonts w:ascii="arial" w:eastAsia="arial" w:hAnsi="arial" w:cs="arial"/>
          <w:i/>
          <w:color w:val="000000"/>
          <w:sz w:val="20"/>
          <w:lang w:val="en-US" w:eastAsia="en-US" w:bidi="ar-SA"/>
        </w:rPr>
        <w:t>Tangerine Financial Products Limited Partnership v. Tangerine FP Investments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2012 BCCA 521</w:t>
        </w:r>
      </w:hyperlink>
      <w:r>
        <w:rPr>
          <w:rFonts w:ascii="arial" w:eastAsia="arial" w:hAnsi="arial" w:cs="arial"/>
          <w:color w:val="000000"/>
          <w:sz w:val="20"/>
          <w:lang w:val="en-US" w:eastAsia="en-US" w:bidi="ar-SA"/>
        </w:rPr>
        <w:t xml:space="preserve"> at paras. 29-30, </w:t>
      </w:r>
      <w:hyperlink r:id="rId401" w:history="1">
        <w:r>
          <w:rPr>
            <w:rFonts w:ascii="arial" w:eastAsia="arial" w:hAnsi="arial" w:cs="arial"/>
            <w:i/>
            <w:color w:val="0077CC"/>
            <w:sz w:val="20"/>
            <w:u w:val="single"/>
            <w:shd w:val="clear" w:color="auto" w:fill="FFFFFF"/>
            <w:lang w:val="en-US" w:eastAsia="en-US" w:bidi="ar-SA"/>
          </w:rPr>
          <w:t>40 B.C.L.R. (5th) 274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Tangerine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This rule makes issues of contractual interpretation generally amenable to summary trial: </w:t>
      </w:r>
      <w:r>
        <w:rPr>
          <w:rFonts w:ascii="arial" w:eastAsia="arial" w:hAnsi="arial" w:cs="arial"/>
          <w:i/>
          <w:color w:val="000000"/>
          <w:sz w:val="20"/>
          <w:lang w:val="en-US" w:eastAsia="en-US" w:bidi="ar-SA"/>
        </w:rPr>
        <w:t>Tangerine</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However, the parole evidence rule does not apply when the written document was not intended to be a final expression of the parties' agreement: </w:t>
      </w:r>
      <w:r>
        <w:rPr>
          <w:rFonts w:ascii="arial" w:eastAsia="arial" w:hAnsi="arial" w:cs="arial"/>
          <w:i/>
          <w:color w:val="000000"/>
          <w:sz w:val="20"/>
          <w:lang w:val="en-US" w:eastAsia="en-US" w:bidi="ar-SA"/>
        </w:rPr>
        <w:t>Nevin v. British Columbia Hazardous Waste Management Corp.</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(1995), 129 D.L.R. (4th) 569</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[1996] 3 W.W.R. 237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do not take either of the parties to be arguing that in this case I can interpret their contract by reference solely to the words of any written document. A significant portion of the work performed by Westmar occurred without ever being reduced to writing. For example, Westmar supervised the construction of the Stand-alone Dock, yet no written proposal was ever drafted, much less any written contract executed. Westmar also attended and participated in a number of meetings with the Band, the City, funding agencies, and cruise ship companies. This work did not fall within the scope of any written proposal or contract, and yet Westmar unquestionably performed this work for compensation at the behest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At other times, work was contemplated by a written proposal, but was carried out in a significantly different way without that proposal ever being amended or a different document drafted. For example, while the September 2002 Proposal contemplated Westmar subcontracting an engineering firm, in fact the Band contracted that firm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While Westmar prepared a number of proposals and estimates, there is little evidence that these proposals represent binding written contracts. For example, Westmar says that the second document, the September 2002 Proposal, was accepted by Mr. Duncan and constitutes a binding contract. That document was not signed, and so in order to conclude that the Band accepted it, I must turn to extrinsic evidence. A close reading of the emails exchanged by Mr. Duncan and Mr. Kullmann on October 18, 2002, around a month after the September 2002 Proposal had been prepared, shows that no clear acceptance took place. Mr. Kullmann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would like to proceed at this time, all we would need is for you (I assume that you have signing authority) to ask us to proceed on the basis of our proposal dated ____. E-mail or letter would work for me. If you like, I can forward a sample invoice and cover letter so that you know what would be coming on a monthly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Mr. Duncan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Sounds fine monthly invoice will be good for my reporting to the Province. I don't mind dealing directly with [the geotechnical contractor] we could save the taxes on the job which will be some savings for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Westmar argues that "sounds fine" amounts to an acceptance of the September 2002 Proposal. The words immediately following "sounds fine" concern invoices, and so in my view, it is just as likely that the words "sounds fine" relate to Mr. Kullmann's offer to prepare a sample invoice or cover letter. Nothing in this email constitutes clear and unambiguous acceptance of any proposal, and the September 2002 Proposal is not even mentioned. It is clear that Mr. Duncan wished Mr. Kullmann to carry out some work, but it is not at all clear that Mr. Duncan accepted the September 2002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June 2005 Proposal suffers from similar defects. That contract cannot stand on its own, since, like the September 2002 Proposal, it was never signed and nothing in the written contract itself indicates that it was ever accepted by the Band. According to Ms. Dick, the June 2005 Proposal was prepared for the purpose of providing a record to funding agencies. In May 2005, Westmar had already started the work that would later be described by the June 2005 Proposal, pursuant to an informal agreement reached with the Band. From this perspective, the June 2005 Proposal represents Westmar's understanding of an agreement it had already concluded with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this context, it is clear that the Confirmation Letter cannot stand on its own as a clear and unambiguous statement of the parties' intent such that the parole evidence rule can apply. That letter was drafted in a business context where formal written contracts were not used, where agreements were concluded informally and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and where the agreements changed substantially based on the facts on the ground. In order to determine whether the Confirmation Letter formed part of the parties' agreement, I would need to rely on extrinsic evidence of the circumstances surrounding the formation of that document, the discussion of the parties leading up to its formation, and their subsequent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summary, in order to determine whether the License Agreement formed part of the contract for the design of the Stand-alone Dock, I would need to make a number of factual findings regarding the circumstances surrounding the creation of the contract. As I will explain below, those circumstances are the same circumstances that the trial judge will inevitably have to investigate in resolving the Band's non-contractual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The facts underlying the non-contractual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addition to its claims for breach of contract, the Band sues Westmar for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fiduciary duty. These claims are unaffected by the Limitation Clause and will have to be resolved by the trial judge. The trial judge's decision will be informed by the facts underlying these non-contractual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Band's claim of negligent misrepresentation is based on a number of statements it says Westmar made, including statements regarding:</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Westmar's expertise and experience in marine engineering;</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feasibility of constructing the Stand-alone Dock in its current location;</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safety of the Stand-alone Dock's design;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that Westmar would do to ensure that the Stand-alone Dock met the Band's requirements and the needs of visiting cruise 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According to the Band, Mr. Kullmann and Westmar represented that it had experience in constructing cruise ship docking facilities. These misrepresentations were allegedly made by Mr. Kullmann throughout the course of the projects, including to Ms. Dick as she was taking over the Stand-alone Dock project and as the Band was deciding whether or not to proceed with the preliminary engineering work on the Stand-alone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the time the Stand-alone Project was first being considered, Mr. Kullmann represented that its location would be suitable for cruise ships: the Band says this too was a misrepresentation. Mr. Kullmann's assurance that the location was suitable necessarily informed the contract that followed. These assurances that the location was suitable continued through the course of the project, even as concerns were raised that the Stand-alone Dock might not be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Band says that in the September 2004 Proposal, Westmar represented that it would assess the cruise ships' gangway requirements. Westmar's representations regarding cruise ship requirements informed the Band's decisions regarding the conceptual and preliminary design work. These representations turned out to be false: a single-gangway design proved inadequate for many cruise ships, and the Stand-alone Dock's design proved inappropriate for its location and intended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These misrepresentations occurred during the same discussions, meetings, and communications that I would need to consider in order to interpret the parties' contract. In resolving the claims of misrepresentation at trial, the parties will call the same witnesses to testify regarding the same facts that underlie the contractual claims. In other words, the issues of misrepresentation and contractual interpretation are intertwined and share the same factual underpinnings.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same is true of the Band's claim of breach of fiduciary duty. The Band says that Westmar owed it a fiduciary duty because Westmar held itself out as an expert, picked the requirements of the dock's design, gathered information to which the Band was not made privy, made decisions regarding design parameters and requirements based on information that the Band could not understand or appreciate, and used its role as professional engineers to persuade the Band that Westmar had superior knowledge and judgment in this field. The Band, being relatively new to marine development, was forced to rely heavily on Westmar's advice. The Band was therefore highly vulnerable to Westmar, in that the Band had no ability to evaluate Westmar's design decisions for the Stand-alone Dock before it had completed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Without commenting on the merits of this claim, the facts that underlie it are the same as those that underlie the Band's contractual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summary, the Band's contractual and non-contractual claims are based on the same underlying facts. Resolving these claims will necessarily involve the evaluation of the same evidence, the testimony of the same witnesses, and the same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This matter is not suitable for summary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my view, this case is not suitable for summary disposition. Resolving the Limitation Clause Issue in isolation would constitute litigation in slices, would fail to improve trial efficiency, and would present the risk of embarrassing the trial judge with inconsistent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Courts have repeatedly warned against the danger of resolving some issues in a dispute in isolation from the dispute itself. In </w:t>
      </w:r>
      <w:r>
        <w:rPr>
          <w:rFonts w:ascii="arial" w:eastAsia="arial" w:hAnsi="arial" w:cs="arial"/>
          <w:i/>
          <w:color w:val="000000"/>
          <w:sz w:val="20"/>
          <w:lang w:val="en-US" w:eastAsia="en-US" w:bidi="ar-SA"/>
        </w:rPr>
        <w:t>North Vancouver (District) v. Fawcett</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(1998), 162 D.L.R. (4th) 402</w:t>
        </w:r>
      </w:hyperlink>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110 B.C.A.C 137</w:t>
        </w:r>
      </w:hyperlink>
      <w:r>
        <w:rPr>
          <w:rFonts w:ascii="arial" w:eastAsia="arial" w:hAnsi="arial" w:cs="arial"/>
          <w:color w:val="000000"/>
          <w:sz w:val="20"/>
          <w:lang w:val="en-US" w:eastAsia="en-US" w:bidi="ar-SA"/>
        </w:rPr>
        <w:t>, Mr. Justice Lambert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With respect, it seems to me that if the answer to an issue sought to be tried under Rule 18A will only resolve the whole proceeding if one answer is given, but not if a different answer is given, then the applicant should be required to demonstrate, and the judge should be expected to decide, that the administration of justice, as it affects not just the parties to the motion, but also the orderly use of court time, will be enhanced by dealing with the issue as a separate issue. It cannot be enough simply that the parties have agreed to a summary trial of one or more issues, but not all of the issues, raised in the proceeding, without any consideration for the effective use of court time, or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Justice Lambert's concern carries particular weight in this case, where even if I were able to resolve the issue of the Limitation Clause, the proceeding would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Court of Appeal has also indicated that a summary trial is inappropriate where narrow issues are taken out of complex proceedings, especially where the issues to be determined in the summary trial and the issues that will remain after summary determination are clearly interlocked: </w:t>
      </w:r>
      <w:r>
        <w:rPr>
          <w:rFonts w:ascii="arial" w:eastAsia="arial" w:hAnsi="arial" w:cs="arial"/>
          <w:i/>
          <w:color w:val="000000"/>
          <w:sz w:val="20"/>
          <w:lang w:val="en-US" w:eastAsia="en-US" w:bidi="ar-SA"/>
        </w:rPr>
        <w:t>Neylan v. Tindale</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[1987] B.C.J. No. 1068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Even if I find that the Limitation Clause is enforceable, the Band has a variety of non-contractual claims that will continue to trial. A trial on the issues of negligent misrepresentation or breach of fiduciary duty will necessarily canvass in greater detail all of the same circumstances that were canvassed in this application. A finding that the Limitation Clause does not limit the Band's liability in contract would not resolve the litigation either, since Westmar has asserted a number of other defences to the Band's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So no matter which way I ruled on the Limitation Clause Issue, the same witnesses will need to be called to testify on the same factual matters. This means that a summary disposition would not save time or reduce the complexity of the trial. It provides no advantage from this perspective, since any facts I find would have to be revisited at trial in light of the Band's other claims and Westmar's various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Moreover, a summary disposition in these circumstances carries the risk of embarrassing or trammeling the findings of the trial judge. When granting relief by summary trial, courts must avoid embarrassing the conduct of the trial court by placing the trial judge in a position where the findings of fact made after a trial conflict with the conclusions reached in the earlier summary trial: </w:t>
      </w:r>
      <w:r>
        <w:rPr>
          <w:rFonts w:ascii="arial" w:eastAsia="arial" w:hAnsi="arial" w:cs="arial"/>
          <w:i/>
          <w:color w:val="000000"/>
          <w:sz w:val="20"/>
          <w:lang w:val="en-US" w:eastAsia="en-US" w:bidi="ar-SA"/>
        </w:rPr>
        <w:t>Georgia Homes Ltd. v. McNestry</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[1993] B.C.J. No. 1896</w:t>
        </w:r>
      </w:hyperlink>
      <w:r>
        <w:rPr>
          <w:rFonts w:ascii="arial" w:eastAsia="arial" w:hAnsi="arial" w:cs="arial"/>
          <w:color w:val="000000"/>
          <w:sz w:val="20"/>
          <w:lang w:val="en-US" w:eastAsia="en-US" w:bidi="ar-SA"/>
        </w:rPr>
        <w:t xml:space="preserve"> (S.C.), aff'd </w:t>
      </w:r>
      <w:hyperlink r:id="rId405" w:history="1">
        <w:r>
          <w:rPr>
            <w:rFonts w:ascii="arial" w:eastAsia="arial" w:hAnsi="arial" w:cs="arial"/>
            <w:i/>
            <w:color w:val="0077CC"/>
            <w:sz w:val="20"/>
            <w:u w:val="single"/>
            <w:shd w:val="clear" w:color="auto" w:fill="FFFFFF"/>
            <w:lang w:val="en-US" w:eastAsia="en-US" w:bidi="ar-SA"/>
          </w:rPr>
          <w:t>[1994] B.C.J. No. 2174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Band's claims of negligent misrepresentation and breach of fiduciary duty go directly to the circumstances surrounding the parties' agreements. Thus any findings of fact I make regarding those contracts will be intertwined with the findings that the trial judge will eventually be required to make. The trial judge, having the benefit of a fuller record, may well disagree with the findings I would have to make in this application if I were to rule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Counsel for Westmar downplayed the danger of such inconsistent findings. Counsel suggested that a decision on the effectiveness of the Limitation Clause might well avoid the necessity of trial, as one of the parties might be more inclined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the words of McEwan J. in </w:t>
      </w:r>
      <w:r>
        <w:rPr>
          <w:rFonts w:ascii="arial" w:eastAsia="arial" w:hAnsi="arial" w:cs="arial"/>
          <w:i/>
          <w:color w:val="000000"/>
          <w:sz w:val="20"/>
          <w:lang w:val="en-US" w:eastAsia="en-US" w:bidi="ar-SA"/>
        </w:rPr>
        <w:t>St. John's United Church v. Ecclesiastical Insurance Office PLC,</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2004 BCSC 170</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9 C.C.L.I. (4th) 120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plaintiffs submit that this is a case where, if the declaration it seeks is granted, the parties may be assisted in reaching an accommodation on other issues. The description Chief Justice McEachern used, however, was "if a </w:t>
      </w:r>
      <w:r>
        <w:rPr>
          <w:rFonts w:ascii="arial" w:eastAsia="arial" w:hAnsi="arial" w:cs="arial"/>
          <w:color w:val="000000"/>
          <w:sz w:val="20"/>
          <w:u w:val="single"/>
          <w:lang w:val="en-US" w:eastAsia="en-US" w:bidi="ar-SA"/>
        </w:rPr>
        <w:t>critical issue</w:t>
      </w:r>
      <w:r>
        <w:rPr>
          <w:rFonts w:ascii="arial" w:eastAsia="arial" w:hAnsi="arial" w:cs="arial"/>
          <w:color w:val="000000"/>
          <w:sz w:val="20"/>
          <w:lang w:val="en-US" w:eastAsia="en-US" w:bidi="ar-SA"/>
        </w:rPr>
        <w:t xml:space="preserve"> ... can be decided ...". I do not take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 xml:space="preserve"> (supra), as authority for the proposition that issues may be snapped off piecemeal for tactical reasons. Rule 18A is a summary </w:t>
      </w:r>
      <w:r>
        <w:rPr>
          <w:rFonts w:ascii="arial" w:eastAsia="arial" w:hAnsi="arial" w:cs="arial"/>
          <w:color w:val="000000"/>
          <w:sz w:val="20"/>
          <w:u w:val="single"/>
          <w:lang w:val="en-US" w:eastAsia="en-US" w:bidi="ar-SA"/>
        </w:rPr>
        <w:t>trial</w:t>
      </w:r>
      <w:r>
        <w:rPr>
          <w:rFonts w:ascii="arial" w:eastAsia="arial" w:hAnsi="arial" w:cs="arial"/>
          <w:color w:val="000000"/>
          <w:sz w:val="20"/>
          <w:lang w:val="en-US" w:eastAsia="en-US" w:bidi="ar-SA"/>
        </w:rPr>
        <w:t xml:space="preserve"> mechanism, not a tool for coercing settlement. An issue separated and tried under Rule 18A must be determinable in the sense that the whole case for and against it can fairly be addressed on a summary trial basis without embarrassment to the rest of the case as the facts develop. In that sense the issue must be "critical." What the plaintiffs seek here is a declaration as to a state of law that may be highly dependent on the facts, prior to the finding of those facts. Our Court of Appeal has been critical of proceeding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 am reluctant to "snap off" the Limitation Clause issue from the rest of trial, and take little comfort from the uncertain possibility that doing so </w:t>
      </w:r>
      <w:r>
        <w:rPr>
          <w:rFonts w:ascii="arial" w:eastAsia="arial" w:hAnsi="arial" w:cs="arial"/>
          <w:color w:val="000000"/>
          <w:sz w:val="20"/>
          <w:u w:val="single"/>
          <w:lang w:val="en-US" w:eastAsia="en-US" w:bidi="ar-SA"/>
        </w:rPr>
        <w:t>might</w:t>
      </w:r>
      <w:r>
        <w:rPr>
          <w:rFonts w:ascii="arial" w:eastAsia="arial" w:hAnsi="arial" w:cs="arial"/>
          <w:color w:val="000000"/>
          <w:sz w:val="20"/>
          <w:lang w:val="en-US" w:eastAsia="en-US" w:bidi="ar-SA"/>
        </w:rPr>
        <w:t xml:space="preserve"> assist the parties in reaching a settlement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support of the suitability of determining this matter by summary trial, Westmar cited </w:t>
      </w:r>
      <w:r>
        <w:rPr>
          <w:rFonts w:ascii="arial" w:eastAsia="arial" w:hAnsi="arial" w:cs="arial"/>
          <w:i/>
          <w:color w:val="000000"/>
          <w:sz w:val="20"/>
          <w:lang w:val="en-US" w:eastAsia="en-US" w:bidi="ar-SA"/>
        </w:rPr>
        <w:t>Marine Masters Holdings Ltd. v. Greater Victoria Harbour Authority,</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2009 BCSC 953</w:t>
        </w:r>
      </w:hyperlink>
      <w:r>
        <w:rPr>
          <w:rFonts w:ascii="arial" w:eastAsia="arial" w:hAnsi="arial" w:cs="arial"/>
          <w:color w:val="000000"/>
          <w:sz w:val="20"/>
          <w:lang w:val="en-US" w:eastAsia="en-US" w:bidi="ar-SA"/>
        </w:rPr>
        <w:t xml:space="preserve"> at para. 4 [</w:t>
      </w:r>
      <w:r>
        <w:rPr>
          <w:rFonts w:ascii="arial" w:eastAsia="arial" w:hAnsi="arial" w:cs="arial"/>
          <w:i/>
          <w:color w:val="000000"/>
          <w:sz w:val="20"/>
          <w:lang w:val="en-US" w:eastAsia="en-US" w:bidi="ar-SA"/>
        </w:rPr>
        <w:t>Marine Masters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In complex litigation, the court can, in my view, expect counsel to consider the relative importance and cost benefit of determining discrete issues. This is because the lawyers generally have a different perspective and appreciation of the parties' needs and wishes than the court. They know, for example, whether the final determination of a discrete issue will alter the course of the proceedings including enhancing the possibility of settlement. Only the lawyer knows whether his or her client will accept the outcome of the particular issue without regard to the resolution of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But in </w:t>
      </w:r>
      <w:r>
        <w:rPr>
          <w:rFonts w:ascii="arial" w:eastAsia="arial" w:hAnsi="arial" w:cs="arial"/>
          <w:i/>
          <w:color w:val="000000"/>
          <w:sz w:val="20"/>
          <w:lang w:val="en-US" w:eastAsia="en-US" w:bidi="ar-SA"/>
        </w:rPr>
        <w:t>Marine Masters,</w:t>
      </w:r>
      <w:r>
        <w:rPr>
          <w:rFonts w:ascii="arial" w:eastAsia="arial" w:hAnsi="arial" w:cs="arial"/>
          <w:color w:val="000000"/>
          <w:sz w:val="20"/>
          <w:lang w:val="en-US" w:eastAsia="en-US" w:bidi="ar-SA"/>
        </w:rPr>
        <w:t xml:space="preserve"> all of the parties agreed that a summary disposition of the discrete issue was advisable. When parties agree that a summary trial is appropriate, courts ought to treat that decision with respect. As Macaulay J. put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court rarely knows such details yet they are factors driving the cost considerations that all litigants must have regard to. The litigation process cannot be truly proportionate without taking such factors into account. When experienced counsel agree, with full awareness of the implications, that judicial determination of an issue is desirable, the court should try, in my opinion, to develop an approach that permits access to a final judicial decision on that issue in a cost effective and just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By contrast, in this case experienced counsel do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agree that judicial determination of the Limitation Clause Issue is desirable or even possible. Counsel for Westmar says that a summary trial will save time and reduce complexity at trial, with implications for the possibility of settlement. Counsel for the Band disagrees.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Westmar also notes that in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2011 BCSC 1574</w:t>
        </w:r>
      </w:hyperlink>
      <w:r>
        <w:rPr>
          <w:rFonts w:ascii="arial" w:eastAsia="arial" w:hAnsi="arial" w:cs="arial"/>
          <w:color w:val="000000"/>
          <w:sz w:val="20"/>
          <w:lang w:val="en-US" w:eastAsia="en-US" w:bidi="ar-SA"/>
        </w:rPr>
        <w:t>, the enforceability of a limitation clause was considered appropriate for summary trial. However, in that case the parties agreed that the contract containing the limitation clause governed their relationship. Therefore, the contract could be interpreted by relying primarily on the words of a written document. By contrast, in this case the parties do not agree on the form of their contract and do not agree that the written documents represent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For these reasons, I conclude that this matter is not suitable for summary disposition. I therefore dismiss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Carlton v. Invermere (District), [2007] B.C.J. No. 2413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Golden,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30 and 31,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9,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3018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Golden</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2413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39 M.P.L.R. (4th) 245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CarswellBC 2687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1634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162 A.C.W.S. (3d) 830</w:t>
      </w:r>
    </w:p>
    <w:p>
      <w:pPr>
        <w:spacing w:before="120" w:line="260" w:lineRule="atLeast"/>
        <w:rPr>
          <w:lang w:val="en-US" w:eastAsia="en-US" w:bidi="ar-SA"/>
        </w:rPr>
      </w:pPr>
      <w:r>
        <w:rPr>
          <w:rFonts w:ascii="arial" w:eastAsia="arial" w:hAnsi="arial" w:cs="arial"/>
          <w:color w:val="000000"/>
          <w:sz w:val="20"/>
          <w:lang w:val="en-US" w:eastAsia="en-US" w:bidi="ar-SA"/>
        </w:rPr>
        <w:t>Between Nigel Patrick Carlton, Plaintiff, and District of Invermere,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6"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7" w:name="Keywords_17"/>
      <w:bookmarkEnd w:id="127"/>
      <w:r>
        <w:rPr>
          <w:rFonts w:ascii="arial" w:eastAsia="arial" w:hAnsi="arial" w:cs="arial"/>
          <w:b/>
          <w:color w:val="000000"/>
          <w:sz w:val="20"/>
          <w:lang w:val="en-US" w:eastAsia="en-US" w:bidi="ar-SA"/>
        </w:rPr>
        <w:t>Municipal law — Actions by or against municipalities — Types of actions against municipalities — Highway repair — Action by pedestrian injured by tripping on berm against municipality dismissed — Berm clearly not meant for parking or pedestrian use — Pedestrian alighted from vehicle parked there — Berm clearly visible — Municipality had no duty to mark berm or create gravel sidewalk — Pedestrian solely responsible for fall and injuries.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Motor vehicles — Pedestrians — Action by pedestrian injured by tripping on berm against municipality dismissed — Berm clearly not meant for parking or pedestrian use — Pedestrian alighted from vehicle parked there — Berm clearly visible — Municipality had no duty to mark berm or create gravel sidewalk — Pedestrian solely responsible for fall and injuries.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Occupiers' liability — Duty of occupier — To warn of danger — Action by pedestrian injured by tripping on berm against municipality dismissed — Berm clearly not meant for parking or pedestrian use — Pedestrian alighted from vehicle parked there — Berm clearly visible — Municipality had no duty to mark berm or create gravel sidewalk — Pedestrian solely responsible for fall and injuries.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Torts by the Crown — Municipalities — Action by pedestrian injured by tripping on berm against municipality dismissed — Berm clearly not meant for parking or pedestrian use — Pedestrian alighted from vehicle parked there — Berm clearly visible — Municipality had no duty to mark berm or create gravel sidewalk — Pedestrian solely responsible for fall and injuries.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8" w:name="Case Summary_17"/>
            <w:bookmarkEnd w:id="12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Carlton against District of Invermere,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of care -- Carlton slipped and fell over asphalt berm along edge of street in District on May 17, 2003 -- Carlton, resident of Calgary, was in District for meeting -- Was being driven by Dutton, his sister -- Had Dutton stop on roadside to permit him to cross street to obtain item from store on other side of street -- Dutton pulled car over, parking it with two wheels on berm and two wheels on road -- Carlton alighted from car, walked around vehicle and checked traffic before proceeding to jaywalk across street -- Carlton tripped over berm and suffered injuries -- Carlton admitted he had not looked down at road surface prior to crossing, as he was concentrating on oncoming traffic -- Admitted he was hurrying to store -- Carlton did not recall any bump when Dutton drove wheels onto berm -- Director of Municipal Works for District testified berm was constructed to channel storm runoff water to catch basin -- Knew of was no written policy for inspecting berms of this type -- No reports of problems with berm had been made prior to Carlton's fall -- Noted area where Dutton parked was not parking area or sidewalk -- Photographs of berm showed it was very uneven, containing stones and gravel of varying sizes -- Tire marks showed vehicles were often parked on berm -- HELD: Action dismissed -- Construction of berm without painting it bright colour or backfilling shoulder area with gravel to top of berm did not create unreasonable risk of harm -- Area of berm not intended for pedestrian or vehicular traffic -- Berm was obviously rough, uneven and not for use as parking area -- Any reasonable person paying attention would notice berm -- No obligation on District to create conditions equivalent to gravel sidewalk, as berm was not area where pedestrians were supposed to be -- District did not create dangerous situation -- District did not breach duty to keep road and gravel shoulder safe for use of pedestrians and motorists -- Carlton solely negligent for injuries he sustained by tripping over berm. </w:t>
            </w:r>
            <w:r>
              <w:rPr>
                <w:lang w:val="en-US" w:eastAsia="en-US" w:bidi="ar-SA"/>
              </w:rPr>
              <w:cr/>
            </w:r>
          </w:p>
          <w:p>
            <w:pPr>
              <w:rPr>
                <w:lang w:val="en-US" w:eastAsia="en-US" w:bidi="ar-SA"/>
              </w:rPr>
            </w:pPr>
          </w:p>
        </w:tc>
      </w:tr>
    </w:tbl>
    <w:p>
      <w:pPr>
        <w:jc w:val="both"/>
        <w:rPr>
          <w:lang w:val="en-US" w:eastAsia="en-US" w:bidi="ar-SA"/>
        </w:rPr>
      </w:pPr>
      <w:bookmarkStart w:id="129" w:name="Legislation Cited_14"/>
      <w:bookmarkEnd w:id="12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17"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lang w:val="en-US" w:eastAsia="en-US" w:bidi="ar-SA"/>
        </w:rPr>
        <w:cr/>
      </w:r>
    </w:p>
    <w:p>
      <w:pPr>
        <w:keepNext/>
        <w:spacing w:before="240" w:line="340" w:lineRule="atLeast"/>
        <w:rPr>
          <w:lang w:val="en-US" w:eastAsia="en-US" w:bidi="ar-SA"/>
        </w:rPr>
      </w:pPr>
      <w:bookmarkStart w:id="130" w:name="Counsel_18"/>
      <w:bookmarkEnd w:id="13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8" style="position:absolute;z-index:2517800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B. McKenzie.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D.N. Kawano.</w:t>
      </w:r>
      <w:r>
        <w:rPr>
          <w:lang w:val="en-US" w:eastAsia="en-US" w:bidi="ar-SA"/>
        </w:rPr>
        <w:cr/>
      </w:r>
    </w:p>
    <w:p>
      <w:pPr>
        <w:spacing w:after="240"/>
        <w:rPr>
          <w:lang w:val="en-US" w:eastAsia="en-US" w:bidi="ar-SA"/>
        </w:rPr>
      </w:pPr>
      <w:bookmarkStart w:id="131" w:name="Judgment_18"/>
      <w:bookmarkEnd w:id="131"/>
      <w:r>
        <w:pict>
          <v:line id="_x0000_s1119" style="position:absolute;z-index:2518302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2" w:name="T.J. MELNICK J."/>
            <w:bookmarkEnd w:id="132"/>
            <w:r>
              <w:rPr>
                <w:rFonts w:ascii="arial" w:eastAsia="arial" w:hAnsi="arial" w:cs="arial"/>
                <w:b/>
                <w:color w:val="000000"/>
                <w:sz w:val="30"/>
                <w:lang w:val="en-US" w:eastAsia="en-US" w:bidi="ar-SA"/>
              </w:rPr>
              <w:t>T.J. MELNICK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Nigel Patrick Carlton ("Mr. Carlton"), claims against the defendant, District of Invermere ("Invermere"),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the breach of a duty of care he claims Invermere owed to him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arising from his having tripped and fallen over an asphalt berm along the edge of one of Invermere's streets. The trial was with respect to liability only.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17, 2003, Mr. Carlton, a resident of Calgary, was attending a meeting of the homeowners of the residential complex in which he has a residence at or near Invermere. Returning from the meeting, he was a passenger in the front of a Dodge Caravan motor vehicle driven by his sister, Penny Dutton ("Ms. Dutton"). Mr. Carlton, who was apparently familiar with Invermere, asked his sister to park on the side of 7th Avenue so that he could cross the street to purchase an item from a shop located on the other side of the street. Seventh Avenue (the main street in Invermere) runs generally in a north/south direction.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Dutton pulled her vehicle to the right in an area on 7th Avenue to the south of 4th Street at which intersection there is a marked crosswalk and traffic lights. She pulled her vehicle off the travel portion of the road by crossing a marked white fog line. She then drove two of the four wheels of the vehicle over a low asphalt berm of a material similar in composition and colour to the asphalt paved road surface. The two wheels on the left-hand side of her vehicle apparently remained to the left of the berm.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Carlton alighted from the passenger side of the van, quickly walked to the back of the vehicle and, after checking for oncoming traffic, began to walk onto 7th Avenue, intending to cross the street at a point other than a marked intersection (in other words, jaywalk). Unfortunately, he tripped over the low berm, which, at that point, protruded from the gravel located on its right-hand side by approximately two to four inches. Prior to commencing the act of crossing the street, Mr. Carlton had not looked down at the road surface, concentrating instead on the oncoming traffic. He notes that he was in a hurry to make his purchase, return home, and install the item.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consequence of the fall, Mr. Carlton suffered certain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Brian Nickurak ("Mr. Nickurak"), the Director of Municipal Works for Invermere, gave evidence. He did not work for Invermere at the time of the accident, having joined them in January 2004. However, Mr. Nickurak says that Invermere has no written policy or procedure for inspecting this type of berm. He also notes that the area where Ms. Dutton chose to park her vehicle (whether at the specific direction of Mr. Carlton or as a consequence of her own choice was not certain from the evidence) was designated as neither a sidewalk nor a parking area by Invermere. The berm, he says, was constructed to channel storm runoff water to a catch basin to the south.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Nickurak also says that Invermere had no specific policy directed to the inspection and maintenance of this particular type of area on the side of a road but that, ordinarily, municipal employees would take note of it when driving by and checking for any hazards that might be present. Apparently, no reports of any such hazards had been received. He agrees that while at one point there had been a sign further north on 7th Avenue toward the end of the berm indicating that no parking was allowed to the north of that sign, the sign was apparently no longer present.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Carlton gave evidence that he does not remember feeling any "bump" or reaction when the two tires of his sister's vehicle drove over the berm. He also, apparently, did not see that the berm was exposed along much of its length on the shoulder side as well as the street side. I add that, to the right of that shoulder area of mixed gravel and natural sandy soil there is a grass-covered bank that rises steeply four to six feet at the top of which is a gravel path having an appearance of being used by pedestrians.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shoulder area to the right of the berm is a long lens-shaped area varying from one-half to three-quarter metre up to about 1.5 metres in width. Photographs of the area were presented in evidence by both sides, which demonstrated an area that was, at most, barely wide enough for a passenger vehicle to park to the right of the berm. The soil in the area bears evidence of tire marks indicating that any number of vehicles had parked in that area from time to time. Some photographs show as many as four vehicles parked in the area where Mr. Carlton said he had tripped. The photographs also demonstrate that the surface of the ground to the right of the berm is very uneven, containing, in places, stones and gravel of varying sizes.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 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thrust of Mr. Carlton's complaints are that Invermere was negligent, or created a hazard, by installing this approximately four inch high berm of asphalt along the side of 7th Avenue without either ensuring that the side away from the street was filled level with gravel up to the top of the berm, or that it was painted a bright colour to distinguish it from the colour of the road, or both. Inherent in his argument is the suggestion that Invermere created a situation of danger where persons commonly park their vehicles, which is an activity that was not prohibited by Invermere.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w:t>
      </w:r>
      <w:hyperlink r:id="rId76" w:history="1">
        <w:r>
          <w:rPr>
            <w:rFonts w:ascii="arial" w:eastAsia="arial" w:hAnsi="arial" w:cs="arial"/>
            <w:i/>
            <w:color w:val="0077CC"/>
            <w:sz w:val="20"/>
            <w:u w:val="single"/>
            <w:shd w:val="clear" w:color="auto" w:fill="FFFFFF"/>
            <w:lang w:val="en-US" w:eastAsia="en-US" w:bidi="ar-SA"/>
          </w:rPr>
          <w:t>168 D.L.R. (4th) 513</w:t>
        </w:r>
      </w:hyperlink>
      <w:r>
        <w:rPr>
          <w:rFonts w:ascii="arial" w:eastAsia="arial" w:hAnsi="arial" w:cs="arial"/>
          <w:color w:val="000000"/>
          <w:sz w:val="20"/>
          <w:lang w:val="en-US" w:eastAsia="en-US" w:bidi="ar-SA"/>
        </w:rPr>
        <w:t>, negligent conduct was defined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Did the construction of the berm by Invermere without either painting it a bright colour to delineate it more fully from the colour of the asphalt road surface or in not backfilling the shoulder area with gravel to the top of the berm, create an objectively </w:t>
      </w:r>
      <w:r>
        <w:rPr>
          <w:rFonts w:ascii="arial" w:eastAsia="arial" w:hAnsi="arial" w:cs="arial"/>
          <w:i/>
          <w:color w:val="000000"/>
          <w:sz w:val="20"/>
          <w:lang w:val="en-US" w:eastAsia="en-US" w:bidi="ar-SA"/>
        </w:rPr>
        <w:t>unreasonable</w:t>
      </w:r>
      <w:r>
        <w:rPr>
          <w:rFonts w:ascii="arial" w:eastAsia="arial" w:hAnsi="arial" w:cs="arial"/>
          <w:color w:val="000000"/>
          <w:sz w:val="20"/>
          <w:lang w:val="en-US" w:eastAsia="en-US" w:bidi="ar-SA"/>
        </w:rPr>
        <w:t xml:space="preserve"> risk of harm? In the circumstances of this case, I think not. Invermere never intended for pedestrian or vehicular traffic to use the area. The long narrow lens-shaped area of relatively flat but uneven ground to the right-hand side of the berm before the grassy bank was never intended to be either a sidewalk for pedestrian use (a gravel path is available at the top of the bank) or for parking by vehicles. Persons obviously use it for parking from time to time as, on the day in question, did Ms. Dutton. It is an area, however, that is patently obvious to me to be rough, uneven, and not to be used as a parking area. It strikes me that anyone with his eyes open could see that as he approached the area in a vehicle. It also seems highly unlikely to me that anyone driving the wheels of a vehicle over that berm would not feel a bump or movement of the vehicle. In my view, any reasonable person paying a modicum of attention to what was going on around him would notice the berm.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Given the nature of the location of the shoulder of the road, in my view there was no obligation whatsoever on Invermere to create conditions that would be the equivalent of a gravel sidewalk. It was clearly not an area where pedestrians were expected to be. It was also clearly not an area where vehicles were expected to park. The fact that there may have been a sign at the time to the north of the area where Ms. Dutton parked, indicating that one could not park to the north of that sign, does not mean that, as a corollary, permission was somehow given to park to the south of the sign, particularly where common sense should have demonstrated that it was not a proper parking area. That Ms. Dutton chose to park in that area was either because Mr. Carlton directed her to do so (in which case his complaint is with himself) or because Ms. Dutton chose to park there (in which case, arguably, his complaint is with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is not a case where Invermere created a clearly dangerous situation by installing a berm that was largely exposed on both sides. Persons such as Ms. Dutton and Mr. Carlton, who choose to park in a place like that, do so at their own risk. The municipality is not an insurer against any form of mishap that can occur within its boundaries. Persons must take a measure of responsibility for their own safety including, as Mr. Carlton did not, watching where they are walking when they are clearly in an area where there is uneven ground. I appreciate that Mr. Carlton tripped on the berm rather than on the ground but, in my view, the berm was there to be seen (and when driven over, to be felt) and should not have been a surprise to anyone in a vehicle that was parked there if that person paid a minimum amount of attention to his own safety and well-being.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Further, as will be clear from what I have said above, it is my conclusion that Invermere, although an occupier within the meaning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was not in breach of its duty to keep the road and gravel shoulder safe for the use of pedestrians or motorists. Undoubtedly, the creation of the berm created the potential for someone to trip over it, just as the construction of any curb and sidewalk along the side of a street creates the potential for someone to trip over it. The circumstances of this case are not at all like those in </w:t>
      </w:r>
      <w:r>
        <w:rPr>
          <w:rFonts w:ascii="arial" w:eastAsia="arial" w:hAnsi="arial" w:cs="arial"/>
          <w:b/>
          <w:i/>
          <w:color w:val="000000"/>
          <w:sz w:val="20"/>
          <w:lang w:val="en-US" w:eastAsia="en-US" w:bidi="ar-SA"/>
        </w:rPr>
        <w:t>Henhawk v. Brantford (City)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[2005] O.J. No. 5140</w:t>
        </w:r>
      </w:hyperlink>
      <w:r>
        <w:rPr>
          <w:rFonts w:ascii="arial" w:eastAsia="arial" w:hAnsi="arial" w:cs="arial"/>
          <w:color w:val="000000"/>
          <w:sz w:val="20"/>
          <w:lang w:val="en-US" w:eastAsia="en-US" w:bidi="ar-SA"/>
        </w:rPr>
        <w:t xml:space="preserve"> (Ont. S.C.J.), where the curbs in question were located in a municipal three level parking garage. The case at bar involves an area along the side of a municipal street to which neither pedestrians nor vehicles were by any reasonable inference invited by Invermere.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III.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Mr. Carlton is solely negligent for the injuries he sustained as a consequence of tripping over the berm along the side of 7th Avenue in Invermere. Further, Invermere was not in breach of any duty to him as an occupier. Mr. Carlton's claim is dismissed. Invermere is entitled to its costs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T.J. MELNICK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Haider v. Canada, [2007] B.C.J. No. 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S055012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1067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Hilton Haider, Lillian Haider, Blake MacLeod, Kerry MacLeod, Noah MacLeod by his guardian ad litem Kerry MacLeod, Tim Chad, Kathleen Chad, Madison Chad by her guardian ad litem Kathleen Chad, Mary Chad by her guardian ad litem Kathleen Chad, Plaintiffs, and Her Majesty The Queen in Right of Canada, British Columbia Building Corporation, Lennox Industries (Canada) Ltd. - Les Industries Lennox (Canada) Ltée., Lennox Industries"Inc., and Bryant Heating &amp; Cooling Co. Ltd., Defendants, and Coast Air Conditioning Ltd., Mountain Air Industries Ltd. and Toni Morris doing business as Easy Breeze Duct Cleaning,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3" w:name="Keywords_18"/>
      <w:bookmarkEnd w:id="133"/>
      <w:r>
        <w:rPr>
          <w:rFonts w:ascii="arial" w:eastAsia="arial" w:hAnsi="arial" w:cs="arial"/>
          <w:b/>
          <w:color w:val="000000"/>
          <w:sz w:val="20"/>
          <w:lang w:val="en-US" w:eastAsia="en-US" w:bidi="ar-SA"/>
        </w:rPr>
        <w:t xml:space="preserve">Civil procedure — Parties — Adding or substituting — After expiry of limitation period — The court declined to substituted the Carrier Corporation as a defendant as there was insufficient evidence linking the furnace leak found in 2003 to some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corporation — The defendant was prejudiced by not having any knowledge of the allegations against it until after the limitation period had expired.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Jurisdiction — British Columbia — The court declined to substituted the Carrier Corporation as a defendant as there was insufficient evidence linking the furnace leak found in 2003 to some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corporation — The defendant was prejudiced by not having any knowledge of the allegations against it until after the limitation period had expired.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Topics — Torts — The court declined to substituted the Carrier Corporation as a defendant as there was insufficient evidence linking the furnace leak found in 2003 to some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corporation — The defendant was prejudiced by not having any knowledge of the allegations against it until after the limitation period had expired.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4" w:name="Case Summary_18"/>
            <w:bookmarkEnd w:id="1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applied for an order substituting Carrier Corporation as a defendant with the necessary subsequent amendments and an order that the writ issued be renewed for a further three months from the date of the entry of the order and for costs -- In the underlying action the plaintiffs sought damages allegedly suffered as a result of chronic low-level carbon monoxide poisoning resulting from faulty residential heating systems -- HELD: The application was dismissed -- It would not be just and convenient to add the corporation as a defendant -- Remembering that the furnace in question had been installed somewhere in or around 1989 and the plaintiffs claimed they were subject to a leaking furnace somewhere between 2000 and 2003, there had to be some further evidence linking the leak found in 2003 to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intended defendant -- The intended defendant had no knowledge of the action or allegations against it until the application was brought, and such was after the limitation period had expired, which alone was extremely prejudicial to the intended defendant and would affect its ability to respond to the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5" w:name="Legislation Cited_15"/>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6" w:name="Counsel_19"/>
      <w:bookmarkEnd w:id="1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M.W. Buhler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Carrier Corporation, the Intended Defendant: C.G.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Lennox Industries (Canada) Ltd. - Les Industries Lennox (Canada) Ltée., Lennox Industries Inc. and Bryant Heating &amp; Cooling Co. Ltd.: S. Margolis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19"/>
      <w:bookmarkEnd w:id="137"/>
      <w:r>
        <w:pict>
          <v:line id="_x0000_s1124"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MASTER TAYLOR"/>
            <w:bookmarkEnd w:id="138"/>
            <w:r>
              <w:rPr>
                <w:rFonts w:ascii="arial" w:eastAsia="arial" w:hAnsi="arial" w:cs="arial"/>
                <w:b/>
                <w:color w:val="000000"/>
                <w:sz w:val="30"/>
                <w:lang w:val="en-US" w:eastAsia="en-US" w:bidi="ar-SA"/>
              </w:rPr>
              <w:t>MASTER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plaintiffs for an order that Carrier Corporation be substituted as a defendant in place of Bryant Heating &amp; Cooling Co. Ltd. with the subsequent necessary amendments to the form of the writ of summons and statement of claim, and for an order that the writ issued on September 9, 2005 be renewed for a further three months from the date of the entry of the order and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action is for damages suffered as a result of chronic low-level carbon monoxide poisoning. The plaintiffs allege that the poisoning resulted from faulty residential heating systems, including defective furnaces. The plaintiffs claim that it was always their intention to name the manufacturers of the furnaces as defendants and named Bryant Heating &amp; Cooling Co. Ltd. as the manufacturer of the furnace that was in the home of the plaintiffs, Hilton &amp; Lillian Haider.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the plaintiffs learning that Bryant Heating &amp; Cooling Co. Ltd. was not the appropriate defendant, this application was brought to add or substitute Carrier Corporation in the place of Bryant Heating &amp; Cooling Co.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Bryant Heating &amp; Cooling Co. Ltd. was represented by Mr. Margolis who at the outset of the hearing made an application to have the action dismissed as against his client. It was conceded by counsel for the plaintiffs that Bryant Heating &amp; Cooling Co. Ltd. was the wrong defendant and it was always their intention to discontinue against it. In fact it was early in September 2006 when the plaintiffs acknowledged that Bryant was improperly named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granted Mr. Margolis' application and awarded his clients half their costs at Scale A. The application of the plaintiffs therefore became one to add Carrier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currently representing the plaintiffs was not original counsel when the writ and statement of claim were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that regard, Mr. Edinger swore an affidavit on February 1, 2007 which outlined his firm's conduct of the plaintiffs' claims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Edinger deposed that the writ of summons and statement of claim were issued on September 9, 2005 and that his firm, Heenan Blaikie LLP, continued as solicitors of record for all of the plaintiffs until on or about May 19, 2006 when Messrs. Sugden, McFee &amp; Roos delivered a notice of change of solicitor indicating they had become solicitors of record for all of the plaintiffs except Hilton and Lillian Haider. The law firm of Farber and Folk were solicitors of record for Mr. &amp; Mrs. Haider in the place of the Heenan Blaikie LLP for a short period of time up to July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Edinger further deposed that the original writ of summons and statement of claim named Bryant Heating &amp; Cooling Co. Ltd. ("Bryant") and that it was his intention to name the manufacturer of the furnace which had been located in the residence of the Haider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Edinger went on to depose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it became time to prepare the writ of summons and statement of claim in this matter, I conducted an investigation to determine the name of the manufacturer of the Bryant furnace. My clients were unable to tell me the name of the manufacturer of the Bryant furnace.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conducted some corporate name searches.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conducted a number of searches on the Internet. I was unable to discover the identity of the manufacturer of the Bryant furnace. I did not locate any information which directed me to Carrier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investigation I drew the conclusion that Bryant Heating &amp; Cooling Co. Ltd. was in the business of providing heating and cooling devices under the name Bryant and was likely the manufacturer or seller of the Bryant furnace referred to in the R.C.M.P. report. I therefore named Bryant Heating &amp; Cooling Co. Ltd. as a defendant in the writ of summons and statement of claim. I believed I had named the correct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last paragraph of his affidavit, Mr. Edinger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date of service on Bryant Heating &amp; Cooling Co. Ltd. (November 18, 2005) until the date I ceased to be counsel for the plaintiffs, I was not advised by any party to this action that Bryant Heating &amp; Cooling Co. Ltd. was not the manufacturer of the Bryant furnace.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interesting to note from Mr. Edinger's affidavit that he does not specify the time when his firm was retained by the plaintiffs nor does he indicate the time when he was working on the drafting of the writ of summons and statement of claim. It should also be noted that he does depose in his affidavit it was impossible to inspect the furnace as it had been destroyed sometime in November 2003 shortly after it was removed from the Haider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Messrs. Sugden, McFee &amp; Roos filed a notice of change of solicitor for Mr. &amp; Mrs. Haider on July 31, 2006. Sometime later they were advised by counsel for the defendants Lennox Industries Inc. that Bryant Heating &amp; Cooling Co. Ltd. was incorrectly named as a defendant and that the defendant should be Carrier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notice of motion in this matter is dated November 2nd, 2006. The intended defendants have conceded that there is no prejudice from delay beyond that date as it was their request for some time to obtain instructions and do some preparation before the hearing on February 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part of the factual matrix it is important to know that the male plaintiffs in this action were at the relevant times, members of the Royal Canadian Mounted Police. The other plaintiffs are wives and children of those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allege that in or about the years 2000 through 2003 they were exposed to carbon monoxide which leaked from the heating systems in their houses and, in particular from the furnaces installed in those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particular application concerns Mr. &amp; Mrs. Haider and the manufacturer of the furnace that was installed in the house in which they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following is excerpted from an internal R.C.M.P. memorandum dated May 26,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September 2003, the annual furnace cleaning at the married quarter housing units in Whistler was commenced. At the first residence, it was discovered that the furnace would not start. Further examination of the unit's heat exchanger found the furnace [to] [sic] be defective and leaking. As a result, the unit was red-tagged and shut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 testing was ordered on all the Whistler furnaces. As a result of this, three other furnaces (all Lennox Pulse furnaces) were found to be defective and leaking. Eventually all the affected furnaces were replaced. During the course of these furnace inspections, it was learned that in September of 1997, a consumer update notice was issued indicating Lennox Pulse furnaces model numbers G14 and GSR14 have a manufacturer's defect in the heat exchangers installed in residences. The consumer update notice indicated that Lennox Industries had set up a free program to inspect their furnaces installed from 1982 to 1989 to check for carbon monoxide leaks. This is the time frame in which the affected Whistler furnaces were installed. For whatever reason, the consumer notice was not caught and the Whistler furnaces were never inspected for the potential leaks.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married quarters at Whistler were managed and maintained by R.C.M.P. property management at the time the safety notice was issued. B.C.B.C. was hired shortly thereafter and took over the maintenance of the Whistler homes in November of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defective furnaces, some health issues have surfaced with members and their families that could possibly be associated to carbon monoxide poisoning from the faulty furnaces. Medical testing for the affected members and their families is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reading further into the lengthy memorandum regarding the furnaces in the Whistler homes, it is clear that the Lennox furnaces were installed in the residences occupied by the plaintiffs Blake McLeod and his family and Tim Chad and his family. The furnace described as a Bryant furnace was installed in the residence occupied by Staff Sgt. Hilton Haider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memo of May 26, 2004 reads in considerably more detail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annual furnace servicing (which consists of a cleaning, filter change, start up and function test) in the MQ's in Whistler, it was noted by the contractor, Easy Breeze Duct Cleaning, that the furnace at 6463 Balsam Way would not start. B.C.B.C. instructed Mountain Air Industries (M.A.I.) to investigate further. Initial investigation indicated a faulty circuit board and a replacement unit was ordered. B.C.B.C. also authorized at that time, at the recommendation of M.A.I., that a leak test be performed on the unit's heat exchanger to test for further damage or cracking. The furnace was found to be defective and leaking, the unit was red tagged and shut down. This furnace unit was replaced September 24, 2003. R.C.M.P. Asset Management Unit was notified by B.C.B.C. and immediately authorized B.C.B.C. to have M.A.I. check all remaining R.C.M.P. houses on September 24,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previous paragraph refers to the residence occupied by the Haider plaintiffs as the one located at 6463 Balsam Way in Whistler. Very shortly after the furnace was removed from the Haider residence it was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behalf of the Haider plaintiffs, it is argued that since it was always the intention of these plaintiffs to maintain a claim against the manufacturer of the furnace installed in their residence and since the incorrect party was named as the manufacturer of the furnace, the court should add Carrier Corporation as a defendant in place of Bryant Heating &amp; Cooling Co. Ltd. The plaintiffs rely upon s. 4(1)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and Rule 15(5)(a)(iii) of the Rules of Court and submit that it is just and convenient to add Carrier Corporation as a defendant. In response, counsel for the intended defendant, Carrier Corporation, argues there is prejudice to his client through delay and that due to other factors such as the destruction of the furnace and the lack of notice of this intended action until well after the limitation period had expired extreme prejudice is caused to his client. Accordingly, he argues, it is not just and convenient in all the circumstances to add Carrier Corporation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applicable statutes and Rules of Court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Limitation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If an action to which this or any other Act applies has been commenced, the lapse of time limited for bringing an action is no bar to</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by counterclaim, including the adding of a new party as a defendant by counterclaim,</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way of set off, or</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Rule 15(5)(a)(iii)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(5)(a) At any stage of a proceeding, the court on application by any person may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clear that the court has a discretion in applying Rule 15(5)(a)(iii) but that discretion is modified to the extent that the court must find it just and convenient to add that person to the action, otherwise the discretion is unfettered subject only to the general rule that all such discretion is to be exercised judicially, per Finch J.A. (as he then was) in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at page 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Teal Cedar</w:t>
      </w:r>
      <w:r>
        <w:rPr>
          <w:rFonts w:ascii="arial" w:eastAsia="arial" w:hAnsi="arial" w:cs="arial"/>
          <w:color w:val="000000"/>
          <w:sz w:val="20"/>
          <w:lang w:val="en-US" w:eastAsia="en-US" w:bidi="ar-SA"/>
        </w:rPr>
        <w:t xml:space="preserve"> was applied by Esson J.A. (as he then was) in </w:t>
      </w:r>
      <w:r>
        <w:rPr>
          <w:rFonts w:ascii="arial" w:eastAsia="arial" w:hAnsi="arial" w:cs="arial"/>
          <w:b/>
          <w:i/>
          <w:color w:val="000000"/>
          <w:sz w:val="20"/>
          <w:lang w:val="en-US" w:eastAsia="en-US" w:bidi="ar-SA"/>
        </w:rPr>
        <w:t>Letvad v. Finley</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when he said this at page 307: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understanding of the phrase "completely unfettered" in this context is that the discretion is not fettered by the relevant legislation, i.e., the Rule and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It is, however, fettered to the extent that, as was held in </w:t>
      </w:r>
      <w:r>
        <w:rPr>
          <w:rFonts w:ascii="arial" w:eastAsia="arial" w:hAnsi="arial" w:cs="arial"/>
          <w:b/>
          <w:i/>
          <w:color w:val="000000"/>
          <w:sz w:val="20"/>
          <w:lang w:val="en-US" w:eastAsia="en-US" w:bidi="ar-SA"/>
        </w:rPr>
        <w:t>Teal</w:t>
      </w:r>
      <w:r>
        <w:rPr>
          <w:rFonts w:ascii="arial" w:eastAsia="arial" w:hAnsi="arial" w:cs="arial"/>
          <w:color w:val="000000"/>
          <w:sz w:val="20"/>
          <w:lang w:val="en-US" w:eastAsia="en-US" w:bidi="ar-SA"/>
        </w:rPr>
        <w:t xml:space="preserve">, it must be exercised judicially, in accordance with the evidence adduced and such guidelines as may appear from the authorities. It was held in </w:t>
      </w:r>
      <w:r>
        <w:rPr>
          <w:rFonts w:ascii="arial" w:eastAsia="arial" w:hAnsi="arial" w:cs="arial"/>
          <w:b/>
          <w:i/>
          <w:color w:val="000000"/>
          <w:sz w:val="20"/>
          <w:lang w:val="en-US" w:eastAsia="en-US" w:bidi="ar-SA"/>
        </w:rPr>
        <w:t>Teal</w:t>
      </w:r>
      <w:r>
        <w:rPr>
          <w:rFonts w:ascii="arial" w:eastAsia="arial" w:hAnsi="arial" w:cs="arial"/>
          <w:color w:val="000000"/>
          <w:sz w:val="20"/>
          <w:lang w:val="en-US" w:eastAsia="en-US" w:bidi="ar-SA"/>
        </w:rPr>
        <w:t>that the guidelines to which the chambers judge is required to have regard include these:</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reasons for the delay and the explanation for it have already been mentioned such that previous counsel was not able to find the correct name of the manufacturer of the Bryant furnace in the time he allowed himself to research the matter. I do not view this explanation by Mr. Edinger as providing sufficient evidence about the delay so as to fulfill the burden on the plaintiff to justify the delay. There are serious gaps in the evidence offered in Mr. Edinger's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conceded by both counsel that the central issue here is the degree of prejudice caused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Buhler for the plaintiffs submits it is the proposed defendant who bears the burden of proving any actual prejudice it claims as a result of the delay in seeking to substitute it as a defendant and cites </w:t>
      </w:r>
      <w:r>
        <w:rPr>
          <w:rFonts w:ascii="arial" w:eastAsia="arial" w:hAnsi="arial" w:cs="arial"/>
          <w:b/>
          <w:i/>
          <w:color w:val="000000"/>
          <w:sz w:val="20"/>
          <w:lang w:val="en-US" w:eastAsia="en-US" w:bidi="ar-SA"/>
        </w:rPr>
        <w:t>Weinlich v. Campbell</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(2005) 32 C.P.C. (6th) 18</w:t>
        </w:r>
      </w:hyperlink>
      <w:r>
        <w:rPr>
          <w:rFonts w:ascii="arial" w:eastAsia="arial" w:hAnsi="arial" w:cs="arial"/>
          <w:color w:val="000000"/>
          <w:sz w:val="20"/>
          <w:lang w:val="en-US" w:eastAsia="en-US" w:bidi="ar-SA"/>
        </w:rPr>
        <w:t>, a decision of Martinson J. at paragraphs 56 &amp; 57 to assist: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actual prejudice, the onus is on the proposed added party to show actual prejudice: </w:t>
      </w:r>
      <w:r>
        <w:rPr>
          <w:rFonts w:ascii="arial" w:eastAsia="arial" w:hAnsi="arial" w:cs="arial"/>
          <w:b/>
          <w:i/>
          <w:color w:val="000000"/>
          <w:sz w:val="20"/>
          <w:lang w:val="en-US" w:eastAsia="en-US" w:bidi="ar-SA"/>
        </w:rPr>
        <w:t>West Fraser Mills Ltd. v. Chouinard</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(1993), 79 B.C.L.R. (2d) 321</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15 C.P.C. (3d) 1</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27 B.C.A.C. 311</w:t>
        </w:r>
      </w:hyperlink>
      <w:r>
        <w:rPr>
          <w:rFonts w:ascii="arial" w:eastAsia="arial" w:hAnsi="arial" w:cs="arial"/>
          <w:color w:val="000000"/>
          <w:sz w:val="20"/>
          <w:lang w:val="en-US" w:eastAsia="en-US" w:bidi="ar-SA"/>
        </w:rPr>
        <w:t xml:space="preserve"> (B.C.C.A.), citing </w:t>
      </w:r>
      <w:r>
        <w:rPr>
          <w:rFonts w:ascii="arial" w:eastAsia="arial" w:hAnsi="arial" w:cs="arial"/>
          <w:b/>
          <w:i/>
          <w:color w:val="000000"/>
          <w:sz w:val="20"/>
          <w:lang w:val="en-US" w:eastAsia="en-US" w:bidi="ar-SA"/>
        </w:rPr>
        <w:t>Daco Developments Ltd. v. Norman Lewis Co.,</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[1982] 2 W.W.R. 277</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33 B.C.L.R. 273</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Endale v. Peters</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[1997] B.C.J. No. 478</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47 C.C.L.I. (2d) 307</w:t>
        </w:r>
      </w:hyperlink>
      <w:r>
        <w:rPr>
          <w:rFonts w:ascii="arial" w:eastAsia="arial" w:hAnsi="arial" w:cs="arial"/>
          <w:color w:val="000000"/>
          <w:sz w:val="20"/>
          <w:lang w:val="en-US" w:eastAsia="en-US" w:bidi="ar-SA"/>
        </w:rPr>
        <w:t xml:space="preserve"> (B.C.S.C. [in chambers]) at para. 12; </w:t>
      </w:r>
      <w:r>
        <w:rPr>
          <w:rFonts w:ascii="arial" w:eastAsia="arial" w:hAnsi="arial" w:cs="arial"/>
          <w:b/>
          <w:i/>
          <w:color w:val="000000"/>
          <w:sz w:val="20"/>
          <w:lang w:val="en-US" w:eastAsia="en-US" w:bidi="ar-SA"/>
        </w:rPr>
        <w:t>Sun</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[2000] B.C.J. No. 1813</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because the facts or circumstances that make it either unjust or inconvenient to add a potential defendant are within the knowledge of that defendant, and he or she is in a position to advance them. See, for example, </w:t>
      </w:r>
      <w:r>
        <w:rPr>
          <w:rFonts w:ascii="arial" w:eastAsia="arial" w:hAnsi="arial" w:cs="arial"/>
          <w:b/>
          <w:i/>
          <w:color w:val="000000"/>
          <w:sz w:val="20"/>
          <w:lang w:val="en-US" w:eastAsia="en-US" w:bidi="ar-SA"/>
        </w:rPr>
        <w:t>Endale</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Martinson J. went on to discuss how prejudice must affect the intended defendant's ability to respond to the claim at para. 58 of </w:t>
      </w:r>
      <w:r>
        <w:rPr>
          <w:rFonts w:ascii="arial" w:eastAsia="arial" w:hAnsi="arial" w:cs="arial"/>
          <w:b/>
          <w:i/>
          <w:color w:val="000000"/>
          <w:sz w:val="20"/>
          <w:lang w:val="en-US" w:eastAsia="en-US" w:bidi="ar-SA"/>
        </w:rPr>
        <w:t>Weinlich</w:t>
      </w:r>
      <w:r>
        <w:rPr>
          <w:rFonts w:ascii="arial" w:eastAsia="arial" w:hAnsi="arial" w:cs="arial"/>
          <w:color w:val="000000"/>
          <w:sz w:val="20"/>
          <w:lang w:val="en-US" w:eastAsia="en-US" w:bidi="ar-SA"/>
        </w:rPr>
        <w:t xml:space="preserve"> where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Prejudice means prejudice associated with the delay itself. The fact that an opposing party is affected negatively by such an amendment does not mean that he or she is prejudiced. The prejudice must affect the party's ability to respond to the amended claim: </w:t>
      </w:r>
      <w:r>
        <w:rPr>
          <w:rFonts w:ascii="arial" w:eastAsia="arial" w:hAnsi="arial" w:cs="arial"/>
          <w:b/>
          <w:i/>
          <w:color w:val="000000"/>
          <w:sz w:val="20"/>
          <w:lang w:val="en-US" w:eastAsia="en-US" w:bidi="ar-SA"/>
        </w:rPr>
        <w:t>Bel Mar Developments Inc. v. North Shore Credit Union</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2001 BCSC 388</w:t>
        </w:r>
      </w:hyperlink>
      <w:r>
        <w:rPr>
          <w:rFonts w:ascii="arial" w:eastAsia="arial" w:hAnsi="arial" w:cs="arial"/>
          <w:color w:val="000000"/>
          <w:sz w:val="20"/>
          <w:lang w:val="en-US" w:eastAsia="en-US" w:bidi="ar-SA"/>
        </w:rPr>
        <w:t xml:space="preserve"> (B.C.S.C.)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case at bar, the intended defendant had no knowledge of the action or allegations against it until such time as this application was brought and after the limitation period had expired. This is to be distinguished from some of the cases relied on by the plaintiffs where the intended defendants had notice of a possible claim being made before the limitation period expired and were able to make enquiries about their possible liability on an ongoing basis. I find this fact alone to be extremely prejudicial to the intended defendant which would affect its ability to respond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Kelly argues that the plaintiffs must show there is some evidence, any evidence in the facts before the court which would suggest some fault on the part of the alleged manufacturer, the proposed defendant, Carrier Corporation. Mr. Kelly also submits the plaintiffs must prove that the furnace leaked and that the leak was due to fault on the part of Carrier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view, the fact the furnace was found to be defective and leaking in 2003 is not sufficient to meet the evidentiary burden on the plaintiff. Remembering that the furnace in question had been installed somewhere in or around 1989 and the plaintiffs claim they were subject to a leaking furnace somewhere between 2000 and 2003, I am of the view that there has to be some further evidence which would link the leak found in 2003 to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intended defendant. At best, in my view, the link is speculative only. There is no admission of liability from Carrier Corporation as there was from Lennox Industries.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would not, therefore, in my judgment, be just and convenient to add Carrier Corporation as a defendant in these proceedings. Accordingly, the plaintiff's application must be dismissed. The intended defendant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Henderson v. First Nations Band Council 629, [2007] B.C.J. No. 1412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2006 and April 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 2030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927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158 A.C.W.S. (3d) 578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Donna Henderson, Plaintiff, and First Nations Band Council 629 - Mamalilikulla - Qwe'Qwa'Sot'Em, Tom Sewid, Kathleen Louise Westergaard a.k.a. Louise Sewid, Tom Sewid and Kathleen Louise Westergaard, a.k.a. Louise Sewid c.o.b.a. Village Island Consulting and Native Cultural Adventures (a.k.a. Village Island Tours), and Village Island Consulting and Native Cultural Adventures (a.k.a. Village Island Tours),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19"/>
      <w:bookmarkEnd w:id="139"/>
      <w:r>
        <w:rPr>
          <w:rFonts w:ascii="arial" w:eastAsia="arial" w:hAnsi="arial" w:cs="arial"/>
          <w:b/>
          <w:color w:val="000000"/>
          <w:sz w:val="20"/>
          <w:lang w:val="en-US" w:eastAsia="en-US" w:bidi="ar-SA"/>
        </w:rPr>
        <w:t>Tort law — Occupiers' liability — Duty of occupier — To invitees — Application for summary dismissal of the plaintiff's action dismissed — The plaintiff slipped and fell during a guided cultural hike on lands beneficially owned by the applicant, a First Nations Band — The plaintiff claimed damages against the Band, the guide and the tour company — The Band contended that it did not owe a duty of care, or had met a suitably low standard of care — The court found that the matter was not appropriate for summary determination due to significant issues as between the Band and the other defendants — Occupiers' Liability Act, s. 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Judgments and orders — Summary judgments — To dismiss action — Application for summary dismissal of the plaintiff's action dismissed — The plaintiff slipped and fell during a guided cultural hike on lands beneficially owned by the applicant, a First Nations Band — The plaintiff claimed damages against the Band, the guide and the tour company — The Band contended that it did not owe a duty of care, or had met a suitably low standard of care — The court found that the matter was not appropriate for summary determination due to significant issues as between the Band and the other defendants — Occupiers' Liability Act, s. 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19"/>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First Nations Band Council 629 - Mamalilikulla-Qwe'Qwa'Sot'Em, for an order dismissing the action of the plaintiff, Henderson, as against it -- The plaintiff and her husband visited lands held by the Crown for the use and benefit of the Band -- During a guided cultural hike of an abandoned village, the plaintiff tripped over a partially concealed tree root and broke a bone in her lower leg -- During surgery to repair the fracture, she suffered a stroke that left her with a permanent impediment -- She claimed damages from the Band, the guide and the tour company -- The Band submitted that the plaintiff was deemed to have willingly accepted the risks inherent in walking through an abandoned Indian village -- In the alternative, the Band sought an order finding that it was not negligent, or had met the duty of care of an occupier -- The Band stated that the path was not created or maintained by the Band, that the hike was not authorized by, or conducted on behalf of, the Band, and that the plaintiff failed to take due care given the nature of the terrain -- The Band denied a duty of care on the basis of a lack of proximity -- It submitted that if a duty was owed, the standard of care was low based on the nature of the activity -- HELD: Application dismissed -- Competing issues between the defendants made it inappropriate to dismiss the claim as against the Band in the event that the remaining defendants blamed the Band at trial -- A summary application was not the ideal time to assess liability in the absence of the other defendants -- There were significant issues of duty of care, breach and causation to be determined between the Band and other defendants -- Given the overlapping issues, it was not prudent to make findings of fact that could give rise to contradictory findings at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16"/>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7"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20"/>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R.W.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First Nations Band Council 629-Mamalilikulla-Qwe'Qwa'Sot'Em: S.H. Ashcroft.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Tom Sewid, Kathleen Louise Westergaard a.k.a. Louise Sewid, Tom Sewid and Kathleen Louise Westergaard, a.k.a. Louise Sewid c.o.b.a. Village Island Consulting and Native Cultural Adventures (a.k.a. Village Island Tours), and Village Island Consulting and Native Cultural Adventures (a.k.a. Village Island Tours): J.D. Martin.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0"/>
      <w:bookmarkEnd w:id="143"/>
      <w:r>
        <w:pict>
          <v:line id="_x0000_s1129"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WARREN J."/>
            <w:bookmarkEnd w:id="144"/>
            <w:r>
              <w:rPr>
                <w:rFonts w:ascii="arial" w:eastAsia="arial" w:hAnsi="arial" w:cs="arial"/>
                <w:b/>
                <w:color w:val="000000"/>
                <w:sz w:val="30"/>
                <w:lang w:val="en-US" w:eastAsia="en-US" w:bidi="ar-SA"/>
              </w:rPr>
              <w:t>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First Nations Band Council 629 - Mamalilikulla-Qwe'Qwa'Sot'Em (the "Band") applies for an order that the plaintiff's action against it be dismissed or, alternatively, for an order finding that the Band was not negligent and/or met the duty of care of an occupier. The Band also asks for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August 6, 2001, the plaintiff and her husband were visiting Village Island which is part of the reserve lands held by Her Majesty the Queen for the use and benefit of the Band. The plaintiff deposes that her purpose for being on Village Island was to take a guided tour of an ancient village site. The guide, the defendant Tom Sewid, who is also a member of the Mamalilikulla-Qwe'Qwa'Sot'Em Band and the owner/operator of Village Island Tours, was busy and the plaintiff, her husband and four others set off on a trail to look at some fallen totem poles. On their return trip the plaintiff tripped over a partially concealed tree root on the path and suffered a "near compound fracture of my lower leg". She was airlifted from the site and during surgery to repair the fracture she suffered a stroke which has left her with a permanent impediment. She has sued the defendants seeking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affidavit of the plaintiff sets out the circumstances of the day. She and her husband had decided to take the "cultural tour" upon learning about the tour in the 1998 Wagner cruising guide. The Wagner cruising guide is not a publication of the defendant Band. The plaintiff had never visited Village Island before nor taken any native tours of the area. The plaintiff deposes that she was aware of a requirement to pay "a fee to the Band on an honour system for the privilege of visiting Village Island" and she also understood that there was to be a fee charged for the tour. At no point prior to visiting Village Island did she or her husband learn of any requirement for permission from the Band to visit the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Upon arrival on Village Island on the afternoon of August 6, 2001 the plaintiff and her husband were told that they could have a tour but that "Tom" was the only person doing the tours and he was busy. The plaintiff and her husband were told the next tour would be one-half hour to one hour at a cost of $10.00 per person. Because of the delay the plaintiff asked what they could do and she was told that they were free to look around and explore. Because the plaintiff and her husband had seen certain aboriginal ruins in the cruising guide and wanted to have their picture taken there, they and two other couples went: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very low grass towards a very well worn path along the front of the village. We were aware from what we had read that there were totem poles that were in a state of rot and decay. We went down a very well worn path towards where we understood these poles were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her walk back along the same path the plaintiff deposes that she took a few steps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later realized that I had caught my foot under a root. I fell forward and could feel my foot being trapped. When I hit the ground I knew that I had broken my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Following the accident the plaintiff's husband paid Tom Sewid $20.00 for the two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Jamie Drake is the bookkeeper and Band administrator of the defendant Band and her affidavit provided some history of Village Island and the circumstances concerning the relationship between the defendant Tom Sewid and the Band. Village Island is uninhabited and has been since the mid 1960s when most of the Band members moved to established communities on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late 1999 or early 2000 the defendant, Tom Sewid, asked for permission from the Band Council to "conduct cultural tours on Village Island". The Band Council agreed but set out certain conditions under which Mr. Sewid would be given permission. Mr. Sewid and the Band Council entered into a contract for the period May 1, 2000 to October 31, 2000 under which Mr. Sewid agreed to pay the Band a fee of $1,500.00 for the season. Because he only paid $1,000.00 of the fee to the Band for the 2000 year term, the Band refused him permission to conduct tours during the spring and summer of 2001. Ms. Drake deposes that she believed Mr. Sewid continued to conduct tours in 2001 but that was without the authorization of the Band Council. Later requests in the spring of 2002 met with a similar response from the Band Council: pay the outstanding fee and sign a new contract. Mr. Sewid failed to pay the outstanding debt and the fee and he did not sign a new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Drake deposes that the Band "permits visitation to Village Island for a fee of $7.50 per person. The fee is to be paid directly to the Band office." The Band Council has a printed notice regarding the terms and conditions of the visitation and a copy of the notice was attached to Ms. Drake's affidavit sworn the 12th of May, 2004. The notice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Village Island/Compton Island fees Mamalilikulla-Qwe'Qwa'Sot'Em Band offers visitation at Village Island and camping on Compton Island which are our two reserves for the following fees: Village Island - $7.50 per person per visit or a group of six or more $5.00 per person per visit. ... </w:t>
      </w:r>
      <w:r>
        <w:rPr>
          <w:rFonts w:ascii="arial" w:eastAsia="arial" w:hAnsi="arial" w:cs="arial"/>
          <w:b/>
          <w:i/>
          <w:color w:val="000000"/>
          <w:sz w:val="20"/>
          <w:lang w:val="en-US" w:eastAsia="en-US" w:bidi="ar-SA"/>
        </w:rPr>
        <w:t>To all visitors</w:t>
      </w:r>
      <w:r>
        <w:rPr>
          <w:rFonts w:ascii="arial" w:eastAsia="arial" w:hAnsi="arial" w:cs="arial"/>
          <w:color w:val="000000"/>
          <w:sz w:val="20"/>
          <w:lang w:val="en-US" w:eastAsia="en-US" w:bidi="ar-SA"/>
        </w:rPr>
        <w:t xml:space="preserve"> - Mamalilikulla-Qwe'Qwa'Sot'Em Band will not be held responsible for any injuries, damage or loss to an individual.</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All fees are to be paid directly to the Band office</w:t>
      </w:r>
      <w:r>
        <w:rPr>
          <w:rFonts w:ascii="arial" w:eastAsia="arial" w:hAnsi="arial" w:cs="arial"/>
          <w:color w:val="000000"/>
          <w:sz w:val="20"/>
          <w:lang w:val="en-US" w:eastAsia="en-US" w:bidi="ar-SA"/>
        </w:rPr>
        <w:t xml:space="preserve"> either by cheque, cash or money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our band members, Tom Sewid, does </w:t>
      </w:r>
      <w:r>
        <w:rPr>
          <w:rFonts w:ascii="arial" w:eastAsia="arial" w:hAnsi="arial" w:cs="arial"/>
          <w:i/>
          <w:color w:val="000000"/>
          <w:sz w:val="20"/>
          <w:lang w:val="en-US" w:eastAsia="en-US" w:bidi="ar-SA"/>
        </w:rPr>
        <w:t>private</w:t>
      </w:r>
      <w:r>
        <w:rPr>
          <w:rFonts w:ascii="arial" w:eastAsia="arial" w:hAnsi="arial" w:cs="arial"/>
          <w:color w:val="000000"/>
          <w:sz w:val="20"/>
          <w:lang w:val="en-US" w:eastAsia="en-US" w:bidi="ar-SA"/>
        </w:rPr>
        <w:t xml:space="preserve"> tours on Village Island. His company is called Village Island Tours and he charges his own fee for taking his tour, keeping in mind that </w:t>
      </w:r>
      <w:r>
        <w:rPr>
          <w:rFonts w:ascii="arial" w:eastAsia="arial" w:hAnsi="arial" w:cs="arial"/>
          <w:b/>
          <w:i/>
          <w:color w:val="000000"/>
          <w:sz w:val="20"/>
          <w:lang w:val="en-US" w:eastAsia="en-US" w:bidi="ar-SA"/>
        </w:rPr>
        <w:t>there is no obligation to do so</w:t>
      </w:r>
      <w:r>
        <w:rPr>
          <w:rFonts w:ascii="arial" w:eastAsia="arial" w:hAnsi="arial" w:cs="arial"/>
          <w:color w:val="000000"/>
          <w:sz w:val="20"/>
          <w:lang w:val="en-US" w:eastAsia="en-US" w:bidi="ar-SA"/>
        </w:rPr>
        <w:t>. If you decide to take the tour you would pay him directly but if you decide not to, fees are to be forwarded to the Band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telephone number available for persons with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 subsequent affidavit sworn September 22, 2004 Ms. Drake gave further background information to the Mamalilikulla Indian Reserve and particularly Village Island. She deposed that Village Island "is quite isolated and constitutes rural land which is vacant." Ms. Drake deposed that all of Indian Reserve One, including the area in which the plaintiff says she fell, is wilderness and heavily covered by forest. At her examination for discovery the plaintiff had testified to the location where she fell and injured herself as "a path, a very well worn path". Ms. Drake deposed that she made inquiries, (although the name of the individual or individuals of whom she inquired is not disclosed), that to the best of her belief the path was not created nor maintained by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her third affidavit sworn July 28, 2006 Ms. Drake, disputed the evidence at examination for discovery of one of the defendants, Kathleen Louise Westergaard a.k.a. Louise Sewid, that the Band advertised quite extensively in various travel guides. Ms. Drake deposed that "as long as I have been the bookkeeper and band administrator, the Band has never submitted or paid for any advertising in any publication inviting or encouraging' persons to visit Village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response to Ms. Westergaard's evidence on discovery that she had made repeated requests of the Band Council to "create a safe environment for people that they were sending to [Village Island] and they refused to do so", Ms. Drake deposed that it was the position of Chief Sewid and the Band that if Tom Sewid and Cathleen Westergaard of Village Island Tours wanted clearing of trails then they were to do the clearing themselves at their own expense and not at the expense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Robert Sewid, the Hereditary Chief of the Mamalilikulla-Qwe'Qwa'Sot'Em Band, swore an affidavit on July 28, 2006 agreeing with the evidence contained in the third affidavit of Ms. Drake.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Part of the affidavit materials filed by the plaintiff in opposition to the defendant Band's application is the affidavit of Mel Turner who has a Master of Science in Forest and Wild Land Recreation from the University of British Columbia. Mr. Turner deposed that he was retained by the plaintiff's solicitor: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address the standards associated with the designation, construction and management of foot trails on managed lands, particularly as they relate to commercial tours using designated trails as authorized by land management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Based upon the information Mr. Turner reviewed it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understanding the purpose of the trail upon which the plaintiff, Ms. Henderson, fell in this action is to provide access for limited numbers of visitors to abandoned a village site and ancient ruins (sic). This type of trail would typically be assigned a type 2, interpretive category in accordance with park standards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Turner did not provide further details as to the type of information or the source of information which he had reviewed. Among the standards specified by the B.C. Parks Standards Manual is a requirement that the trail would be 1.25 metres wide, "possibly surfaced and suitable for two people walking abreast"; because such a type 2 trail is one where aesthetics are important and vegetation clearing along the trail is minimized: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high onus on the part of those responsible for the trail maintenance to ensure that there are no hazards obscured or partially obscured by vegetation either on the tread of trail or along the trail which is left in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vegetation is cleared from the trail to provide safety and comfort for the user: shrubs and small trees that will quickly grow back as well as hazard trees are removed. Stumps are cut flush with the ground. Branches growing into the trail are to be cut flush with tree trunks, rainfalls are cleared or slotted, and exposed or partially exposed roots are cut back. The purpose of these clearing standards is to reduce the chance of users of the trail striking drooping branches, tripping and brushing metals or damp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 of the Defendant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Ashcroft submits on behalf of the Band that on the facts of this case cannot lead to a finding that the Band can be found liable for the injuries sustained by the plaintiff and it is appropriate that the action be dismissed as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Band submits that on the evidence, the plaintiff is deemed to have willingly accepted the risks inherent in walking on an island which was the site of an abandoned Indian village and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afford protection to the Band from such claims. In addition, or in the alternative, the Band says that it was not negligent or, if the Band owed a duty of care to the plaintiff, then on the facts of this case, the Band met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Ashcroft makes the following points: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Village Island was the site of an old abandoned Indian village which had been uninhabited since approximately 1969. The area in which the plaintiff allegedly fell is wilderness and heavily covered by forest.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Band did not advertise or market tours on Village Island in any publications including travel books or magazines.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Tom Sewid, one of the defendants, had a contract with the Band between May 1, 2000 and October 31, 2000 for use of Village Island and he charged a fee of $10.00 per person but none of the monies he received was paid to the Band.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end of his 2000 contract Mr. Sewid continued to conduct tours on Village Island without the permission of the Band.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attended Village Island on August 6, 2001 it was for the purpose of taking a tour with Village Island Tours. The plaintiff was an active individual engaged in hiking and boating activities. The plaintiff and her husband had heard about Village Island from friends and through publications and they visited Village Island while on a sailboat trip up the coast from their home in Victoria.</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waiting for the tour to commence the plaintiff, her husband and two other couples proceeded to tour Village Island on their own accord at approximately three in the afternoon, a time when there was "a lot of daylight".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individuals had walked along the path and proceeded over the tree root without incident and were on their way back when the plaintiff tripped on the tree root fracturing her leg. At least one individual had gone before the plaintiff on the return trip without incident. The "path" the plaintiff says that she and the others travelled was not created or maintained by the Band.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the only one among the group of six who tripped and fell.</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never asked the female person on Village Island whether she could go on the "path" prior to her and the other individuals doing so.</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examination for discovery the plaintiff said that she felt absolutely safe because there was nothing that seemed to pose a hazard or danger.</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never told by anyone that Tom Sewid was conducting his tours on behalf of the Band.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"path" that the plaintiff and the other individuals followed was unmarked.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previous day the plaintiff and her husband were on hiking trails that were more difficult and they had "no problems on those trails".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Band did not receive any monies from the plaintiff and the plaintiff did not ask the permission of the Band to visit Village Island prior to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the authority of </w:t>
      </w:r>
      <w:r>
        <w:rPr>
          <w:rFonts w:ascii="arial" w:eastAsia="arial" w:hAnsi="arial" w:cs="arial"/>
          <w:b/>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[2005] B.C.J. No. 1945</w:t>
        </w:r>
      </w:hyperlink>
      <w:r>
        <w:rPr>
          <w:rFonts w:ascii="arial" w:eastAsia="arial" w:hAnsi="arial" w:cs="arial"/>
          <w:color w:val="000000"/>
          <w:sz w:val="20"/>
          <w:lang w:val="en-US" w:eastAsia="en-US" w:bidi="ar-SA"/>
        </w:rPr>
        <w:t>, Mr. Ashcroft submits that the factors to consider in determining whether the application is suitable for disposition are:</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 conventional trial in relation to the amount involved;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required for summary trial;</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credibility is a crucial factor;</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application will really save time and complexity; and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application slices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Ashcroft submits that there is no dispute about the facts and this is not a complex matter. Further, examinations for discovery of all of the parties or their representatives have been conducted and the defendant, Village Island Tours, takes no position on the application. Credibility is not at issue and there is no possibility that further evidence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might surface. Finally, the plaintiff was not invited by the Band to go to Village Island and the plaintiff did not pay the Band to go to Village Island. Village Island is an Indian reserve in a remote wilderness area that is not a park and the alleged "path" was not created by or maintained by the Band. In all of these circumstances, the applicant defendant submits that this is an appropriate case for disposition by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submission of the defendant Band, the issues to be determined on this application are whether the Band owed a duty of care to the plaintiff and, if so, did the Band meet the standard of care. Alternatively, did the Band owe a statutory duty of care pursuant to s. 3(1)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R.S. 1996, c.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reference to the first question, whether the Band owed a duty of care to the plaintiff, the defendant Band submits that, in order to succeed, the plaintiff must prove that the Band owed her a duty of care; that it was breached; and that the injuries she suffered were caused by the breach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 applicant relies upon the two-part test set out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as restated in </w:t>
      </w:r>
      <w:r>
        <w:rPr>
          <w:rFonts w:ascii="arial" w:eastAsia="arial" w:hAnsi="arial" w:cs="arial"/>
          <w:b/>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so that, in the reasonable contemplation of one, carelessness on its part might cause damage to the other? If so, are there any considerations which ought to negative or limit either the scope of the duty and the class of persons to whom it is owed or the damages to which a breach of it may give rise? The defendant applicant submits that the plaintiff cannot meet the first part of this test, namely, there was a sufficiently close relationship between the plaintiff and the Band so that in the reasonable contemplation of the Band carelessness on its part might cause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Here, the Band submits that the plaintiff did not seek permission of the Band to visit the island when she went there to take a cultural tour from the defendant Village Island Tours. Had the plaintiff sought the Band's permission to visit Village Island, she would have had to have paid a fee of $7.50 and received the letter from the Band stating that any visitation to the island was at her own risk. The Band did not receive, either directly or indirectly, any monies from the plaintiff. Accordingly, there was insufficient proximity between the Band and the plaintiff to create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alternative, if there were a duty of care owed to the plaintiff, then the Band submits that it met that standard of care which was, in the circumstances in the case at bar, to protect only against unreasonable risk of injury. Here the accident was the plaintiff's own fault. Others had crossed the portion of the path without incident both going to the site and returning. The standard of care required in this case was low because the inherent risks in walking on an unmarked path in the wilderness ought to have been known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effect of "inherent risk" on the standard of care was an issue in </w:t>
      </w:r>
      <w:r>
        <w:rPr>
          <w:rFonts w:ascii="arial" w:eastAsia="arial" w:hAnsi="arial" w:cs="arial"/>
          <w:b/>
          <w:i/>
          <w:color w:val="000000"/>
          <w:sz w:val="20"/>
          <w:lang w:val="en-US" w:eastAsia="en-US" w:bidi="ar-SA"/>
        </w:rPr>
        <w:t>Rozenhart v. Skier's Sport Shop (Edmonton) Ltd.</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[2002] A.J. No. 1063</w:t>
        </w:r>
      </w:hyperlink>
      <w:r>
        <w:rPr>
          <w:rFonts w:ascii="arial" w:eastAsia="arial" w:hAnsi="arial" w:cs="arial"/>
          <w:color w:val="000000"/>
          <w:sz w:val="20"/>
          <w:lang w:val="en-US" w:eastAsia="en-US" w:bidi="ar-SA"/>
        </w:rPr>
        <w:t>, where Lee J. stated:</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a review of the case law cited by the Defendant raises a level of confusion as to whether inherent risk is a consideration that negatives the duty of care owed by a defendant, or is a consideration that alters the standard of care expected from that defendant.</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Burnyeat J., in </w:t>
      </w:r>
      <w:r>
        <w:rPr>
          <w:rFonts w:ascii="arial" w:eastAsia="arial" w:hAnsi="arial" w:cs="arial"/>
          <w:i/>
          <w:color w:val="000000"/>
          <w:sz w:val="20"/>
          <w:lang w:val="en-US" w:eastAsia="en-US" w:bidi="ar-SA"/>
        </w:rPr>
        <w:t>Potozny v. Burnaby (City)</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B.C.J. No. 1224</w:t>
        </w:r>
      </w:hyperlink>
      <w:r>
        <w:rPr>
          <w:rFonts w:ascii="arial" w:eastAsia="arial" w:hAnsi="arial" w:cs="arial"/>
          <w:color w:val="000000"/>
          <w:sz w:val="20"/>
          <w:lang w:val="en-US" w:eastAsia="en-US" w:bidi="ar-SA"/>
        </w:rPr>
        <w:t xml:space="preserve"> (B.C.S.C.), describes the concept of inherent risk in the following way at para. 108: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the concept of "voluntary assumption of risk", inherent risk is not a separate defence that comes into play after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but is a recognition by the courts that what constitutes reasonable care will depend upon the perils which a person engaged in an activity might reasonably be expected to encounter.</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Justice Burnyeat then goes on to cite other cases that have considered the concept of inherent risk, including </w:t>
      </w:r>
      <w:r>
        <w:rPr>
          <w:rFonts w:ascii="arial" w:eastAsia="arial" w:hAnsi="arial" w:cs="arial"/>
          <w:i/>
          <w:color w:val="000000"/>
          <w:sz w:val="20"/>
          <w:lang w:val="en-US" w:eastAsia="en-US" w:bidi="ar-SA"/>
        </w:rPr>
        <w:t>Malcolm v. B.C. Transit</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Hagerman v. City of Niagara Falls et al.</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(Ont. H.C.):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Malcolm, supra</w:t>
      </w:r>
      <w:r>
        <w:rPr>
          <w:rFonts w:ascii="arial" w:eastAsia="arial" w:hAnsi="arial" w:cs="arial"/>
          <w:color w:val="000000"/>
          <w:sz w:val="20"/>
          <w:lang w:val="en-US" w:eastAsia="en-US" w:bidi="ar-SA"/>
        </w:rPr>
        <w:t>, McEachern C.J.B.C. (as he then was)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Any such adult person without being warned knows and accepts the risks of falling on a steep, wet, grassy slope or a path and it was not necessary, in my view, to give a warning of such a common everyday risk. ... such a warning is superfluous.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arises between two parties on the basis of the relationship between them; it either exists or it does not. There is one duty of care for each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problem has been discussed by the Supreme Court of Canada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168 D.L.R. (4th) 513</w:t>
        </w:r>
      </w:hyperlink>
      <w:r>
        <w:rPr>
          <w:rFonts w:ascii="arial" w:eastAsia="arial" w:hAnsi="arial" w:cs="arial"/>
          <w:color w:val="000000"/>
          <w:sz w:val="20"/>
          <w:lang w:val="en-US" w:eastAsia="en-US" w:bidi="ar-SA"/>
        </w:rPr>
        <w:t xml:space="preserve"> (S.C.C.). Major J. writes: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negating a duty of care entirely, policy considerations may also serve to "limit" the "scope" of an existing duty under the second step of the </w:t>
      </w:r>
      <w:r>
        <w:rPr>
          <w:rFonts w:ascii="arial" w:eastAsia="arial" w:hAnsi="arial" w:cs="arial"/>
          <w:i/>
          <w:color w:val="000000"/>
          <w:sz w:val="20"/>
          <w:lang w:val="en-US" w:eastAsia="en-US" w:bidi="ar-SA"/>
        </w:rPr>
        <w:t>Anns/Kamloops</w:t>
      </w:r>
      <w:r>
        <w:rPr>
          <w:rFonts w:ascii="arial" w:eastAsia="arial" w:hAnsi="arial" w:cs="arial"/>
          <w:color w:val="000000"/>
          <w:sz w:val="20"/>
          <w:lang w:val="en-US" w:eastAsia="en-US" w:bidi="ar-SA"/>
        </w:rPr>
        <w:t xml:space="preserve"> test. It is necessary to be clear about what this means. </w:t>
      </w:r>
      <w:r>
        <w:rPr>
          <w:rFonts w:ascii="arial" w:eastAsia="arial" w:hAnsi="arial" w:cs="arial"/>
          <w:b/>
          <w:color w:val="000000"/>
          <w:sz w:val="20"/>
          <w:lang w:val="en-US" w:eastAsia="en-US" w:bidi="ar-SA"/>
        </w:rPr>
        <w:t xml:space="preserve">The purpose of the </w:t>
      </w:r>
      <w:r>
        <w:rPr>
          <w:rFonts w:ascii="arial" w:eastAsia="arial" w:hAnsi="arial" w:cs="arial"/>
          <w:b/>
          <w:i/>
          <w:color w:val="000000"/>
          <w:sz w:val="20"/>
          <w:lang w:val="en-US" w:eastAsia="en-US" w:bidi="ar-SA"/>
        </w:rPr>
        <w:t>Anns/Kamloops</w:t>
      </w:r>
      <w:r>
        <w:rPr>
          <w:rFonts w:ascii="arial" w:eastAsia="arial" w:hAnsi="arial" w:cs="arial"/>
          <w:b/>
          <w:color w:val="000000"/>
          <w:sz w:val="20"/>
          <w:lang w:val="en-US" w:eastAsia="en-US" w:bidi="ar-SA"/>
        </w:rPr>
        <w:t xml:space="preserve"> test is to establish the existence of a legal duty, not to determine the standard of care required to establish liability. Policy considerations do not give rise to "greater" or "lesser" duties in different cases. A duty of care either exists or it does not.</w:t>
      </w:r>
      <w:r>
        <w:rPr>
          <w:rFonts w:ascii="arial" w:eastAsia="arial" w:hAnsi="arial" w:cs="arial"/>
          <w:color w:val="000000"/>
          <w:sz w:val="20"/>
          <w:lang w:val="en-US" w:eastAsia="en-US" w:bidi="ar-SA"/>
        </w:rPr>
        <w:t xml:space="preserve"> (emphasis added)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comments of Major J., </w:t>
      </w:r>
      <w:r>
        <w:rPr>
          <w:rFonts w:ascii="arial" w:eastAsia="arial" w:hAnsi="arial" w:cs="arial"/>
          <w:b/>
          <w:color w:val="000000"/>
          <w:sz w:val="20"/>
          <w:lang w:val="en-US" w:eastAsia="en-US" w:bidi="ar-SA"/>
        </w:rPr>
        <w:t xml:space="preserve">I prefer to view inherent risk as characterized by Burnyeat J. in </w:t>
      </w:r>
      <w:r>
        <w:rPr>
          <w:rFonts w:ascii="arial" w:eastAsia="arial" w:hAnsi="arial" w:cs="arial"/>
          <w:b/>
          <w:i/>
          <w:color w:val="000000"/>
          <w:sz w:val="20"/>
          <w:lang w:val="en-US" w:eastAsia="en-US" w:bidi="ar-SA"/>
        </w:rPr>
        <w:t>Potozny, supra</w:t>
      </w:r>
      <w:r>
        <w:rPr>
          <w:rFonts w:ascii="arial" w:eastAsia="arial" w:hAnsi="arial" w:cs="arial"/>
          <w:b/>
          <w:color w:val="000000"/>
          <w:sz w:val="20"/>
          <w:lang w:val="en-US" w:eastAsia="en-US" w:bidi="ar-SA"/>
        </w:rPr>
        <w:t>. That is to say, the presence of inherent risk in an activity modifies the standard of care to which a defendant will be held such that what constitutes reasonable care will depend upon the perils which a person engaged in that activity might reasonably be expected to encounter.</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applicant's counsel says that Village Island is a remote, uninhabited area and the presence of tree roots is an inherent risk in travelling through heavily wooded areas. The fact that the area was in a natural state was one of the features that draws people to the area. The plaintiff had a duty to take reasonable care in travelling over an unmarked and unguided pathway and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Further, the plaintiff was an experienced hiker and assumed the risk of travelling over the unmarked and unguided pathway. In </w:t>
      </w:r>
      <w:r>
        <w:rPr>
          <w:rFonts w:ascii="arial" w:eastAsia="arial" w:hAnsi="arial" w:cs="arial"/>
          <w:b/>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[2001] B.C.J. No. 190</w:t>
        </w:r>
      </w:hyperlink>
      <w:r>
        <w:rPr>
          <w:rFonts w:ascii="arial" w:eastAsia="arial" w:hAnsi="arial" w:cs="arial"/>
          <w:color w:val="000000"/>
          <w:sz w:val="20"/>
          <w:lang w:val="en-US" w:eastAsia="en-US" w:bidi="ar-SA"/>
        </w:rPr>
        <w:t xml:space="preserve">, the Court expressed the question this way: did the plaintiff give a real consent to the assumption of the risk without compensation; did the consent really absolve the defendant from the duty of care? In order to establish the defence of voluntary assumption of risk it must be established that the plaintiff clearly knew and appreciated the nature and character of the risk in that the plaintiff voluntarily incurred it: </w:t>
      </w:r>
      <w:r>
        <w:rPr>
          <w:rFonts w:ascii="arial" w:eastAsia="arial" w:hAnsi="arial" w:cs="arial"/>
          <w:b/>
          <w:i/>
          <w:color w:val="000000"/>
          <w:sz w:val="20"/>
          <w:lang w:val="en-US" w:eastAsia="en-US" w:bidi="ar-SA"/>
        </w:rPr>
        <w:t>Hobbs</w:t>
      </w:r>
      <w:r>
        <w:rPr>
          <w:rFonts w:ascii="arial" w:eastAsia="arial" w:hAnsi="arial" w:cs="arial"/>
          <w:color w:val="000000"/>
          <w:sz w:val="20"/>
          <w:lang w:val="en-US" w:eastAsia="en-US" w:bidi="ar-SA"/>
        </w:rPr>
        <w:t xml:space="preserve"> at paragraph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support of this submission Mr. Ashcroft relied upon the evidence given by the plaintiff at her examination for discovery where she stated that she had been involved in a great deal of boating and hiking and often anchored at places where there were many opportunities to walk on different islands and she always enjoyed being outside. Further she testified that she had been hiking and camping a lot in the coastal areas of B.C. from 1977 and that she had done boating, hiking and camping in different parts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reference to the issue whether the Band owed a statutory duty of care under s. 3(1)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Mr. Ashcroft submits that assuming that the Band is an occupier, then s. 3(3), 3.2 and 3.3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applicable. Section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occupier of premises owes a duty to take that care that in all the circumstances of the case is reasonable to see that a person ... will be reasonably safe in using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10"/>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10"/>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10"/>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11"/>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Ashcroft submits that the Band did neither of these things: it did not create a danger with intent to do harm to the person and it did not act with reckless disregard to the safety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Sections 3.2 and 3.3 provide: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enters any of the categories of premises described in subsection (3.3) is deemed to have willingly assumed all risks and the occupier of those premises is subject only to the duty of care set out in subsection (3) if</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enters is trespassing, or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entry is for the purpose of a recreational activity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occupier receives no payment or other consideration for the entry or activity of the person, other than a payment or other consideration from a government or government agency or a non-profit recreational club or association, and</w:t>
      </w:r>
    </w:p>
    <w:p>
      <w:pPr>
        <w:numPr>
          <w:numId w:val="19"/>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occupier is not providing the person with living accommodation on those premises.</w:t>
      </w:r>
    </w:p>
    <w:p>
      <w:pPr>
        <w:numPr>
          <w:numId w:val="2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categories of premises referred to in subsection (3.2)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rural premises that 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vacant or undeveloped premises,</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forested or wilderness premises ....</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Band submits that the applicable provision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3.2(b). The plaintiff entered onto Village Island for the purpose of recreational activity and the Band did not receive any payment nor provide any living accommodations as set out in the subsection.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Subsection 3.3(b)(ii) refers to the very type of lands where the plaintiff was walking. The property was vacant or undeveloped and/or forested or wilderness pursuant to s. 3.3(b)(iii) and therefore the plaintiff is deemed by statute to have willingly assumed all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Whether premises were rural or not under s. 3.3(b) was a question considered by Groberman J. in </w:t>
      </w:r>
      <w:r>
        <w:rPr>
          <w:rFonts w:ascii="arial" w:eastAsia="arial" w:hAnsi="arial" w:cs="arial"/>
          <w:b/>
          <w:i/>
          <w:color w:val="000000"/>
          <w:sz w:val="20"/>
          <w:lang w:val="en-US" w:eastAsia="en-US" w:bidi="ar-SA"/>
        </w:rPr>
        <w:t>Hindley v. Waterfront Properties Corp.</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[2002] B.C.J. No. 1466</w:t>
        </w:r>
      </w:hyperlink>
      <w:r>
        <w:rPr>
          <w:rFonts w:ascii="arial" w:eastAsia="arial" w:hAnsi="arial" w:cs="arial"/>
          <w:color w:val="000000"/>
          <w:sz w:val="20"/>
          <w:lang w:val="en-US" w:eastAsia="en-US" w:bidi="ar-SA"/>
        </w:rPr>
        <w:t>. At paragraph 19 through 21 Groberman J. wrote:</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diminished duty of care for recreational use of rural premises is a result of a 1998 Amendment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purpose of the Amendment is clear - it is to encourage landowners in rural areas to allow the public to use their land for recreational purposes. The legislation recognizes that the normal duty of care set out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might be onerous in a rural setting, where owners may have limited practical ability to control access to their land, and where the cost of continuous monitoring of land to ensure that it is reasonably safe for all comers may be high.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my view, the question of whether premises are rural premises'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must be answered primarily by considering the current use of the premises and surrounding land rather than by examining what uses are permitted or may be permitted in the future. Further, I do not believe that the question of whether the premises are within municipal boundaries or not can have any influence on whether or not the land is characterized as "rural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agree with the conclusion in </w:t>
      </w:r>
      <w:r>
        <w:rPr>
          <w:rFonts w:ascii="arial" w:eastAsia="arial" w:hAnsi="arial" w:cs="arial"/>
          <w:i/>
          <w:color w:val="000000"/>
          <w:sz w:val="20"/>
          <w:lang w:val="en-US" w:eastAsia="en-US" w:bidi="ar-SA"/>
        </w:rPr>
        <w:t>Whaley v. Hood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[1998] O.J. No. 1785</w:t>
        </w:r>
      </w:hyperlink>
      <w:r>
        <w:rPr>
          <w:rFonts w:ascii="arial" w:eastAsia="arial" w:hAnsi="arial" w:cs="arial"/>
          <w:color w:val="000000"/>
          <w:sz w:val="20"/>
          <w:lang w:val="en-US" w:eastAsia="en-US" w:bidi="ar-SA"/>
        </w:rPr>
        <w:t xml:space="preserve">, that the question of whether premises are rural or not is largely a question of fact. In that case, Simmons J. adopted the definition of "rural" set out in the </w:t>
      </w:r>
      <w:r>
        <w:rPr>
          <w:rFonts w:ascii="arial" w:eastAsia="arial" w:hAnsi="arial" w:cs="arial"/>
          <w:i/>
          <w:color w:val="000000"/>
          <w:sz w:val="20"/>
          <w:lang w:val="en-US" w:eastAsia="en-US" w:bidi="ar-SA"/>
        </w:rPr>
        <w:t>Concise Oxford Dictionary</w:t>
      </w:r>
      <w:r>
        <w:rPr>
          <w:rFonts w:ascii="arial" w:eastAsia="arial" w:hAnsi="arial" w:cs="arial"/>
          <w:color w:val="000000"/>
          <w:sz w:val="20"/>
          <w:lang w:val="en-US" w:eastAsia="en-US" w:bidi="ar-SA"/>
        </w:rPr>
        <w:t>, Eighth edition: in, of, or suggesting the country (opp. URBAN); pastoral or agricultural.'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Groberman J. held that the lands in question were rural and that the diminished duty of care under s. 3(3)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applied to the case. The property in question was a 145 acre parcel which was vacant and largely undeveloped and heavily treed. A portion of the parcel was used prior to 1991 for a sand and gravel operation and there were gravel trails through parts of the property presumably used at one time as hauling routes for taking sand and gravel off the property. The land itself was within the boundaries of the City of Parksville and a top ridge trail traversed the parcel, the trail being a multi use recreational trail connecting a provincial park to a municipal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Band's counsel also submits that under s. 3.2 the only duty of care owed is when the Band would have known of a serious risk of harm or chose to ignore it. On the facts clearly before the Court there is no evidence to support such a position and in fact there was evidence of prior safe use of the path by not only the plaintiff but also by the other individuals accompanying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Cahoon v. Wendy's Restaurant of Canada Inc.</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[2000] B.C.J. No. 762</w:t>
        </w:r>
      </w:hyperlink>
      <w:r>
        <w:rPr>
          <w:rFonts w:ascii="arial" w:eastAsia="arial" w:hAnsi="arial" w:cs="arial"/>
          <w:color w:val="000000"/>
          <w:sz w:val="20"/>
          <w:lang w:val="en-US" w:eastAsia="en-US" w:bidi="ar-SA"/>
        </w:rPr>
        <w:t>, Burnyeat J. stated:</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submit that there have never been accidents in this location before and that this is the best indication that this particular area is "reasonably safe" for those using the premises. While "prior safe use" will not be determinative, prior safe use has been found to be a relevant factor in determining whether premises are reasonably safe: </w:t>
      </w:r>
      <w:r>
        <w:rPr>
          <w:rFonts w:ascii="arial" w:eastAsia="arial" w:hAnsi="arial" w:cs="arial"/>
          <w:i/>
          <w:color w:val="000000"/>
          <w:sz w:val="20"/>
          <w:lang w:val="en-US" w:eastAsia="en-US" w:bidi="ar-SA"/>
        </w:rPr>
        <w:t>Jolley v. Pacific National Exhibition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[1986] B.C.J. No. 2284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Crerar v. Dover</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[1984] 3 W.W.R. 236</w:t>
        </w:r>
      </w:hyperlink>
      <w:r>
        <w:rPr>
          <w:rFonts w:ascii="arial" w:eastAsia="arial" w:hAnsi="arial" w:cs="arial"/>
          <w:color w:val="000000"/>
          <w:sz w:val="20"/>
          <w:lang w:val="en-US" w:eastAsia="en-US" w:bidi="ar-SA"/>
        </w:rPr>
        <w:t xml:space="preserve"> (B.C.S.C.)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Ashcroft submits that the Band had no knowledge of any serious risk of harm on Village Island and there was no evidence that the Band was acting with reckless disregard. The plaintiff's failure to avoid the tree root was the sole cause of the accident and this failure was due entirely to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counsel points to the fact that it was daylight and the visibility was good; the plaintiff had gone to Village Island on her own accord; she had deposed that prior to the accident occurring she felt absolutely safe because there was nothing which seemed to pose a hazard or danger and this evidence is consistent with there being no reason for the Band to believe that there was a hazard or a danger; the plaintiff had ample opportunity and ability to easily avoid tripping over the tree root which was on the path because she had just travelled over the same portion of the path and at least five other persons had followed her and at least one other person had preceded her on the return trip without tripping on the tree root; the plaintiff was an outdoors person and had extensive experience hiking and was accordingly aware of the need to keep a proper lookout; the plaintiff was visiting Village Island without the knowledge, permission or consent of the Band; the plaintiff knew and appreciated, or ought to have known and appreciated, the nature and character of the risk she ran and been careful to watch her step when travelling on the wilderness path; and, finally, the plaintiff voluntarily incurred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would be unreasonable for the plaintiff to expect a smooth pathed pathway in the middle of a wilderness area devoid of all plant growth where such a condition would defeat the sole reason for her visit in the first place. It is the plaintiff alone who is at fault for her injuries; she could have reasonably avoided tripping over a tree route had she been keeping a proper lookout, and it was her failure to do so which caused her injuries and not any act or inaction on the part of the Band. Accordingly, the defendant Band asks that the plaintiff's claim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Counsel for the plaintiff, Mr. Cameron, strongly opposes the relief saying that it would be unjust to decide the issues because the co-defendant, Village Island Tours, pleads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the Band. Accordingly, it would unfair to the plaintiff to dismiss her action against one defendant while there remains a possibility of overlapping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remaining defendant against the absent defendant,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Further, the plaintiff's claims are significant and the issues surrounding liability and quantum of damages are complex and the court cannot find the facts necessary to make a determination of the issues of fact on an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Cameron relies upon certain facts in support of his argument including the fact that: Village Island is part of reserved lands held by HMTQ for the use and benefit of the Band; the defendants consisted of essentially the Band and Village Island Tours; the Band has a beneficial interest in the property and Mr. Tom Sewid, who is doing business as Village Island Tours together with his partner, the defendant Kathleen Westergaard, is a Band member who conducted an eco-tourism business from the ancient village site on the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Plaintiff's counsel relies upon the fact that there was a contract between Mr. Sewid and the Band between May of 2000 and October of 2000 and the Band knew that the tours were being conducted on Village Island after the expiration of the 2000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Band has allowed visitors to the island for a fee of $7.50 per person which was to be paid directly to the Band office and consent of the Band was not required; rather, visitors were expected to pay on an honour system basis. There is evidence before the court on this application in the plaintiff's second affidavit that she and her husband intended to take the cultural tour offer on the island and understood that it would cost $10 per person payable to Mr. Sewid. The plaintiff and husband were told by an employee of Village Island Tours that they were free to look around and explore the island and it was in the course of such an exploration that the plaintiff and her husband travelled along the path where she caught her foot under a partially exposed tree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affidavit of Mr. Turner and the opinion expressed in it demonstrates that there is a high onus placed upon the individuals responsible for trail maintenance to ensure that there are no hazards obscured or partially obscured by vegetation. Mr. Cameron submits that the fact that Mr. Sewid and the Band received money in exchange for visitors exploring Village Island, placed both of them under a duty of care to visitors and, more particularly to this plaintiff, to maintain the pathways in a safe and unobstructive condition. The evidence is clear that the Band had done nothing to maintain the village site since visitors first started paying a fee in or about 1988 or 1989 when some summer students had cut down the weeds. Further, the Band never gave any consideration to upgrading or improving the area for visitors from that time until August 2001 nor did the Band regularly inspect the Village site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support of his argument that it will be unjust to decide the issues on an 18A application, plaintiff's counsel points to the fact that Village Island Tours takes no position on the Band's application to have the plaintiff's claim dismissed nor filed any materials. Further, there is no admissible evidence before the Court on this application from either Mr. Sewid or Village Island Tours and, in the absence of an affidavit or evidence from the principal party, the court ought to question whether it has the evidence necessary to decide the issues of fact: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its statement of defence Village Island Tours pleads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back against the Band and the overlapping allegations against both defendants is that there was a failure to do anything whatsoever to maintain or upgrade the trails in respect of making them safe for paying tourists. Where there are two defendants with issues of fact between them, courts have been disinclined to grant summary judgment as against one of them. McEachern C.J.S.C. in </w:t>
      </w:r>
      <w:r>
        <w:rPr>
          <w:rFonts w:ascii="arial" w:eastAsia="arial" w:hAnsi="arial" w:cs="arial"/>
          <w:b/>
          <w:i/>
          <w:color w:val="000000"/>
          <w:sz w:val="20"/>
          <w:lang w:val="en-US" w:eastAsia="en-US" w:bidi="ar-SA"/>
        </w:rPr>
        <w:t>Thompson v. Kootenay Lake District Hospital</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(1985), 68 B.C.L.R. 142</w:t>
        </w:r>
      </w:hyperlink>
      <w:r>
        <w:rPr>
          <w:rFonts w:ascii="arial" w:eastAsia="arial" w:hAnsi="arial" w:cs="arial"/>
          <w:color w:val="000000"/>
          <w:sz w:val="20"/>
          <w:lang w:val="en-US" w:eastAsia="en-US" w:bidi="ar-SA"/>
        </w:rPr>
        <w:t xml:space="preserve"> addressed this very issue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necessary to consider whether it would be unjust to decide the issue of liability on this application: R. 18A(3)(b). This troubles me greatly because, viewed traditionally, these questions have always been decided at 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regard the application therefore as a summary trial on affidavit evidence, I should have regard for the principle that in some classes of cases it has always been considered wise and fair, and therefore presumably just, not to grant a non-suit where there are co-actors who are both defendants. The reason for this, of course, is to prevent the remaining defendant from throwing blame on the absent defendant to the prejudice of the plaintiff. That situation could arise in this case if I accede to the motion. I therefore regard it as prejudicial to the plaintiff in her case against the remaining defendant to accede to the motion, and, as this creates a risk of injustice, I think I should not grant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Plaintiff's counsel submits that the evidence is such that the plaintiff's claims ought not to be dismissed as against one of the defendants in advance of the trial. There are issues in dispute in the summary trial application that may overlap with issues that will arise at the subsequent trial of the matter: see </w:t>
      </w:r>
      <w:r>
        <w:rPr>
          <w:rFonts w:ascii="arial" w:eastAsia="arial" w:hAnsi="arial" w:cs="arial"/>
          <w:b/>
          <w:i/>
          <w:color w:val="000000"/>
          <w:sz w:val="20"/>
          <w:lang w:val="en-US" w:eastAsia="en-US" w:bidi="ar-SA"/>
        </w:rPr>
        <w:t>The Owners Strata Plan LMS 2262 v. Stoneman Developments Ltd. et al. (The Owners)</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2005 BCSC 410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Further, because the plaintiff has suffered significant injuries to her lower leg as a result of the events on Village Island, and a subsequent surgery led to a stroke during that process, she has been left with cognitive difficulties particularly in relation to her capacity as speech. The quantum of damages are therefore likely to be significant and even if the application is granted there will still be significant costs proceeding to trial. Counsel submits that there is no evidence of any urgency in terms of having the action dismissed against the Band at this juncture. Further, even if the plaintiff's claim is dismissed as against the Band it will in no way narrow the scope of the issues or of the evidence that will be required at the trial of this action as against Village Tours. These evidence were factors considered by McEachern C.J.B.C. in </w:t>
      </w:r>
      <w:r>
        <w:rPr>
          <w:rFonts w:ascii="arial" w:eastAsia="arial" w:hAnsi="arial" w:cs="arial"/>
          <w:b/>
          <w:i/>
          <w:color w:val="000000"/>
          <w:sz w:val="20"/>
          <w:lang w:val="en-US" w:eastAsia="en-US" w:bidi="ar-SA"/>
        </w:rPr>
        <w:t>Inspiration Management Ltd.</w:t>
      </w:r>
      <w:r>
        <w:rPr>
          <w:rFonts w:ascii="arial" w:eastAsia="arial" w:hAnsi="arial" w:cs="arial"/>
          <w:color w:val="000000"/>
          <w:sz w:val="20"/>
          <w:lang w:val="en-US" w:eastAsia="en-US" w:bidi="ar-SA"/>
        </w:rPr>
        <w:t xml:space="preserve"> starting at paragraph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dicta in some cases, some counsel believe the Rule 18A procedure should only be invoked when both parties agree to a summary trial. I do not agree, as it must be expected in an adversarial process that parties will often disagree on the appropriateness or otherwise of the summary trial procedure. There is no room in the proper construction of R. 18A for a respondent's veto.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suggested in </w:t>
      </w:r>
      <w:r>
        <w:rPr>
          <w:rFonts w:ascii="arial" w:eastAsia="arial" w:hAnsi="arial" w:cs="arial"/>
          <w:i/>
          <w:color w:val="000000"/>
          <w:sz w:val="20"/>
          <w:lang w:val="en-US" w:eastAsia="en-US" w:bidi="ar-SA"/>
        </w:rPr>
        <w:t>Stuart v. Russell</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[1988] B.C.J. No. 531</w:t>
        </w:r>
      </w:hyperlink>
      <w:r>
        <w:rPr>
          <w:rFonts w:ascii="arial" w:eastAsia="arial" w:hAnsi="arial" w:cs="arial"/>
          <w:color w:val="000000"/>
          <w:sz w:val="20"/>
          <w:lang w:val="en-US" w:eastAsia="en-US" w:bidi="ar-SA"/>
        </w:rPr>
        <w:t xml:space="preserve"> (B.C.C.A.), but without deciding the question that the course of wisdom might be not to separate issues by deciding some of them under R. 18A if other issues will have to be decided at a trial in any event. This is a question which should always be considered by a chambers judge who has a discretion in such matters under R. 18A(3). But I wish to add that a chambers judge should also consider, if a critical issue in the case can be decided, whether that may assist the parties to reach an accommodation on other questions. It may be the case that there will still have to be a trial of other issues notwithstanding a judgment on one or more issues, but chambers judges should not feel constrained to avoid deciding some issues even if others cannot be decided at the same time by this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Plaintiff's counsel submits that there are significant disagreements on the fact whether the Band and Village Island Tours were in breach of their duty of care and whether s. 3.3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applies. If the plaintiff can only succeed if she can establish a reckless disregard on the part of the defendants if this a rural property or a recreational trail, then there is a significant question to be determined whether the Band and/or Village Island Tours, received payment or other consideration. Further, if s. 3.3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applies then the issues of fact between the defendants are whether the conduct of the defendant the Band was reckless or intentional.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conflicting evidence regarding the extent of any duty owed to lawful and paying users of the property. The evidence for Village Island Tours is that they begged the Band to create a safe environment for the people they were sending to the island; the Band disputes this version and there is a serious issue to be tried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Ms. Drake gave evidence at her examination for discovery that there was no spiritual or other reason not to cut back brush and undergrowth or otherwise safeguard the area but Mr. Sewid for Village Island Tours said that it would have been disrespectful culturally to have placed signs on the trail. Also, the evidence shows that the Band did nothing to create a safe environment even though they were aware that paying tourists were going to Village Island and that was one reason while they require Mr. Sewid to carry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evidence of Mel Turner is that the minimal standards for paths in this type of environment were not met and there is no evidence before the court from any of the defendants that the standard of care was met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answer to the submission that s. 3.3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applies, the plaintiff submits that it is not applicable because the plaintiff paid for the privilege of visiting the property and the payment removes it from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The Band says that it received no payment either directly or indirectly from the plaintiff but there is evidence of a payment by the plaintiff's husband to Mr. Sewid, who, in previous years, had paid money pursuant to a contract although the Band alleges that payment in full was not received. There is no evidence before the Court on this application whether or not Mr. Sewid made a similar payment at the end of the 2001 season, which would have included a portion of the funds paid by the Hendersons to Mr. Sewid.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submits that an expectation of payment on an honour system is sufficient to take the case at bar from s. 3.3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Although the plaintiff submits that there is sufficient evidence to determine that issue in her favour, nevertheless further evidence and argument will be required at trial because there is an issue that must be determined in respect of Village Island Tours regardless of whether or not the claim is dismissed as against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Finally, the plaintiff relies upon the discussion in </w:t>
      </w:r>
      <w:r>
        <w:rPr>
          <w:rFonts w:ascii="arial" w:eastAsia="arial" w:hAnsi="arial" w:cs="arial"/>
          <w:b/>
          <w:i/>
          <w:color w:val="000000"/>
          <w:sz w:val="20"/>
          <w:lang w:val="en-US" w:eastAsia="en-US" w:bidi="ar-SA"/>
        </w:rPr>
        <w:t>Hindley v. Waterfront Properties Corp. et al.</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2002 BCSC 885</w:t>
        </w:r>
      </w:hyperlink>
      <w:r>
        <w:rPr>
          <w:rFonts w:ascii="arial" w:eastAsia="arial" w:hAnsi="arial" w:cs="arial"/>
          <w:color w:val="000000"/>
          <w:sz w:val="20"/>
          <w:lang w:val="en-US" w:eastAsia="en-US" w:bidi="ar-SA"/>
        </w:rPr>
        <w:t xml:space="preserve"> to support her argument that even if s. 3.3 does apply then there is the further difficulty of having to determine whether the conduct of the Band was reckless. In </w:t>
      </w:r>
      <w:r>
        <w:rPr>
          <w:rFonts w:ascii="arial" w:eastAsia="arial" w:hAnsi="arial" w:cs="arial"/>
          <w:b/>
          <w:i/>
          <w:color w:val="000000"/>
          <w:sz w:val="20"/>
          <w:lang w:val="en-US" w:eastAsia="en-US" w:bidi="ar-SA"/>
        </w:rPr>
        <w:t>Hindley</w:t>
      </w:r>
      <w:r>
        <w:rPr>
          <w:rFonts w:ascii="arial" w:eastAsia="arial" w:hAnsi="arial" w:cs="arial"/>
          <w:color w:val="000000"/>
          <w:sz w:val="20"/>
          <w:lang w:val="en-US" w:eastAsia="en-US" w:bidi="ar-SA"/>
        </w:rPr>
        <w:t>, Groberman J. declined to determine that issue on an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 the plaintiff submits that it would be unjust to determine the issues required for an application such as this which further involves issues of fact upon which there is conflicting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 number of cases have been decided dealing with Rule 18A applications involving co-defendants. </w:t>
      </w:r>
      <w:r>
        <w:rPr>
          <w:rFonts w:ascii="arial" w:eastAsia="arial" w:hAnsi="arial" w:cs="arial"/>
          <w:b/>
          <w:i/>
          <w:color w:val="000000"/>
          <w:sz w:val="20"/>
          <w:lang w:val="en-US" w:eastAsia="en-US" w:bidi="ar-SA"/>
        </w:rPr>
        <w:t>Thompson</w:t>
      </w:r>
      <w:r>
        <w:rPr>
          <w:rFonts w:ascii="arial" w:eastAsia="arial" w:hAnsi="arial" w:cs="arial"/>
          <w:color w:val="000000"/>
          <w:sz w:val="20"/>
          <w:lang w:val="en-US" w:eastAsia="en-US" w:bidi="ar-SA"/>
        </w:rPr>
        <w:t xml:space="preserve"> sets out the standard that courts in this province follow with respect to such application. The court should not dismiss the claim against a co-defendant where the remaining defendant could then throw blame on the absent defendant to the prejudice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Pete v. Axworthy [Pete v. Terrace Regional Health Care Society]</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2003 BCCA 226</w:t>
        </w:r>
      </w:hyperlink>
      <w:r>
        <w:rPr>
          <w:rFonts w:ascii="arial" w:eastAsia="arial" w:hAnsi="arial" w:cs="arial"/>
          <w:color w:val="000000"/>
          <w:sz w:val="20"/>
          <w:lang w:val="en-US" w:eastAsia="en-US" w:bidi="ar-SA"/>
        </w:rPr>
        <w:t>, the plaintiff had alleged that he was assaulted by a fellow inmate while a prisoner in the correctional institute. The plaintiff also claimed damages for treatment by a doctor at the hospital. As well he sued the Health Care Society and the Health Care Council as well as the inmate, the correctional institute and the surgeon. The Health Care Society and the Health Council applied to have the claim against them dismissed on the basis that there was no merit to it. The remaining defendants took no position on the application. Ryan J.A., for the court, wrote at paragraph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Here, the chambers judge took the view that the application was premature.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hospital remained extant. The time for exchanging experts' reports had not expired. It would therefore be unfair to the plaintiff to dismiss his case against one of the defendants while there remained a possibility that further evidence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might emerge.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The Owners Strata Plan LMS 2262</w:t>
      </w:r>
      <w:r>
        <w:rPr>
          <w:rFonts w:ascii="arial" w:eastAsia="arial" w:hAnsi="arial" w:cs="arial"/>
          <w:color w:val="000000"/>
          <w:sz w:val="20"/>
          <w:lang w:val="en-US" w:eastAsia="en-US" w:bidi="ar-SA"/>
        </w:rPr>
        <w:t xml:space="preserve"> decision, the owners had sued a large number of individuals including a city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construction process. The city applied under Rule 18A to have the action dismissed for failure to comply with the notice requirements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The plaintiff argued that the matter was inappropriate for summary trial disposition. Garson J. held that the city's application should be dismissed for two reasons: first, the argument which the city was making was one that was likely to be appealed regardless of the outcome and such appeal would jeopardize the trial date; and, second, the case involved overlapping issues. At paragraph 13 and 14 Garson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second main reason for determining that this case is unsuitable for resolution pursuant to Rule 18A is the difficulty of overlapping issues. The findings of fact that I am invited to make on this application may have unfortunate consequences for other parties. It is difficult to be certain that findings of fact made as between the City of New Westminster and the plaintiff would not embarrass the trial judge at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Furthermore, the plaintiff pleads that the defendants are jointly and severally liable. I was told by counsel that the defendants will wish to have liability apportioned. If the City is not a defendant, I am told that the City will be third partied back into the action. Thus, resolution under Rule 18A would not necessarily result in a clean exit of the City from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Insurance Corporation of British Columbia v. Hilbar Enterprises et al.</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2005 BCSC 974</w:t>
        </w:r>
      </w:hyperlink>
      <w:r>
        <w:rPr>
          <w:rFonts w:ascii="arial" w:eastAsia="arial" w:hAnsi="arial" w:cs="arial"/>
          <w:color w:val="000000"/>
          <w:sz w:val="20"/>
          <w:lang w:val="en-US" w:eastAsia="en-US" w:bidi="ar-SA"/>
        </w:rPr>
        <w:t xml:space="preserve">, Ralph J. relied on the reasoning in </w:t>
      </w:r>
      <w:r>
        <w:rPr>
          <w:rFonts w:ascii="arial" w:eastAsia="arial" w:hAnsi="arial" w:cs="arial"/>
          <w:b/>
          <w:i/>
          <w:color w:val="000000"/>
          <w:sz w:val="20"/>
          <w:lang w:val="en-US" w:eastAsia="en-US" w:bidi="ar-SA"/>
        </w:rPr>
        <w:t>Thompson</w:t>
      </w:r>
      <w:r>
        <w:rPr>
          <w:rFonts w:ascii="arial" w:eastAsia="arial" w:hAnsi="arial" w:cs="arial"/>
          <w:color w:val="000000"/>
          <w:sz w:val="20"/>
          <w:lang w:val="en-US" w:eastAsia="en-US" w:bidi="ar-SA"/>
        </w:rPr>
        <w:t xml:space="preserve"> and refused to dismiss a co-defendant on a Rule 18A application because there was an inadequate evidentiary basis to confirm that the remaining defendants would not attempt to throw the blame on the absent defendant to the detriment of the plaintiff and this was particularly so where in the statement of defence one of the remaining defendants alleged that the accident occurred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seeking relief under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Boehler v. Blaser Jagdwaffen GMBH</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2000 BCSC 710</w:t>
        </w:r>
      </w:hyperlink>
      <w:r>
        <w:rPr>
          <w:rFonts w:ascii="arial" w:eastAsia="arial" w:hAnsi="arial" w:cs="arial"/>
          <w:color w:val="000000"/>
          <w:sz w:val="20"/>
          <w:lang w:val="en-US" w:eastAsia="en-US" w:bidi="ar-SA"/>
        </w:rPr>
        <w:t xml:space="preserve">, Chamberlist J. dismissed an application under 18A made by a co-defendant on the grounds that there was conflicting evidence as between the co-defendants. In his reasons for dismissing the application Chamberlist J. referred to the decision of McEachern C.J.S.C. in </w:t>
      </w:r>
      <w:r>
        <w:rPr>
          <w:rFonts w:ascii="arial" w:eastAsia="arial" w:hAnsi="arial" w:cs="arial"/>
          <w:b/>
          <w:i/>
          <w:color w:val="000000"/>
          <w:sz w:val="20"/>
          <w:lang w:val="en-US" w:eastAsia="en-US" w:bidi="ar-SA"/>
        </w:rPr>
        <w:t>Thompson</w:t>
      </w:r>
      <w:r>
        <w:rPr>
          <w:rFonts w:ascii="arial" w:eastAsia="arial" w:hAnsi="arial" w:cs="arial"/>
          <w:color w:val="000000"/>
          <w:sz w:val="20"/>
          <w:lang w:val="en-US" w:eastAsia="en-US" w:bidi="ar-SA"/>
        </w:rPr>
        <w:t xml:space="preserve">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also raised the fact that this application is brought only by [the plaintiff] and Northland has taken no position. The plaintiff submits this is the equivalent of an application for a non-suit by a defendant following the case of the plaintiff being presented at trial. It is submitted that a non-suit by one of multiple defendants is generally not allowed on the basis that the defendant who is left in the action may attempt to blame the defendant in whose favour the motion for non-suit was granted. The plaintiff submits that if the remaining defendant's evidence is accepted at trial it would leave the court and the plaintiff in a very awkward position. While of course the defendant's application is not for non-suit I agree with the effect being the same. In </w:t>
      </w:r>
      <w:r>
        <w:rPr>
          <w:rFonts w:ascii="arial" w:eastAsia="arial" w:hAnsi="arial" w:cs="arial"/>
          <w:b/>
          <w:i/>
          <w:color w:val="000000"/>
          <w:sz w:val="20"/>
          <w:lang w:val="en-US" w:eastAsia="en-US" w:bidi="ar-SA"/>
        </w:rPr>
        <w:t>Thompson v. Kootenay Lake District Hospital Society and Health Services Society</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[1985] B.C.J. No. 2697</w:t>
        </w:r>
      </w:hyperlink>
      <w:r>
        <w:rPr>
          <w:rFonts w:ascii="arial" w:eastAsia="arial" w:hAnsi="arial" w:cs="arial"/>
          <w:color w:val="000000"/>
          <w:sz w:val="20"/>
          <w:lang w:val="en-US" w:eastAsia="en-US" w:bidi="ar-SA"/>
        </w:rPr>
        <w:t>, Vancouver Registry No. C831051, Chief Justice McEachern (as he then was) had occasion to deal with a similar fact pattern. There the court was faced with an application brought by one of the defendants to have the plaintiff's action against him dismissed. That defendant was an anesthetist with the other defendant being a surgeon. The action had been either discontinued or dismissed as against other parties. His Lordship said that he had no difficulty finding the facts necessary to decide the issue of liability and if that was all that he would have to do then he would have dismissed the action. However, at paragraphs 6 and 7 he said this: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necessary to consider whether it would unjust to decide the issue of liability on this application: Rule 18A(3)(b) troubles me greatly because, viewed traditionally, these questions have always been decided at a trial.</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 regard the application therefore as a summary trial on affidavit evidence, I should have regard for the principle that in some classes it has always been considered wise and fair, and therefore presumably just, not to grant a non-suit where there are co-actors who are both defendants. The reasons for this, of course, is to prevent the remaining defendant from throwing blame on the absent defendant to the prejudice of the plaintiff. That situation could arise in this case if I accede to the motion. I therefore regard it as prejudicial to the plaintiff in her case against the remaining defendant to accede to the motion, and, as this creates a risk of injustice, I think I should not grant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Towriss v. Westminster Savings and Credit Union et al.</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2005 BCSC 695</w:t>
        </w:r>
      </w:hyperlink>
      <w:r>
        <w:rPr>
          <w:rFonts w:ascii="arial" w:eastAsia="arial" w:hAnsi="arial" w:cs="arial"/>
          <w:color w:val="000000"/>
          <w:sz w:val="20"/>
          <w:lang w:val="en-US" w:eastAsia="en-US" w:bidi="ar-SA"/>
        </w:rPr>
        <w:t>, Ross J. dismissed an application because the issues of duty of care, breach and causation were interwoven and would be better determined at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Where, as here, there are competing issues as between the defendants it would be inappropriate to allow the defendant's application and dismiss the claim as against the Band thereby exposing the plaintiff to the real risk that the remaining defendants may try to throw the blame back onto the Band as happened in </w:t>
      </w:r>
      <w:r>
        <w:rPr>
          <w:rFonts w:ascii="arial" w:eastAsia="arial" w:hAnsi="arial" w:cs="arial"/>
          <w:b/>
          <w:i/>
          <w:color w:val="000000"/>
          <w:sz w:val="20"/>
          <w:lang w:val="en-US" w:eastAsia="en-US" w:bidi="ar-SA"/>
        </w:rPr>
        <w:t>Pete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Further, as in </w:t>
      </w:r>
      <w:r>
        <w:rPr>
          <w:rFonts w:ascii="arial" w:eastAsia="arial" w:hAnsi="arial" w:cs="arial"/>
          <w:b/>
          <w:i/>
          <w:color w:val="000000"/>
          <w:sz w:val="20"/>
          <w:lang w:val="en-US" w:eastAsia="en-US" w:bidi="ar-SA"/>
        </w:rPr>
        <w:t>Boehler</w:t>
      </w:r>
      <w:r>
        <w:rPr>
          <w:rFonts w:ascii="arial" w:eastAsia="arial" w:hAnsi="arial" w:cs="arial"/>
          <w:color w:val="000000"/>
          <w:sz w:val="20"/>
          <w:lang w:val="en-US" w:eastAsia="en-US" w:bidi="ar-SA"/>
        </w:rPr>
        <w:t xml:space="preserve">, an application under Rule 18A is not an ideal time to assess liability because the other defendants did not join in the application. Further still, there are overlapping issue and there is a risk that I may make findings of fact which would give rise to contradictory findings at the trial: </w:t>
      </w:r>
      <w:r>
        <w:rPr>
          <w:rFonts w:ascii="arial" w:eastAsia="arial" w:hAnsi="arial" w:cs="arial"/>
          <w:b/>
          <w:i/>
          <w:color w:val="000000"/>
          <w:sz w:val="20"/>
          <w:lang w:val="en-US" w:eastAsia="en-US" w:bidi="ar-SA"/>
        </w:rPr>
        <w:t>The Owners Strata Plan LMS 2262</w:t>
      </w:r>
      <w:r>
        <w:rPr>
          <w:rFonts w:ascii="arial" w:eastAsia="arial" w:hAnsi="arial" w:cs="arial"/>
          <w:color w:val="000000"/>
          <w:sz w:val="20"/>
          <w:lang w:val="en-US" w:eastAsia="en-US" w:bidi="ar-SA"/>
        </w:rPr>
        <w:t>. Finally, there are significant issues of duty of care, breach and causation at issue as between the Band and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 these reasons the application of the defendant Band is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Intergulf Investment Corp. v. Gregory, [2010] B.C.J. No. 784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6-9,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S077114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90 C.P.C. (6th) 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B.C.L.R. (5th)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658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1059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Intergulf Investment Corporation, Plaintiff, and John Gregory and Thorsteinssons, Barristers and Solicitors, a Partnership,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20"/>
      <w:bookmarkEnd w:id="145"/>
      <w:r>
        <w:rPr>
          <w:rFonts w:ascii="arial" w:eastAsia="arial" w:hAnsi="arial" w:cs="arial"/>
          <w:b/>
          <w:color w:val="000000"/>
          <w:sz w:val="20"/>
          <w:lang w:val="en-US" w:eastAsia="en-US" w:bidi="ar-SA"/>
        </w:rPr>
        <w:t xml:space="preserve">Civil litigation — Civil procedure — Discovery — Production and inspection of documents — Privileged documents — Waiver of privilege — Where documents inadvertently produced — Application by plaintiff for order requiring defendants to produce correspondence with Law Society and submit to cross-examination dismissed — Plaintiff alleged solicitor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caused loss of acquisition it sought — Defendants denied being retained by plaintiff — Plaintiff filed complaint with Law Society and correspondence in question followed — Defendant was witness in separate proceedings another company commenced against plaintiff and letters were produced — Defendant unaware letters were privileged and, regardless of production in other action, s. 87(3) of Legal Profession Act required written consent for waiver of privilege.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Regulation of profession — Disciplinary procedure — Proceedings before law society — Evidence — Application by plaintiff for order requiring defendants to produce correspondence with Law Society and submit to cross-examination dismissed — Plaintiff alleged solicitor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caused loss of acquisition it sought — Defendants denied being retained by plaintiff — Plaintiff filed complaint with Law Society and correspondence in question followed — Defendant was witness in separate proceedings another company commenced against plaintiff and letters were produced — Defendant unaware letters were privileged and, regardless of production in other action, s. 87(3) of Legal Profession Act required written consent for waiver of privilege.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6" w:name="Case Summary_20"/>
            <w:bookmarkEnd w:id="1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an order requiring the defendants to produce correspondence it had with the Law Society and to submit to cross-examination on the correspondence. The within action was for solicitor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defendants denied ever being retained by the plaintiff. The correspondence related to the complaint the plaintiff filed against the defendants with the Law Society. The complaint had been dismissed. The defendants argued that the correspondence was privileged under s. 87 of the Legal Profession Act. The plaintiff argued that privilege had been waived because the defendants had produced the letters in another action. The other action was commenced by a company against the plaintiff with respect to the same business transaction that led to this action. The defendant was a witness in the action and the correspondence was entered into evidence. The defendant was cross-examined. The defendant asserted that he did not know at the time that the correspondence was privileged.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7" w:name="Holdings of Court_14"/>
            <w:bookmarkEnd w:id="14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a tax solicitor and was reasonably not aware of all rules of litigation. The solicitors in the other action would not have admitted documents that had clear admissibility problems, so it was accepted that no one was aware of s. 87 privilege when the documents were produced. Furthermore, s. 87 privilege was not confidentiality based, so the defendant's failure to keep the correspondence confidential did not constitute a waiver of privilege. The wording of s. 87(3) was clear and expressly required waivers of privilege to be made in writing. The defendants had never made such waiver, so the correspondence remained privileged.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8" w:name="Legislation Cited_17"/>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Transportation Accident Investigation and Safety Board Act, </w:t>
      </w:r>
      <w:hyperlink r:id="rId464" w:history="1">
        <w:r>
          <w:rPr>
            <w:rFonts w:ascii="arial" w:eastAsia="arial" w:hAnsi="arial" w:cs="arial"/>
            <w:i/>
            <w:color w:val="0077CC"/>
            <w:sz w:val="20"/>
            <w:u w:val="single"/>
            <w:shd w:val="clear" w:color="auto" w:fill="FFFFFF"/>
            <w:lang w:val="en-US" w:eastAsia="en-US" w:bidi="ar-SA"/>
          </w:rPr>
          <w:t>S.C. 1989, c. 3, s. 24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465" w:history="1">
        <w:r>
          <w:rPr>
            <w:rFonts w:ascii="arial" w:eastAsia="arial" w:hAnsi="arial" w:cs="arial"/>
            <w:i/>
            <w:color w:val="0077CC"/>
            <w:sz w:val="20"/>
            <w:u w:val="single"/>
            <w:shd w:val="clear" w:color="auto" w:fill="FFFFFF"/>
            <w:lang w:val="en-US" w:eastAsia="en-US" w:bidi="ar-SA"/>
          </w:rPr>
          <w:t>R.S.C. 1985, c. C-46, s. 488.1</w:t>
        </w:r>
      </w:hyperlink>
      <w:r>
        <w:rPr>
          <w:rFonts w:ascii="arial" w:eastAsia="arial" w:hAnsi="arial" w:cs="arial"/>
          <w:color w:val="000000"/>
          <w:sz w:val="20"/>
          <w:lang w:val="en-US" w:eastAsia="en-US" w:bidi="ar-SA"/>
        </w:rPr>
        <w:t>(5)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Profession Act, </w:t>
      </w:r>
      <w:hyperlink r:id="rId466" w:history="1">
        <w:r>
          <w:rPr>
            <w:rFonts w:ascii="arial" w:eastAsia="arial" w:hAnsi="arial" w:cs="arial"/>
            <w:i/>
            <w:color w:val="0077CC"/>
            <w:sz w:val="20"/>
            <w:u w:val="single"/>
            <w:shd w:val="clear" w:color="auto" w:fill="FFFFFF"/>
            <w:lang w:val="en-US" w:eastAsia="en-US" w:bidi="ar-SA"/>
          </w:rPr>
          <w:t>SBC 1998, CHAPTER 9, s. 85</w:t>
        </w:r>
      </w:hyperlink>
      <w:r>
        <w:rPr>
          <w:rFonts w:ascii="arial" w:eastAsia="arial" w:hAnsi="arial" w:cs="arial"/>
          <w:color w:val="000000"/>
          <w:sz w:val="20"/>
          <w:lang w:val="en-US" w:eastAsia="en-US" w:bidi="ar-SA"/>
        </w:rPr>
        <w:t>, s. 87(2), s. 87(3), s. 87(4)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App. C, Schedule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9" w:name="Counsel_21"/>
      <w:bookmarkEnd w:id="1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Ravi R. Hira, Q.C. and Brendan F. Morley.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James Killam, Q.C. and Janet Currie.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1"/>
      <w:bookmarkEnd w:id="150"/>
      <w:r>
        <w:pict>
          <v:line id="_x0000_s1134"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E.J. ADAIR J."/>
            <w:bookmarkEnd w:id="151"/>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plaintiff, Intergulf Investment Corporation ("Intergulf"), alleges it retained the defendants in September 2001 to act on its behalf in connection with the acquisition of the former Versatile shipyards (the "Versatile Lands"). Intergulf alleges the defendants, and specifically Mr. Gregory, were negligent, breached their contract with Intergulf and breached fiduciary duties owed to Intergulf. Intergulf contends the defendants wrongfully preferred the interests of another client over Intergulf's interests, misused confidential information and assisted another client (a competitor of Intergulf) to acquire the Versatile Lands. Intergulf claims that, as a result of the defendants' wrongful conduct, it has suffered significant loss and damage, including loss of the opportunity to acquire and develop the Versatile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deny all of the allegations. Whether Intergulf in fact retained the defendants, and, if so, the scope of the retainer, are issues in this action. A 20-day trial is scheduled to begin later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November 2001, Intergulf made a formal complaint to the Law Society of British Columbia (the "LSBC") concerning the conduct of Mr. Gregory and Thorsteinssons. Counsel on behalf of Mr. Gregory (not Mr. Killam) responded in writing (as required by LSBC Rule 3-5) in three letters, dated February 25, 2002, June 30, 2002 and April 22, 2003 (the "Gregory Letters"). In June 2003, the LSBC dismissed Intergulf's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Intergulf now seeks an order that:</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list and produce on discovery of documents all correspondence to the LSBC that was either authored by Mr. Gregory or on his behalf relating to Intergulf's complaint, i.e., the Gregory Letters; and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answer all discovery questions relating to the Gregory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the hearing, Intergulf did not pursue the other relief described in its notice of motion dated March 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 is no dispute that the Gregory Letters are relevant. However, the defendants say that Intergulf's application must be dismissed, based on s. 87(3) of the </w:t>
      </w:r>
      <w:r>
        <w:rPr>
          <w:rFonts w:ascii="arial" w:eastAsia="arial" w:hAnsi="arial" w:cs="arial"/>
          <w:b/>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That section provides: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lawyer responds to the society in respect of a complaint or investigation, neither the lawyer nor the society can be required to disclose or produce the response or a copy or summary of it and the response or a copy or summary of it is not admissible in any proceeding, except with the written consent of the lawyer, even though the executive director may have delivered a copy or a summary of the response to the complainant.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say that Mr. Gregory has never given his written consent to the use of the Gregory Letters in this action, and that, based on the plain language of s. 87(3), the Gregory Letters are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Intergulf submits that Mr. Gregory has waived any privilege that might attach to the Gregory Letters by producing them in connection with an action between Zynik Capital Corporation ("Zynik") and 588395 B.C. Ltd. (plaintiffs) and Nabih A. Faris and Intergulf (defendants) (the "Zynik Action") and by submitting to examination and cross-examination in open court in the trial of that action, during which two of the Gregory Letters were used and excerpts were read into the record. Intergulf says further that Mr. Gregory has given his written consent by specifically referring to the Gregory Letters in other correspondence, including correspondence addressed to Intergulf's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that follow, I dismiss Intergulf's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describe the factual background for the purposes of the application. I am not making findings of fact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its statement of claim, Intergulf alleges that in July 2001, Mr. Iqbal Kassam (on behalf of Zynik) and Intergulf entered into a memorandum of understanding for the purposes of acquiring the Versatile Lands from Bank of Nova Scotia ("BNS") and PriceWaterhouseCoopers ("PWC"), and developing the property. BNS had security over the Versatile Lands and had appointed PWC as receiver to realize on that security. Intergulf alleges that between July and September 2001, it carried out due diligence concerning the potential purchase, and that it submitted a bid in early September. Intergulf alleges that "on or about September 17, 2001" a representative of BNS met with representatives of Intergulf and Zynik, advised them that their bid had been successful and that BNS was prepared to enter into negotiations "hopefully" leading to a binding agreement for the Versatile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Gregory became involved on September 21, 2001, and, with respect to his and Thorsteinssons' involvement, Intergulf alleges:</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21, 2001, with the approval of Intergulf, Mr. Kassam met with Mr. Gregory and inquired as to whether Mr. Gregory would be prepared to act on behalf of Intergulf in the Transaction (the "Retainer"). Mr. Gregory accepted the Retainer.</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Gregory also contacted a commercial lawyer, Mr. Dale Wilcox, and engaged him to act for Intergulf and Zynik in relation to the commercial aspects of the Transaction.</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October 10, 2001 and October 19, 2001 Mr. Gregory met with representatives of Intergulf, the BNS and PWC in relation to the Transaction. As a result of those meetings, Mr. Gregory developed and recommended to Zynik and Intergulf, a structure for pursuing the Transaction (the "Structure"). However, in designing and recommending the Structure to Zynik and Intergulf, Mr. Gregory failed to make due and proper enquiries as to [a number of matters].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meetings and the Retainer, Mr. Gregory received various pieces of confidential information relevant to the Transaction from Intergulf, PWC and BNS.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24, 2001, as a result of a dispute between Zynik and Intergulf, Mr. Kassam met with Mr. Gregory and instructed him to stop work on the Transaction (the "Stop Work Order"). Mr. Gregory subsequently also instructed Mr. Wilcox to stop work.</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or shortly after receiving the Stop Work Order, Mr. Gregory received documents from the lawyers for BNS and PWC which were expected to form the basis of the closing documents for the Transaction. Mr. Gregory failed to review those documents or arrange for the documents to be reviewed by Mr. Wilcox.</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BNS remained anxious to dispose of the Versatile Lands and was prepared to grant Intergulf, in its own right, an extension for the closing of the Transaction to November 9, 2001.</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proposed extension, Intergulf contacted Mr. Gregory to inquire about the amount of time that would be required to complete the Transaction . . . .</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that Inquiry, Mr. Gregory advised Intergulf that 7 to 10 days were required to complete the Transaction and in reliance on that advice, Intergulf requested an extension . . . to November 16, 2001. In providing that advice, Mr. Gregory failed to review the draft documents which were intended to form the basis for closing the Transaction . . .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BNS was not prepared to extend the closing to November 16, 2001 and subsequently contacted . . . The Pinnacle Group ("Pinnacle") to discuss the Transaction.</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Pinnacle is a competitor of Intergulf . . . .</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evenings of November 2, 2002 and November 3, 2001, representatives of Pinnacle attended the offices of Thorsteinssons and met with Mr. Gregory and Mr. Steven Cook, of the firm of Thorsteinssons, together with representatives of BNS and PWC. At that meeting, an agreement was reached whereby Pinnacle would proceed with the Transaction and close on November 9, 2001.</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existence of the Retainer and their receipt of confidential information as a result of the same, Thorsteinssons accepted instructions from and subsequently acted for Pinnacle in closing the Transaction. Pinnacle acquired the Versatile Lands on substantially the same terms offered to Intergulf and Zynik on or about September 21, 2001.</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Pinnacle closing the Transaction, Intergulf lost the opportunity to acquire, develop and profit from the Versatile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these allegations, it can be seen that the action deals with a relatively brief period of time, from September 21 to November 9, 2001, when the deal with Pinnacle closed. Mr. Gregory made contemporaneous notes of a number of the discussions and meetings. These documents are still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20, 2001, Intergulf complained to the LSBC about Mr. Gregory's conduct (the "Intergulf Complaint"). On December 21, 2001, the Law Society forwarded a copy of the Intergulf Complaint to Mr. Gregory and requested his response. Mr. Gregory (through his counsel) responded in the first of the Gregory Letters, dated February 25, 2002 (the "First Gregory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Thereafter, correspondence concerning the Intergulf Complaint was circulated among Intergulf, Mr. Gregory and the LSBC. The LSBC provided Intergulf with copies of the Gregory Letters, and provided Mr. Gregory with copies of Intergulf's correspondence. The LSBC communicated its dismissal of the Intergulf Complaint on June 5, 2003. Copies of the LSBC's decisions concerning the Intergulf Complaint were provided to both Intergulf and Mr. Gregory.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July 2003, Mr. Gregory received a request for his file from Mr. Howard Shapray, Q.C., who had been retained to act on behalf of Mr. Kassam and Zynik in connection with possible litigation against Intergulf. Mr. Shapray's letter dated July 8, 2003 has the reference "Re: Intergulf Investment Corporation complaint." Mr. Gregory arranged to send some material to Mr. Shapray. There is a dispute about what in fact Mr. Gregory sent. Intergulf's counsel, Mr. Hira, submits that the only reasonable inference is that the material included copies of the Gregory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August 22, 2003, Mr. Shapray wrote to Mr. Gregory, and said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reviewing the correspondence regarding the Law Society complaint, I decided that it may not be prudent for me to read your working file as it likely contains information obtained from Intergulf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than risk the prospect of dealing with an allegation that I have, as counsel for Mr. Kassam, been "contaminated" by access to allegedly privileged documents or other information, I have decided to return your file to you, uncopied and unread.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taken copies of </w:t>
      </w:r>
      <w:r>
        <w:rPr>
          <w:rFonts w:ascii="arial" w:eastAsia="arial" w:hAnsi="arial" w:cs="arial"/>
          <w:color w:val="000000"/>
          <w:sz w:val="20"/>
          <w:u w:val="single"/>
          <w:lang w:val="en-US" w:eastAsia="en-US" w:bidi="ar-SA"/>
        </w:rPr>
        <w:t>the Law Society correspondence because that is clearly not privileged communication</w:t>
      </w:r>
      <w:r>
        <w:rPr>
          <w:rFonts w:ascii="arial" w:eastAsia="arial" w:hAnsi="arial" w:cs="arial"/>
          <w:color w:val="000000"/>
          <w:sz w:val="20"/>
          <w:lang w:val="en-US" w:eastAsia="en-US" w:bidi="ar-SA"/>
        </w:rPr>
        <w:t xml:space="preserve">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January 2004, Zynik commenced an action against Intergulf and its principal, Mr. Faris, in relation to the events in the fall of 2001. On July 15, 2004, and in connection with that action, counsel for Intergulf requested Mr. Gregory's file, stating that Mr. Gregory had acted for Intergulf and Zynik. In a letter dated July 27, 2004 sent in response, Mr. Gregory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With respect to your comment that we acted for Intergulf and Zynik our position on that point is set out in our correspondence to the Law Society of British Columbia, copies of which were provided by the Law Society to Intergulf.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Zynik's original action was dismissed by Mr. Justice Pitfield on July 30, 2004. The Zynik Action was then filed on August 4, 2004. Mr. Shapray was again counsel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During discovery of documents in the Zynik Action, Intergulf listed its own correspondence with and correspondence from the LSBC concerning the Intergulf Complaint under Part 1 of its list of documents. The Gregory Letters were also produced. No objection was taken by anyone to production of any of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September 2006, Mr. Shapray wrote to Mr. Gregory seeking his opinion concerning certain matters in the form of an expert's report for the trial of the Zynik Action. In his letter, Mr. Shapray directed Mr. Gregory to the Intergulf Complaint and the First Gregory Letter. Mr. Gregory was asked to confirm the accuracy of his letter for the purpose of his opinion. Copies of both letters were attached as part of the instruction package. Mr. Gregory's draft opinion is dated October 2, 2006, and contains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Confirmation of Voicemail Exchange October 30,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that the description of the events in paragraph 16 of Mr. Storrow's letter to the Law Society of British Columbia dated February 25, 2002 accurately states my recollection of those events. The description is also supported by the contemporaneous notes from my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final opinion letter dated October 3, 2006, the "Confirmation" and the reference to the First Gregory Letter have been removed. Although the opinion letter was served pursuant to Rule 40A, ultimately, Mr. Gregory did not testify as an expert witness at the Zynik Action trial. Rather, he was a fact witness. Given the issues in the Zynik Action, there could have been little doubt that Mr. Gregory would be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Under cover of a letter dated October 5, 2006, Mr. Shapray's colleague Mr. Fitterman sent Mr. Gregory ("as a formality") a subpoena requiring his attendance at the Zynik Action trial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also be in contact with you for the purpose of arranging a convenient time to review your evidence and to prepare you for the trial process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you are entitled to be compensated for the time you spend preparing for the trial, based on your professional rates. The Plaintiffs undertake to pay that expense. In addition, we also tender with the enclosed Subpoena a requisite witness fee for your attendance at trial and a meal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its written and oral submissions, Intergulf implied that there was something sinister about Mr. Gregory being compensated for his preparation and time as a witness, as described in Mr. Fitterman's letter. Intergulf argued that this was one of several examples where Mr. Gregory preferred his own interests over Intergulf's, and an instance where Mr. Gregory was quite prepared to use the Gregory Letters to assist him giving evidence against Intergulf at the Zynik Action trial, while he is now seeking to prevent Intergulf from being able to use the Gregory Letters in this action. However, Mr. Gregory was entitled to a fee for preparation, in addition to the other fees payable to a witness: see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App. C, Schedule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receiving Mr. Gregory's expert report, counsel for Mr. Faris (co-incidentally, Mr. Hira) sought to interview Mr. Gregory prior to trial. Mr. Gregory preferred to answer written questions. Accordingly, in a letter dated November 2, 2006, counsel for Mr. Faris put a series of questions to Mr. Gregory. One of these questions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we previously reviewed the letters dated February 25, 2002, June 30, 2002 and April 22, 2003 forwarded by Mr. Storrow, Q.C. to the Law Society of British Columbia, which confirms that it [sic] was written on your instructions. Rather than asking you to reconfirm all of the matters contained in those letters, we would appreciate your confirming, in writing, that you adopt the statements contained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 letter dated November 8, 2006, Mr. Gregory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that the statements made in the letters dated February 25, 2002, July 30, 2002 and April 22, 2003 sent by Mr. Storrow to the Law Society of B.C. are an accurate statement of my recollection of the events described in the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Copies of all of the Intergulf Complaint and Intergulf's related correspondence to the LSBC, the Gregory Letters and the LSBC's reports concerning the Intergulf Complaint were entered as part of Exhibit 1 on the opening day of the trial of the Zynik Action. No one (including the trial judge) mentioned any of the provisions of s. 87 of the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There was no written consent from the LSBC's executive director to the use of the LSBC's reports. There was also no written consent from Mr. Gregory to the use of the Gregory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Gregory was called as a witness in the plaintiffs' case in the Zynik Action, and he testified on January 31, February 1, 2, and 5, 2007. During Mr. Gregory's evidence-in-chief, Mr. Shapray referred Mr. Gregory to Intergulf's correspondence to the LSBC and to the First Gregory Letter. Mr. Gregory was also cross-examined on two of the Gregory Letters, and was cross-examined at some length on the First Gregory Letter. Again, no one, including Mr. Gregory and the trial judge, queried in any way the admissibility of the documents or raised the matter of s. 87 of the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and its requirement for written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Ultimately, the Zynik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two places in the reasons for judgment (indexed at </w:t>
      </w:r>
      <w:hyperlink r:id="rId467" w:history="1">
        <w:r>
          <w:rPr>
            <w:rFonts w:ascii="arial" w:eastAsia="arial" w:hAnsi="arial" w:cs="arial"/>
            <w:i/>
            <w:color w:val="0077CC"/>
            <w:sz w:val="20"/>
            <w:u w:val="single"/>
            <w:shd w:val="clear" w:color="auto" w:fill="FFFFFF"/>
            <w:lang w:val="en-US" w:eastAsia="en-US" w:bidi="ar-SA"/>
          </w:rPr>
          <w:t>2007 BCSC 527</w:t>
        </w:r>
      </w:hyperlink>
      <w:r>
        <w:rPr>
          <w:rFonts w:ascii="arial" w:eastAsia="arial" w:hAnsi="arial" w:cs="arial"/>
          <w:color w:val="000000"/>
          <w:sz w:val="20"/>
          <w:lang w:val="en-US" w:eastAsia="en-US" w:bidi="ar-SA"/>
        </w:rPr>
        <w:t>), the trial judge made passing reference to at least one of the Gregory Letters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In contrast, Mr. Gregory was assisted in his recollections by his notes and memos he prepared at the time of, or in close proximity to, the events in question. </w:t>
      </w:r>
      <w:r>
        <w:rPr>
          <w:rFonts w:ascii="arial" w:eastAsia="arial" w:hAnsi="arial" w:cs="arial"/>
          <w:color w:val="000000"/>
          <w:sz w:val="20"/>
          <w:u w:val="single"/>
          <w:lang w:val="en-US" w:eastAsia="en-US" w:bidi="ar-SA"/>
        </w:rPr>
        <w:t>He also had the advantage of crystallizing his recollections in the months following the events because he was required to defend himself in connection with a complaint made by Intergulf to the Law Society</w:t>
      </w:r>
      <w:r>
        <w:rPr>
          <w:rFonts w:ascii="arial" w:eastAsia="arial" w:hAnsi="arial" w:cs="arial"/>
          <w:color w:val="000000"/>
          <w:sz w:val="20"/>
          <w:lang w:val="en-US" w:eastAsia="en-US" w:bidi="ar-SA"/>
        </w:rPr>
        <w:t xml:space="preserv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[120] Mr. Gregory made notes at the October 19 meetings . . . . </w:t>
      </w:r>
      <w:r>
        <w:rPr>
          <w:rFonts w:ascii="arial" w:eastAsia="arial" w:hAnsi="arial" w:cs="arial"/>
          <w:color w:val="000000"/>
          <w:sz w:val="20"/>
          <w:u w:val="single"/>
          <w:lang w:val="en-US" w:eastAsia="en-US" w:bidi="ar-SA"/>
        </w:rPr>
        <w:t>In a letter sent by Mr. Gregory's legal counsel to the Law Society in response to Intergulf's complaint, which Mr. Gregory testified was drafted in its substantive aspects by him and reflected his recollection of the events</w:t>
      </w:r>
      <w:r>
        <w:rPr>
          <w:rFonts w:ascii="arial" w:eastAsia="arial" w:hAnsi="arial" w:cs="arial"/>
          <w:color w:val="000000"/>
          <w:sz w:val="20"/>
          <w:lang w:val="en-US" w:eastAsia="en-US" w:bidi="ar-SA"/>
        </w:rPr>
        <w:t>, it was stated that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18, 19, and 20, 2010, Mr. Gregory was examined for discovery in this action. His counsel objected to, and Mr. Gregory refused to answer, questions regarding the Gregory Letters. Mr. Steven Cook (as a representative of Thorsteinssons) was examined for discovery on January 26, 2010. He likewise refused to answer questions regarding the Gregory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an affidavit sworn in opposition to Intergulf's motion, Mr. Gregory says that, both before and throughout the course of the Zynik Action, he was unaware of the provisions of s. 85 and s. 87 of the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He says that none of the litigation counsel involved in the Zynik Action drew those provisions to his attention, and counsel for the parties in the Zynik Action treated correspondence to and from the LSBC concerning the Intergulf Complaint as though it was not privileged. Mr. Gregory says further that it was never suggested to him that there were any statutory restrictions on the right of Intergulf or others to produce or refer to the Gregory Letters in the Zynik Action, without obtaining his written consent. He says that his consent to the production or use of the Gregory Letters in the Zynik Action was never requested, and that he never gave consent. He says that he has not consented, either in writing or otherwise, and does not consent to the production or use of the Gregory Letters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 (which has the heading "Certain matters privileged") provides: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 does not include a proceeding under Part 2, 3 or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 includes any document, minute, note, correspondence or memorandum created or received by a person, committee, panel or agent of the society in the course of an investigation, audit, inquiry or hearing, but does not include an original document that belongs to a complainant or respondent or to a person other than an employee or agent of the society.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has made a complaint to the society respecting a lawyer, neither the society nor the complainant can be required to disclose or produce the complaint and the complaint is not admissible in any proceeding, except with the written consent of the complainant.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lawyer responds to the society in respect of a complaint or investigation, neither the lawyer nor the society can be required to disclose or produce the response or a copy or summary of it and the response or a copy or summary of it is not admissible in any proceeding, except with the written consent of the lawyer, even though the executive director may have delivered a copy or a summary of the response to the complainant.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committee or panel acting under the authority of this Act makes a report or conducts an investigation, audit, inquiry or hearing into the conduct, competence or credentials of a lawyer, that report must not be required to be produced and is not admissible in any proceeding except with the written consent of the executive director.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society, its employees or agents, or persons who are members of committees or panels established or authorized under this Act must not be compelled to testify in any proceeding or to disclose information that they may have acquired during the course of an investigation, audit, inquiry, hearing or the performance of other duties authorized by this Act or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legislative policy behind provisions such as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 favours openness and candour in the professional regulatory context, over the unfettered use of evidence in civil proceedings. The legislation promotes the full disclosure necessary to the proper investigation and resolution of complaints, by protecting the parties involved in the complaints process (including the executive director of the LSBC) against the prospect that what is communicated during the process will be used against them in other proceedings without their consent. In commenting on a similar provision in legislation dealing with complaints against medical professionals, Mr. Justice Laskin said in </w:t>
      </w:r>
      <w:r>
        <w:rPr>
          <w:rFonts w:ascii="arial" w:eastAsia="arial" w:hAnsi="arial" w:cs="arial"/>
          <w:b/>
          <w:i/>
          <w:color w:val="000000"/>
          <w:sz w:val="20"/>
          <w:lang w:val="en-US" w:eastAsia="en-US" w:bidi="ar-SA"/>
        </w:rPr>
        <w:t>Forget v. Sutherland</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(2000), 188 D.L.R. (4th) 296</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Sutherland</w:t>
      </w:r>
      <w:r>
        <w:rPr>
          <w:rFonts w:ascii="arial" w:eastAsia="arial" w:hAnsi="arial" w:cs="arial"/>
          <w:color w:val="000000"/>
          <w:sz w:val="20"/>
          <w:lang w:val="en-US" w:eastAsia="en-US" w:bidi="ar-SA"/>
        </w:rPr>
        <w:t>"),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purpose of s. 36(3) [of the Ontario </w:t>
      </w:r>
      <w:r>
        <w:rPr>
          <w:rFonts w:ascii="arial" w:eastAsia="arial" w:hAnsi="arial" w:cs="arial"/>
          <w:i/>
          <w:color w:val="000000"/>
          <w:sz w:val="20"/>
          <w:lang w:val="en-US" w:eastAsia="en-US" w:bidi="ar-SA"/>
        </w:rPr>
        <w:t>Regulated Health Professions Act</w:t>
      </w:r>
      <w:r>
        <w:rPr>
          <w:rFonts w:ascii="arial" w:eastAsia="arial" w:hAnsi="arial" w:cs="arial"/>
          <w:color w:val="000000"/>
          <w:sz w:val="20"/>
          <w:lang w:val="en-US" w:eastAsia="en-US" w:bidi="ar-SA"/>
        </w:rPr>
        <w:t>] is to encourage the reporting of complaints of professional misconduct against members of a health profession, and to ensure that those complaints are fully investigated and fairly decided without any participant in the proceedings . . . fearing that a document prepared for College proceedings can be used in a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Intergulf argues that s. 87(3) "purports" to make privileged communications that would not otherwise be privileged. Intergulf says that the section does not create an absolute bar to the use or admissibility of letters to and from the LSBC, and that, as with any privileged communication, the privilege can be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Intergulf submits that Mr. Gregory was quite prepared to use the Gregory Letters for his own ends (including to assist the Zynik plaintiffs) leading up to and during the trial of the Zynik Action. Intergulf submits that clearly Mr. Gregory relied on the Gregory Letters to give his evidence-in-chief during the trial, and to refresh his memory on events. Intergulf argues that, since Mr. Gregory relied on the Gregory Letters to respond to questions prior to the trial and draft an expert report, and since he then testified in open court regarding the Gregory Letters without claiming privilege, the principles of consistency and fairness dictate that any privilege attached to those documents has been waived by him. Moreover, in Intergulf's submission, the use made of the Gregory Letters (including marking them formally as exhibits) during the Zynik Action trial, and the reference to them in the reasons for judgment require their disclosure and production in this action, in the interests of fairness and justice. Intergulf says that, in the Zynik Action, Mr. Gregory was quite prepared to use the Gregory Letters against Intergulf, and that his reversal and claim of privilege now, when Intergulf wishes to use the documents against him, demonstrates the inconsistency and unfairness in Mr. Gregory's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support of its position that privilege can be waived either voluntarily or by implication, and that, based on fairness and consistency, Mr. Gregory must be taken to have waived privilege over the Gregory Letters, Intergulf cites Sopinka, Lederman, Bryant, </w:t>
      </w:r>
      <w:r>
        <w:rPr>
          <w:rFonts w:ascii="arial" w:eastAsia="arial" w:hAnsi="arial" w:cs="arial"/>
          <w:b/>
          <w:i/>
          <w:color w:val="000000"/>
          <w:sz w:val="20"/>
          <w:lang w:val="en-US" w:eastAsia="en-US" w:bidi="ar-SA"/>
        </w:rPr>
        <w:t>The Law of Evidence in Canada</w:t>
      </w:r>
      <w:r>
        <w:rPr>
          <w:rFonts w:ascii="arial" w:eastAsia="arial" w:hAnsi="arial" w:cs="arial"/>
          <w:color w:val="000000"/>
          <w:sz w:val="20"/>
          <w:lang w:val="en-US" w:eastAsia="en-US" w:bidi="ar-SA"/>
        </w:rPr>
        <w:t>, 3d. ed. (LexisNexis Canada Inc., 2009), at p. 957: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once thought that certain requirements should be established in order for waiver of the privilege to be established; for example, the holder of the privilege must possess knowledge of the existence of the privilege which he or she is forgoing, have a clear intention of waiving the exercise of his or her right to privilege, and a complete awareness of the result. But as will be pointed out, other considerations unique to the adversarial system, such as fairness to the opposite party and consistency of positions, have overtaken these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Specifically regarding waiver by implication, Intergulf cites </w:t>
      </w:r>
      <w:r>
        <w:rPr>
          <w:rFonts w:ascii="arial" w:eastAsia="arial" w:hAnsi="arial" w:cs="arial"/>
          <w:b/>
          <w:i/>
          <w:color w:val="000000"/>
          <w:sz w:val="20"/>
          <w:lang w:val="en-US" w:eastAsia="en-US" w:bidi="ar-SA"/>
        </w:rPr>
        <w:t>Wigmore on Evidence</w:t>
      </w:r>
      <w:r>
        <w:rPr>
          <w:rFonts w:ascii="arial" w:eastAsia="arial" w:hAnsi="arial" w:cs="arial"/>
          <w:color w:val="000000"/>
          <w:sz w:val="20"/>
          <w:lang w:val="en-US" w:eastAsia="en-US" w:bidi="ar-SA"/>
        </w:rPr>
        <w:t>, McNaughton revision, vol. 8, s. 2327 at pp. 635-36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constitutes a waiver by implication? Judicial decision gives no clear answer to this question. In deciding it, </w:t>
      </w:r>
      <w:r>
        <w:rPr>
          <w:rFonts w:ascii="arial" w:eastAsia="arial" w:hAnsi="arial" w:cs="arial"/>
          <w:color w:val="000000"/>
          <w:sz w:val="20"/>
          <w:u w:val="single"/>
          <w:lang w:val="en-US" w:eastAsia="en-US" w:bidi="ar-SA"/>
        </w:rPr>
        <w:t>regard must be had to the double elements that are predicated in every waiver, ie, not only the element of implied intention but also the element of fairness and consistency. A privileged person would seldom be found to waive if his intention not to abandon could alone control the situation.</w:t>
      </w:r>
      <w:r>
        <w:rPr>
          <w:rFonts w:ascii="arial" w:eastAsia="arial" w:hAnsi="arial" w:cs="arial"/>
          <w:color w:val="000000"/>
          <w:sz w:val="20"/>
          <w:lang w:val="en-US" w:eastAsia="en-US" w:bidi="ar-SA"/>
        </w:rPr>
        <w:t xml:space="preserve"> There is always also the objective consideration that when his conduct touches a certain point of disclosure, fairness requires that his privilege shall cease whether he intended that result or not. He cannot be allowed, after disclosing as much as he pleases, to withhold the remainder. He may elect to withhold or disclose, but after a certain point, his election must remain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Intergulf also cites one of the leading cases on waiver of privilege, </w:t>
      </w:r>
      <w:r>
        <w:rPr>
          <w:rFonts w:ascii="arial" w:eastAsia="arial" w:hAnsi="arial" w:cs="arial"/>
          <w:b/>
          <w:i/>
          <w:color w:val="000000"/>
          <w:sz w:val="20"/>
          <w:lang w:val="en-US" w:eastAsia="en-US" w:bidi="ar-SA"/>
        </w:rPr>
        <w:t>S &amp; K Processors Ltd. v. Campbell Ave. Herring Producers Ltd.</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[1983] 4 W.W.R. 762</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35 C.P.C. 146</w:t>
        </w:r>
      </w:hyperlink>
      <w:r>
        <w:rPr>
          <w:rFonts w:ascii="arial" w:eastAsia="arial" w:hAnsi="arial" w:cs="arial"/>
          <w:color w:val="000000"/>
          <w:sz w:val="20"/>
          <w:lang w:val="en-US" w:eastAsia="en-US" w:bidi="ar-SA"/>
        </w:rPr>
        <w:t xml:space="preserve"> (B.C.S.C.), where Madam Justice McLachlin (as she then was) wrote, at p. 764: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of privilege is ordinarily established where it is shown that the possessor of the privilege: (1) knows of the existence of the privilege; and (2) voluntarily evinces an intention to waive that privilege. However, waiver may also occur in the absence of an intention to waive, where fairness and consistency so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argument, counsel for Intergulf challenged Mr. Gregory's affidavit evidence that he was unaware of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and submitted that, given Mr. Gregory's experience and years at the bar, and that he had a life bencher representing him in responding to the Intergulf Complaint, I should give very little weight to Mr. Gregory's evidence. Essentially, the inference Intergulf asks me to draw is that, in all of the circumstances, Mr. Gregory must have fully intended the Gregory Letters to be admissible in any proceeding, and should not be allowed to reverse course - and shield behind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 now that he is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However, in my view, the weight of the evidence on this application supports the conclusion that, leading up to and during the trial of the Zynik Action, </w:t>
      </w:r>
      <w:r>
        <w:rPr>
          <w:rFonts w:ascii="arial" w:eastAsia="arial" w:hAnsi="arial" w:cs="arial"/>
          <w:color w:val="000000"/>
          <w:sz w:val="20"/>
          <w:u w:val="single"/>
          <w:lang w:val="en-US" w:eastAsia="en-US" w:bidi="ar-SA"/>
        </w:rPr>
        <w:t>no one</w:t>
      </w:r>
      <w:r>
        <w:rPr>
          <w:rFonts w:ascii="arial" w:eastAsia="arial" w:hAnsi="arial" w:cs="arial"/>
          <w:color w:val="000000"/>
          <w:sz w:val="20"/>
          <w:lang w:val="en-US" w:eastAsia="en-US" w:bidi="ar-SA"/>
        </w:rPr>
        <w:t xml:space="preserve"> was alive to the issue created by the plain words of s. 87, and I find Mr. Gregory's evidence concerning his knowledge (or, more particularly, his lack of knowledge)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Gregory is a tax solicitor. He was not a party in the Zynik Action, but merely someone with information about what happened and a witness. The lawyers appearing as counsel for the parties in the Zynik Action were senior members of the bar and, more importantly, highly experienced litigation counsel, no doubt much more familiar with the rules of evidence (including admissibility and privilege) than a non-litigator such as Mr. Gregory. I cannot and do not accept that any of the counsel in the Zynik Action would deliberately and knowingly have relied on or put documents in evidence at trial if any was aware of a live issue concerning the documents' admissibility, either on the basis of privilege or otherwise. In fact, Mr. Shapray states in his August 22, 2003 letter to Mr. Gregory that the LSBC correspondence was "clearly not privileged communication." There is no hint that any of the litigation counsel in the Zynik Action was aware there was (or even might be) any issue concerning the admissibility of the Gregory Letters and other LSBC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privilege and admissibility issue created by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 extended beyond the Gregory Letters to the reports of the LSBC, and there is no dispute that, in connection with the Zynik Action, there was no written consent from the executive director of the LSBC. If anyone had been aware that the documents were privileged or potentially privileged, it would have been improper for counsel to use the documents without proper </w:t>
      </w:r>
      <w:r>
        <w:rPr>
          <w:rFonts w:ascii="arial" w:eastAsia="arial" w:hAnsi="arial" w:cs="arial"/>
          <w:color w:val="000000"/>
          <w:sz w:val="20"/>
          <w:u w:val="single"/>
          <w:lang w:val="en-US" w:eastAsia="en-US" w:bidi="ar-SA"/>
        </w:rPr>
        <w:t>evidence</w:t>
      </w:r>
      <w:r>
        <w:rPr>
          <w:rFonts w:ascii="arial" w:eastAsia="arial" w:hAnsi="arial" w:cs="arial"/>
          <w:color w:val="000000"/>
          <w:sz w:val="20"/>
          <w:lang w:val="en-US" w:eastAsia="en-US" w:bidi="ar-SA"/>
        </w:rPr>
        <w:t xml:space="preserve"> of waiver, of which there was none: see </w:t>
      </w:r>
      <w:r>
        <w:rPr>
          <w:rFonts w:ascii="arial" w:eastAsia="arial" w:hAnsi="arial" w:cs="arial"/>
          <w:b/>
          <w:i/>
          <w:color w:val="000000"/>
          <w:sz w:val="20"/>
          <w:lang w:val="en-US" w:eastAsia="en-US" w:bidi="ar-SA"/>
        </w:rPr>
        <w:t>Bell v. Smith</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[1968] S.C.R. 664</w:t>
        </w:r>
      </w:hyperlink>
      <w:r>
        <w:rPr>
          <w:rFonts w:ascii="arial" w:eastAsia="arial" w:hAnsi="arial" w:cs="arial"/>
          <w:color w:val="000000"/>
          <w:sz w:val="20"/>
          <w:lang w:val="en-US" w:eastAsia="en-US" w:bidi="ar-SA"/>
        </w:rPr>
        <w:t>, at p. 671. I have no basis to conclude that Mr. Gregory was or should have been aware of an issue, when senior litigation counsel, who had an obligation to the trial judge in the Zynik Action,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my view, the only reasonable inference to be drawn is that, during the Zynik Action and trial, no one realized there was any problem with the way the Gregory Letters were being used, and all were unaware of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 I accept Mr. Gregory's evidence that he was unaware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of course accept the basic propositions set out in the authorities cited by Intergulf. However, in my opinion, the concept of waiver by implication is inconsistent with the express requirement in s. 87(2), (3) and (4) of </w:t>
      </w:r>
      <w:r>
        <w:rPr>
          <w:rFonts w:ascii="arial" w:eastAsia="arial" w:hAnsi="arial" w:cs="arial"/>
          <w:color w:val="000000"/>
          <w:sz w:val="20"/>
          <w:u w:val="single"/>
          <w:lang w:val="en-US" w:eastAsia="en-US" w:bidi="ar-SA"/>
        </w:rPr>
        <w:t>written</w:t>
      </w:r>
      <w:r>
        <w:rPr>
          <w:rFonts w:ascii="arial" w:eastAsia="arial" w:hAnsi="arial" w:cs="arial"/>
          <w:color w:val="000000"/>
          <w:sz w:val="20"/>
          <w:lang w:val="en-US" w:eastAsia="en-US" w:bidi="ar-SA"/>
        </w:rPr>
        <w:t xml:space="preserve"> consent before the documents will be admissible. The effect of this statutory requirement is to give to the holder of the privilege - and that person alone - control over the situation. It ensures that the consent will be express and unequivocal, and eliminates the need for any debate over whether "by implication" or conduct, the privilege has been waived. Under s. 87(3), with the lawyer's written consent, the privilege is waived and the documents are admissible; without it, they are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An example of a statutory provision whereby privilege can be waived either by consent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through other means is found in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s. 488.1(5) (addressing solicitor-client privilege), which provides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judge determines pursuant to paragraph (4)(d) that a solicitor-client privilege exists in respect of a document, whether or not the judge has, pursuant to paragraph (4)(b), allowed the Attorney General to inspect the document, the document remains privileged and inadmissible as evidence </w:t>
      </w:r>
      <w:r>
        <w:rPr>
          <w:rFonts w:ascii="arial" w:eastAsia="arial" w:hAnsi="arial" w:cs="arial"/>
          <w:color w:val="000000"/>
          <w:sz w:val="20"/>
          <w:u w:val="single"/>
          <w:lang w:val="en-US" w:eastAsia="en-US" w:bidi="ar-SA"/>
        </w:rPr>
        <w:t>unless the client consents to its admission in evidence or the privilege is otherwise lost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am not prepared to read the words "or the privilege is otherwise lost" into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nor can I see any justification for doing so. The court must respect the balance chosen by the legislature as reflected in the words in which that choice has been expressed in the provision itself: see </w:t>
      </w:r>
      <w:r>
        <w:rPr>
          <w:rFonts w:ascii="arial" w:eastAsia="arial" w:hAnsi="arial" w:cs="arial"/>
          <w:b/>
          <w:i/>
          <w:color w:val="000000"/>
          <w:sz w:val="20"/>
          <w:lang w:val="en-US" w:eastAsia="en-US" w:bidi="ar-SA"/>
        </w:rPr>
        <w:t>Gustar v. Wadden</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(1992), 74 B.C.L.R. (2d) 184</w:t>
        </w:r>
      </w:hyperlink>
      <w:r>
        <w:rPr>
          <w:rFonts w:ascii="arial" w:eastAsia="arial" w:hAnsi="arial" w:cs="arial"/>
          <w:color w:val="000000"/>
          <w:sz w:val="20"/>
          <w:lang w:val="en-US" w:eastAsia="en-US" w:bidi="ar-SA"/>
        </w:rPr>
        <w:t xml:space="preserve"> (C.A.), at para. 14 and </w:t>
      </w:r>
      <w:r>
        <w:rPr>
          <w:rFonts w:ascii="arial" w:eastAsia="arial" w:hAnsi="arial" w:cs="arial"/>
          <w:b/>
          <w:i/>
          <w:color w:val="000000"/>
          <w:sz w:val="20"/>
          <w:lang w:val="en-US" w:eastAsia="en-US" w:bidi="ar-SA"/>
        </w:rPr>
        <w:t>Sutherland</w:t>
      </w:r>
      <w:r>
        <w:rPr>
          <w:rFonts w:ascii="arial" w:eastAsia="arial" w:hAnsi="arial" w:cs="arial"/>
          <w:color w:val="000000"/>
          <w:sz w:val="20"/>
          <w:lang w:val="en-US" w:eastAsia="en-US" w:bidi="ar-SA"/>
        </w:rPr>
        <w:t>, at paras. 28-29, 31 and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Intergulf also relies heavily on </w:t>
      </w:r>
      <w:r>
        <w:rPr>
          <w:rFonts w:ascii="arial" w:eastAsia="arial" w:hAnsi="arial" w:cs="arial"/>
          <w:b/>
          <w:i/>
          <w:color w:val="000000"/>
          <w:sz w:val="20"/>
          <w:lang w:val="en-US" w:eastAsia="en-US" w:bidi="ar-SA"/>
        </w:rPr>
        <w:t>Hayes Heli-Log Services Ltd. v. Acro Aerospace Inc.</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2006 BCCA 419</w:t>
        </w:r>
      </w:hyperlink>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56 B.C.L.R. (4th) 305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in support of its argument that, by his conduct, Mr. Gregory has waived the statutory privilege created by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despite the absence of written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the court considered the statutory privilege attached to representations made to the Canadian Transportation Accident Investigation and Safety Board ("CTSB"). The majority of the court concluded that, by communicating the representations to third parties, Sikorsky Aircraft Corporation, the maker of the representations, took the representations outside the ambit of the statutory privilege and was required to disclose them. The specific statutory provision before the court in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was s. 24 of the </w:t>
      </w:r>
      <w:r>
        <w:rPr>
          <w:rFonts w:ascii="arial" w:eastAsia="arial" w:hAnsi="arial" w:cs="arial"/>
          <w:b/>
          <w:i/>
          <w:color w:val="000000"/>
          <w:sz w:val="20"/>
          <w:lang w:val="en-US" w:eastAsia="en-US" w:bidi="ar-SA"/>
        </w:rPr>
        <w:t>Canadian Transportation Accident Investigation and Safety Board Act</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S.C. 1989, c. 3</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CTAISBA</w:t>
      </w:r>
      <w:r>
        <w:rPr>
          <w:rFonts w:ascii="arial" w:eastAsia="arial" w:hAnsi="arial" w:cs="arial"/>
          <w:color w:val="000000"/>
          <w:sz w:val="20"/>
          <w:lang w:val="en-US" w:eastAsia="en-US" w:bidi="ar-SA"/>
        </w:rPr>
        <w:t>"), which reads in relevant part as follows:</w:t>
      </w:r>
      <w:r>
        <w:rPr>
          <w:rFonts w:ascii="arial" w:eastAsia="arial" w:hAnsi="arial" w:cs="arial"/>
          <w:sz w:val="20"/>
          <w:lang w:val="en-US" w:eastAsia="en-US" w:bidi="ar-SA"/>
        </w:rPr>
        <w:cr/>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On completion of any investigation, the Board shall prepare and make available to the public a report on its findings, including any safety deficiencies that it has identified and any recommendations that it considers appropriate in the interests of transportation safety.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making public a report under subsection (1), the Board shall, on a confidential basis, send a copy of the draft report on its findings and any safety deficiencies that it has identified to each Minister and any other person who, in the opinion of the Board, has a direct interest in the findings of the Board, and shall give that Minister or other person a reasonable opportunity to make representations to the Board with respect to the draft report before the final report is prepared.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communicate or use the draft report, or permit its communication or use, for any purpose, other than the taking of remedial measures, not strictly necessary to the study of, and preparation of representations concerning, the draft report.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shall</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representations made pursuant to subsection (2) in any manner the Board considers appropriate;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 a record of those representations;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those representations before preparing its final report;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notify in writing each of the persons who made those representations, indicating how the Board has disposed of that person's representations.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is privileged, except for one made by a minister responsible for a department having a direct interest in the findings of the Board. Subject to other provisions of this Act or to a written authorization from the author of a representation, no person, including any person to whom access is provided under this section, shall knowingly communicate it or permit it to be communicated to any person.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may use representations as it considers necessary in the interests of transportation safety.</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requested to do so by a coroner conducting an investigation into any circumstances in respect of which representations were made to the Board, the Board shall make them available to the coroner.</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for use by a coroner for the purpose of an investigation, no person shall use representations in any legal, disciplinary or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Sikorsky sent a copy of its representations to the CTSB concerning a crash to the United States Federal Aviation Administration ("FAA") and to the United States National Transportation Safety Board ("NTSB"). The letter accompanying delivery of the representations to the FAA made no request for confidentiality. The letter to the NTSB was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Justice Donald (with whom Madam Justice Kirkpatrick agreed) concluded that the copies of the representations sent to the FAA and NTSB were not subject to the statutory privilege, and allowed the appeal. Having reached that conclusion, it was unnecessary to deal with implied waiver. Mr. Justice Donald (at para. 16) accepted the appellants' arguments to the effect that: (a) on a purposive reading, s. 24 was not intended to protect voluntary disclosures by the representor to persons other than the CTSB; and (b) s. 24(4.4) is not an absolute bar to admissibility. Mr. Justice Donald said,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 . It seems that Sikorsky's purpose in sending [the representations] to the FAA and NTSB was to bring them up to date on an event involving one of its helicopters. Had Sikorsky conveyed the same information in a different way, no serious argument could be made that that communication would be privileged under section 24. So the question comes down to the way the information was packaged which, in my opinion, provides no persuasive ground for protection. A literal interpretation of subsection 24(4.4) is asserted in aid of an argument of form over substance and I must therefore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Intergulf submits that here, an interpretation of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that would exclude the Gregory Letters from evidence in this action would create an absurdity, especially since the letters were in evidence before the trial judge, and testimony was given about them in open court, in the Zynik Action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However, in my view, based on the court's analysis in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an essential element of the privilege under. s. 24 of the </w:t>
      </w:r>
      <w:r>
        <w:rPr>
          <w:rFonts w:ascii="arial" w:eastAsia="arial" w:hAnsi="arial" w:cs="arial"/>
          <w:b/>
          <w:i/>
          <w:color w:val="000000"/>
          <w:sz w:val="20"/>
          <w:lang w:val="en-US" w:eastAsia="en-US" w:bidi="ar-SA"/>
        </w:rPr>
        <w:t>CTAISBA</w:t>
      </w:r>
      <w:r>
        <w:rPr>
          <w:rFonts w:ascii="arial" w:eastAsia="arial" w:hAnsi="arial" w:cs="arial"/>
          <w:color w:val="000000"/>
          <w:sz w:val="20"/>
          <w:lang w:val="en-US" w:eastAsia="en-US" w:bidi="ar-SA"/>
        </w:rPr>
        <w:t xml:space="preserve"> is confidentiality. The maker of the representations is entitled to have them protected and to assert they are privileged, provided it keeps the representations confidential. A failure to preserve the confidentiality of the representations (as Sikorsky failed to do) results in the loss of the privilege. The same principle applies to solicitor-client privilege. A failure by the client to keep the communications confidential usually results in the loss of the privilege. Further, as the passage from Wigmore quoted above illustrates, if the client discloses some of the confidential, privileged communications, the client runs the risk that everything will have to be disclosed, on the grounds of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my view, the privilege under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 is not a confidentiality-based privilege, and a failure to keep material confidential does not result in loss of the </w:t>
      </w:r>
      <w:r>
        <w:rPr>
          <w:rFonts w:ascii="arial" w:eastAsia="arial" w:hAnsi="arial" w:cs="arial"/>
          <w:color w:val="000000"/>
          <w:sz w:val="20"/>
          <w:u w:val="single"/>
          <w:lang w:val="en-US" w:eastAsia="en-US" w:bidi="ar-SA"/>
        </w:rPr>
        <w:t>statutory</w:t>
      </w:r>
      <w:r>
        <w:rPr>
          <w:rFonts w:ascii="arial" w:eastAsia="arial" w:hAnsi="arial" w:cs="arial"/>
          <w:color w:val="000000"/>
          <w:sz w:val="20"/>
          <w:lang w:val="en-US" w:eastAsia="en-US" w:bidi="ar-SA"/>
        </w:rPr>
        <w:t xml:space="preserve"> privilege. Section 87(3) contemplates that the material submitted and exchanged will not be kept confidential (although, pursuant to LSBC Rule 3-5(8), sharing a copy of the lawyer's response with the complainant is "subject to solicitor and client privilege and confidentiality," so that solicitor-client privilege is protected). Section 87(3) specifically provides that the lawyer's response or a copy of summary of it is not admissible except with the written consent of the lawyer "even though the executive director may have delivered a copy or a summary of the response to the complainant."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court concluded in </w:t>
      </w:r>
      <w:r>
        <w:rPr>
          <w:rFonts w:ascii="arial" w:eastAsia="arial" w:hAnsi="arial" w:cs="arial"/>
          <w:b/>
          <w:i/>
          <w:color w:val="000000"/>
          <w:sz w:val="20"/>
          <w:lang w:val="en-US" w:eastAsia="en-US" w:bidi="ar-SA"/>
        </w:rPr>
        <w:t>Hayes</w:t>
      </w:r>
      <w:r>
        <w:rPr>
          <w:rFonts w:ascii="arial" w:eastAsia="arial" w:hAnsi="arial" w:cs="arial"/>
          <w:color w:val="000000"/>
          <w:sz w:val="20"/>
          <w:lang w:val="en-US" w:eastAsia="en-US" w:bidi="ar-SA"/>
        </w:rPr>
        <w:t xml:space="preserve"> that the statutory language permitted a waiver of the privilege by conduct. The facts that had been represented by Sikorsky were not privileged in any event, and their "packaging" in the form of representations to the CTSB was not a sufficient reason to preserve the privilege, once Sikorsky no longer treated the representations as confidential. The facts reported in the Gregory Letters are also not privileged. However, the plain, unambiguous words of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read in their grammatical and ordinary sense harmoniously with the scheme and object of the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require written consent before the Gregory Letters are admissible. I am unable to construe those words as permitting a waiver by conduct or implication.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Intergulf then argues that Mr. Gregory's reference to the Gregory Letters in his correspondence dated July 27, 2004 and November 8, 2006 should be treated as his "written consent" to the admissibility of the Gregory Letters in this action.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Gregory's July 27, 2004 letter was written three years before this action was filed. It was written to counsel for Intergulf, the other party to the Intergulf Complaint, who had been provided with copies of the Gregory Letters during the complaint process. I see Mr. Gregory's reference to the Gregory Letters as nothing more than taking a convenient short-cut, rather than repeating what was stated in correspondence that Intergulf already had. It cannot be the written consent required under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in order to make the Gregory Letters admissible evidence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November 8, 2006 letter was written in response to a letter from then counsel for Mr. Faris (and now counsel for Intergulf), who had framed a question that specifically referred to the Gregory Letters. This was a not a use of the Gregory Letters by Mr. Gregory. Again, the contents of the letters are being used to save everyone the trouble of repeating all the matters stated in the letters, as Mr. Hira himself observed in his November 2, 2006 letter. Certainly, there is nothing in that letter to suggest that Mr. Hira knew about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(and I have concluded that he did not) and intended his question to be, in fact, a request for written consent under s. 87(3) to the admissibility of the Gregory Letters not merely in the Zynik Action, but generally in any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Given the way the question was put to him, it is hardly surprising that Mr. Gregory's response to Mr. Hira also referred to the Gregory Letters. Mr. Gregory's reference to them in his November 8, 2006 letter cannot be the written consent required under s. 87(3) to make them admissible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summary, I conclude Mr. Gregory has not waived the privilege created by </w:t>
      </w:r>
      <w:r>
        <w:rPr>
          <w:rFonts w:ascii="arial" w:eastAsia="arial" w:hAnsi="arial" w:cs="arial"/>
          <w:b/>
          <w:i/>
          <w:color w:val="000000"/>
          <w:sz w:val="20"/>
          <w:lang w:val="en-US" w:eastAsia="en-US" w:bidi="ar-SA"/>
        </w:rPr>
        <w:t>LPA</w:t>
      </w:r>
      <w:r>
        <w:rPr>
          <w:rFonts w:ascii="arial" w:eastAsia="arial" w:hAnsi="arial" w:cs="arial"/>
          <w:color w:val="000000"/>
          <w:sz w:val="20"/>
          <w:lang w:val="en-US" w:eastAsia="en-US" w:bidi="ar-SA"/>
        </w:rPr>
        <w:t xml:space="preserve"> s. 87(3) in respect of the Gregory Letters. Waiver requires his written consent, and he has not given it. The Gregory Letters are therefore inadmissible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thank counsel for their very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Johnny v. Palmantier, [2005] B.C.J. No. 1245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8 - 11,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M020313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1245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B.C.L.R. (4th) 339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593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1313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Troy Jonathon Johnny, plaintiff, and Leonard John Palmantier and Jason Darrin Houde,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2" w:name="Keywords_21"/>
      <w:bookmarkEnd w:id="152"/>
      <w:r>
        <w:rPr>
          <w:rFonts w:ascii="arial" w:eastAsia="arial" w:hAnsi="arial" w:cs="arial"/>
          <w:b/>
          <w:color w:val="000000"/>
          <w:sz w:val="20"/>
          <w:lang w:val="en-US" w:eastAsia="en-US" w:bidi="ar-SA"/>
        </w:rPr>
        <w:t xml:space="preserve">Civil evidence — Weight — Assessing credibility of witnesses — Hearsay evidence — Hearsay rule — Application of rule — Methods of proof — Inferences — From statements — Witnesses — Credibility — Prior inconsistent statements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3" w:name="Case Summary_21"/>
            <w:bookmarkEnd w:id="1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Preliminary factual determination in an action by the plaintiff, Johnny, against the defendants, Palmantier and Houde, and the third party, Insurance Corporation of British Columbia, for damages as a result of a single vehicle accident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Palmantier. Johnny was a passenger in vehicle owned by Houde, and driven by Palmantier. The vehicle left the highway and rolled down a slope. Both men were intoxicated and were ejected from the vehicle. Johnny broke his back and was rendered paraplegic. There were no witnesses to the accident. Johnny and Palmantier had no recollection of the accident. When police arrived, they found Johnny lying prone and Palmantier sitting upright approximately eight feet from the vehicle. ICBC alleged that Johnny drove the vehicle at the time of the accident. Witnesses testified that they saw Palmantier drive the vehicle from a gas station 15 minutes from the site of the accident. Houde testified that he saw both men standing outside of the truck immediately prior to the accident. Johnny told the attending officer and the attending physician that he was the passenger. However, he told a nurse at the hospital that he was the driver. ICBC sought to exclude Johnny's exculpatory statements from evidence. Johnny sought to introduce the hospital records to prove the truth of his statements to the doctor. Palmantier made inconsistent statements to the attending police officer and gave contradictory evidence at discovery, in an affidavit, and at trial concerning his recollection.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4" w:name="Holdings of Court_15"/>
            <w:bookmarkEnd w:id="154"/>
            <w:r>
              <w:rPr>
                <w:rFonts w:ascii="arial" w:eastAsia="arial" w:hAnsi="arial" w:cs="arial"/>
                <w:color w:val="000000"/>
                <w:sz w:val="20"/>
                <w:lang w:val="en-US" w:eastAsia="en-US" w:bidi="ar-SA"/>
              </w:rPr>
              <w:t>HELD: The issue of identification of the driver was decided in favour of the plaintiff.</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exculpatory statement by Johnny was inadmissible under the doctrine of res gestae and under the principled exception to the rule against hearsay. The leading questions by the attending officer and Johnny's state of intoxication and injury rendered his statement unreliable. Johnny's hospital records were inadmissible because they constituted self-serving statements. Palmantier's claim of lack of memory was not reliable given the multiple contradictory statements he made. His admissions of driving meant that his denials of driving lacked probative value. There was no reason that Palmantier would have switched places with Johnny following the stop at the gas station. The state of Johnny's injuries and the level of his intoxication rendered his inculpatory statement to the nurse unreliable. Palmantier was the driver of the vehicle on a balance of probabilities.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5" w:name="Legislation Cited_18"/>
      <w:bookmarkEnd w:id="1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7"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40(17.1), Rule 40(20)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Act s. 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s. 21(7), s. 21(8)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6" w:name="Counsel_22"/>
      <w:bookmarkEnd w:id="1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M.J. Slater, Q.C. J.U. Buckley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Unrepresented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Party: A.M. Mersey M. Dery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7" w:name="Judgment_22"/>
      <w:bookmarkEnd w:id="157"/>
      <w:r>
        <w:pict>
          <v:line id="_x0000_s1139"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8" w:name="HALFYARD J."/>
            <w:bookmarkEnd w:id="158"/>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Troy Johnny alleges that he was injured as a result of a single motor vehicle accident caused by the negligent driving of the defendant Leonard Palmantier.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Many of the relevant facts were either agreed, or were not in contest. I summarize the facts of the accident and its immediate aftermath,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9, 2001, at or around 1:00 p.m., the plaintiff and the defendant Palmantier were riding together in a 1980 Jeep pick-up truck, travelling east on Highway 20 towards Williams Lake, B.C., when the vehicle went off the right side of the roadway. The truck rolled down a long steep slope and came to rest approximately 150 feet down the slope. Both men were thrown out of the vehicle before it came to rest. Both men were intoxicated by alcohol. The vehicle was registered in the name of the defendant Jason Houde.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suffered a fracture of his lumbar spine, which rendered him paraplegic. Mr. Palmantier was injured, but his injuries were not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result of an anonymous telephone call, Cst. Deley of the Williams Lake R.C.M.P. patrolled west on Highway 20, and found the accident scene at about 1:15 p.m.. Cst. Deley found the plaintiff lying prone on the ground near the truck, about four feet away from the front wheel on the driver's side. Mr. Palmantier was sitting up near the truck, about six or eight feet away from the front bumper. Both men were taken by ambulance from the accident scene to the Cariboo Memorial Hospital in Williams Lake. The plaintiff was transferred to Vancouver General Hospital at about 8:30 p.m.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were no eyewitnesses to the accident. Neither of the two men was charged with any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Neither of the defendants entered an appearance or filed a statement of defence. The Insurance Corporation of British Columbia ("ICBC") became a third party under the provisions of s. 21(7) and (8) of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of liability and damages were severed by order made August 30, 2004. By agreement, the only issue that is presently before me is whether the defendant Palmantier was driving the vehicle at the time of the accident. The plaintiff alleges that he was. The third party denies that Mr. Palmantier was driving, and alleges that it was the plaintiff who was driving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trial, both Mr. Johnny and Mr. Palmantier testified that they had no recollection of the accident or the events leading up to the accident. In effect, they both denied knowing who was driving the vehicle, both before and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Some of the relevant facts leading up to the accident are not in dispute, and I find them to be as follows. At the time of the accident, Mr. Johnny and Mr. Palmantier were good friends. They were both living on or near the Toosey Indian Reserve, which is situated approximately 45 kilometres west of Williams Lake. Mr. Johnny was 26 years of age and Mr. Palmantier was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few weeks or a month before June 9, 2001, Mr. Palmantier bought a 1980 Jeep 4x4 pick-up truck (the vehicle involved in the accident) from an unnamed person. He and the defendant Jason Houde then agreed that Houde would become the registered owner of the vehicle, and would obtain insurance coverage on the truck, as a favour to Mr. Palmantier, who agreed to pay the cost of this insurance. Mr. Palmantier had a serious driving record, and either could not obtain insurance in his own name, or the cost of insurance would prevent him from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night of June 8 and in the morning of June 9, 2001, Mr. Johnny and Mr. Palmantier had been drinking at an all-night party at the home of Mr. Johnny's aunt, Georgina Johnny, on the Toosey Reserve. At or about 12:30 p.m. on June 9, Mr. Palmantier and Mr. Johnny were together in Mr. Palmantier's truck. They drove to the Toosey gas bar and store, which was only a few hundred metres away from Georgina Johnny's place. Mr. Palmantier was driving. Mr. Palmantier stopped the truck at the gas pumps, and arranged with the store clerk, Mildred Tenale, to charge up $10 worth of gas. Her boyfriend Kelsey Johnny put the gas in Mr. Palmantier's truck. Troy Johnny charged up some cigarettes at the same time. Neither of the two men got out of the truck at the gas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men were exhibiting symptoms of impairment by alcohol, while they were at the gas bar. The persons who observed the two men at the gas bar were Kelsey Johnny, Mildred Tenale, Wayne Stieman and Jason Houde. Mr. Palmantier was driving the truck when it drove away from the gas bar, and he drove it in the direction which would lead to an entry onto Highway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Mildred Tenale testified that Mr. Palmantier and Mr. Johnny told her that they were going to "town", and would pay for the gas and cigarettes when they came back. That evidence was uncontradicted, and I accept it. I also infer that "town" meant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distance between the Toosey Reserve and Williams Lake is about 45 kilometres by road. Williams Lake is east of the Toosey Reserve. The accident occurred at a point on Highway 20 which is approximately 15 to 18 kilometres east of the Toosey Reserve. The truck left the roadway on a right-hand curve in the highway, on a downhill grade, in an area known as Sheep Creek Hill. The posted speed limit was 50 kilometres per hour, for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alleges the following facts in support of his case that the defendant Palmantier was driving at the time of the accident:</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Palmantier was driving the truck when it left the Toosey gas bar and store, approximately 15 to 20 minutes before the accident occurred.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Palmantier was the true owner of the truck and rarely permitted anyone else to drive his truck. The plaintiff had never driven his truck, before June 9, 2001.</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Palmantier had been convicted of impaired driving on six or seven occasions before June 9, 2001. He was in jail at the time of trial, serving a sentence for impaired driving causing bodily harm.</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 the accident, Mr. Palmantier made a statement to Cst. Deley that could, and should, be found to be an admission that he had been driving the truck at the time of the accident. He admitted this formally in an affidavit sworn April 13, 2004. In his initial trial testimony, Mr. Palmantier again admitted that he had been driving at the time of the accident, before testifying that he only believed he had been driving.</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being transported from the accident scene, the plaintiff, in answer to questions asked of him by Cst. Meaver, "told" Cst. Meaver that he was not driving, and that he was a passenger.</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hospital in Williams Lake, the plaintiff made statements to one or more doctors to the effect that he had been a passenger in the truck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third party objects to the admissibility of the plaintiff's exculpatory statement to Cst. Meaver and to his alleged exculpatory statements to doctors at the hospital. Admission of the hospital records (to prove the plaintiff's statements) was also objected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third party submits that Mr. Palmantier's statement to Cst. Deley at the accident scene, does not amount to an admission of driving, but rather constitutes a denial. Counsel for the third party also challenged the reliability of Mr. Palmantier's admission of driving in his affidavit, and in his initial trial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the third party alleges the following facts in support of its case:</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hospital in Williams Lake, shortly after 3:00 p.m., the plaintiff admitted to nurse Maureen Harrison that he had been driving the vehicle at the time of the accident.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five minutes after Mr. Palmantier and Mr. Johnny drove away from the Toosey gas bar, they pulled off Highway 20 onto Cotton Road and stopped. Both men got out of the vehicle and were standing in front of it.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day before the accident, Mr. Palmantier had asked John Jack to drive him to Williams Lake in his (Palmantier's) truck, because he himself had been drinking. That was in keeping with Mr. Palmantier's practice to ask someone else to drive his vehicle when he himself was drunk, or getting drunk. Mr. Palmantier had also previously allowed a person to drive his vehicle, who did not have a driver's licence.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Johnny had a serious driving record which included three convictions for impaired driving, two convictions for driving without a licence, and four convictions for driving a motor vehicle while disqualified or prohibited from doing so.</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found lying near the driver's side of the truck,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reply to the facts alleged by the third party, the plaintiff challenges the credibility of nurse Maureen Harrison, and further disputes the reliability of any admission that the plaintiff may have made to her. Counsel for the plaintiff vigorously challenged the credibility of Jason Houde on his evidence that he saw Mr. Johnny and Mr. Palmantier stopped, and standing outside the truck, shortly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ADMISSIBILITY OF THE PLAINTIFF'S "STATEMENTS" TO CST. MEAVER.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the following facts from the evidence given by Cst. Meaver on the voir dire. He drove to the accident scene, arriving there at about 1:23 p.m., shortly after Cst. Deley got there. Cst. Meaver spoke to the plaintiff at 2:16 p.m., after the plaintiff had been winched 150 to 200 feet up the slope to the highway level, in a rescue basket. The plaintiff was lying on a spine board, had a collar around his neck, and sandbags were placed so as to immobilize his neck and head. He had an oxygen mask covering his mouth and nose. In Cst. Meaver's opinion, the plaintiff was semi-conscious, and he suspected that the plaintiff had sustained a serious injury to his spine. Cst. Meaver spoke to the plaintiff, at the request of Cst. Deley, to try and find out who had been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Cst. Meaver bent over the plaintiff, and asked: "Can you hear me?" The plaintiff nodded in the affirmative. Cst. Meaver asked: "Were you driving?" The plaintiff shook his head in the negative. Cst. Meaver asked: "Were you the passenger?" The plaintiff nodded his head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first ground on which counsel for the plaintiff submitted that the plaintiff's statement is admissible, was under the doctrine of res gestae. Mr. Slater argued that the plaintiff's statement was sufficiently contemporaneous to the accident, and should be considered sufficiently spontaneous in that it was the plaintiff's first opportunity to "speak". He contended that the possibility of concoction or distortion could safely be disregarded, because the plaintiff's predicament negatived any opportunity for reasoned reflection to fabricate a story that would be to his advantage. Counsel cited R. v. Andrews [1987] A.C. 281 (H.L.) to establish the principles which should guide the court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 behalf of the third party, Mr. Mersey submitted that the plaintiff's self-serving statement did not fall within the res gestae exception to the rule against hearsay. He argued that it must be shown, as a condition of admissibility under this exception, that there was no possibility that the plaintiff had time to concoct a false answer. In support of that submission, counsel referred me to Ratten v. The Queen [1972] A.C. 378 (P.C.) at 389-390, and R. v. Slugoski </w:t>
      </w:r>
      <w:hyperlink r:id="rId481" w:history="1">
        <w:r>
          <w:rPr>
            <w:rFonts w:ascii="arial" w:eastAsia="arial" w:hAnsi="arial" w:cs="arial"/>
            <w:i/>
            <w:color w:val="0077CC"/>
            <w:sz w:val="20"/>
            <w:u w:val="single"/>
            <w:shd w:val="clear" w:color="auto" w:fill="FFFFFF"/>
            <w:lang w:val="en-US" w:eastAsia="en-US" w:bidi="ar-SA"/>
          </w:rPr>
          <w:t>(1985) 17 C.C.C. (3d) 212</w:t>
        </w:r>
      </w:hyperlink>
      <w:r>
        <w:rPr>
          <w:rFonts w:ascii="arial" w:eastAsia="arial" w:hAnsi="arial" w:cs="arial"/>
          <w:color w:val="000000"/>
          <w:sz w:val="20"/>
          <w:lang w:val="en-US" w:eastAsia="en-US" w:bidi="ar-SA"/>
        </w:rPr>
        <w:t xml:space="preserve"> (B.C.C.A.) at 228-229.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seems clear from the authorities that the length of time between the event in question and the statement, is only one factor to be considered. In this case, there was an hour or more between the time of the accident and the time of the plaintiff's "statement" to Cst. Meaver, but that time gap is not determinative of this issue. The plaintiff suffered a fractured spine, and significant head injury. He was in serious pain, and was having trouble breathing. He was severely intoxicated, having a blood alcohol concentration of about 261 milligrams of alcohol per 100 millilitres of blood (at the time of the accident). In those circumstances, I do not think there was any real possibility for reasoned reflection by the plaintiff, to concoct a story for his advantage and for the disadvantage of Mr. Palmantier.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my reading of the three authorities cited by counsel lead me to conclude that the possibility of error must also be excluded, as a condition of admissibility, where there are "special features" which go beyond "the ordinary fallibility of human recollection." As mentioned, the plaintiff was very intoxicated and had sustained serious injuries, including a head injury. In addition, the plaintiff's statement was not spontaneous, but was rather the result of leading questions by Cst. Meaver. Moreover, the plaintiff had a possible motive to lie, namely, to avoid criminal prosecution. In my opinion, the threshold requirement of trustworthiness discussed and delineated by Mr. Justice Esson in R. v. Slugoski, supra, has not been met. I conclude that the plaintiff's statement to Cst. Meaver is not admissible under the doctrine of res gestae.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alternative, counsel for the plaintiff submitted that the plaintiff's statement should be admitted under the principled exception to the hearsay rule, which requires that "threshold" necessity and reliability be established as conditions of admissibility. The plaintiff testified that he cannot remember anything about Cst. Meaver speaking to him after the accident. As I understand it, counsel relies on that circumstance to establish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Slater referred me to excerpts from Sopinka, Lederman and Bryant, which included a discussion of R. v. Smith </w:t>
      </w:r>
      <w:hyperlink r:id="rId482" w:history="1">
        <w:r>
          <w:rPr>
            <w:rFonts w:ascii="arial" w:eastAsia="arial" w:hAnsi="arial" w:cs="arial"/>
            <w:i/>
            <w:color w:val="0077CC"/>
            <w:sz w:val="20"/>
            <w:u w:val="single"/>
            <w:shd w:val="clear" w:color="auto" w:fill="FFFFFF"/>
            <w:lang w:val="en-US" w:eastAsia="en-US" w:bidi="ar-SA"/>
          </w:rPr>
          <w:t>(1992) 75 C.C.C. (3d) 257</w:t>
        </w:r>
      </w:hyperlink>
      <w:r>
        <w:rPr>
          <w:rFonts w:ascii="arial" w:eastAsia="arial" w:hAnsi="arial" w:cs="arial"/>
          <w:color w:val="000000"/>
          <w:sz w:val="20"/>
          <w:lang w:val="en-US" w:eastAsia="en-US" w:bidi="ar-SA"/>
        </w:rPr>
        <w:t xml:space="preserve"> (S.C.C.), as to the requirement of reliability. At p. 270 of R. v. Smith, Lamer C.J.C.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a statement sought to be adduced by way of hearsay evidence is made under circumstances which substantially negate the possibility that the declarant was untruthful or mistaken, the hearsay evidence may be said to be "reliable", i.e., a circumstantial guarantee of trustworthiness is established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Slater relied on his submissions made in relation to the res gestae doctrine, to support his position under this head. Mr. Mersey argued that the essential condition of reliability had not been established, for the same reasons that the statement failed to meet the test for admissibility under the res gestae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 v. Starr </w:t>
      </w:r>
      <w:hyperlink r:id="rId483" w:history="1">
        <w:r>
          <w:rPr>
            <w:rFonts w:ascii="arial" w:eastAsia="arial" w:hAnsi="arial" w:cs="arial"/>
            <w:i/>
            <w:color w:val="0077CC"/>
            <w:sz w:val="20"/>
            <w:u w:val="single"/>
            <w:shd w:val="clear" w:color="auto" w:fill="FFFFFF"/>
            <w:lang w:val="en-US" w:eastAsia="en-US" w:bidi="ar-SA"/>
          </w:rPr>
          <w:t>(2000) 147 C.C.C. (3d) 449</w:t>
        </w:r>
      </w:hyperlink>
      <w:r>
        <w:rPr>
          <w:rFonts w:ascii="arial" w:eastAsia="arial" w:hAnsi="arial" w:cs="arial"/>
          <w:color w:val="000000"/>
          <w:sz w:val="20"/>
          <w:lang w:val="en-US" w:eastAsia="en-US" w:bidi="ar-SA"/>
        </w:rPr>
        <w:t xml:space="preserve"> (S.C.C.), Iacobucci J. stated in part at para. 208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occasionally ... a statement not falling within an existing exception will be admissible under the principled approach, this will likely be the exception, not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opinion, there are insufficient "circumstantial guarantees of trustworthiness" to meet the threshold requirement of reliability. The plaintiff's statement to Cst. Meaver is not admissible under the principled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final alternative, counsel for the plaintiff argues that the plaintiff's exculpatory statement to Cst. Meaver should be admitted as a relevant circumstance to be considered in deciding what weight, if any, should be attached to the plaintiff's inculpatory statement to nurse Harrison about an hour later (in the event that nurse Harrison's evidence is accepted). I think this point is well taken, and I will return to it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ADMISSIBILITY OF THE PLAINTIFF'S HOSPITAL RECORDS TO SHOW THAT HE TOLD DOCTORS THAT HE WAS A PASSENGER IN THE VEHICLE (AND TO PROVE THE TRUTH OF THE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seeks to admit the following hearsay evidence contained in the hospital records: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in the "summary of hospital admission" dated June 9, 2001, dictated by Dr. T. Wilford, which says: "This 26 year old male was the passenger apparently in a vehicle that rolled down a hill ...."</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contained in the notes of Dr. Wilford to Dr. Hoekema dated June 9, 2001, which says: "He [Troy Johnny] was a passenger in a MVA ...."</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in the "history and physical examination" dictated by Dr. Wilford on June 10, 2001, which says: "This 26 year old male was the passenger in a vehicle that left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the plaintiff submitted firstly, that the court should infer that Troy Johnny was the source of these statements in the hospital records, and secondly, that the statements should be admitted as evidence that the plaintiff was a passenger, and was not driving, at the time of the accident. It is submitted that the hospital records are admissible as business records, under s. 42 of the Evidence Act. S. 42(2) of the Evidence Act reads as follows:</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proceedings in which direct oral evidence of a fact would be admissible, a statement of a fact in a document is admissible as evidence of the fact if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 was made or kept in the usual and ordinary course of business,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the usual and ordinary course of the business to record in that document a statement of the fact at the time it occurred or within a reasonable time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Slater referred me to Khoddami v. McBride </w:t>
      </w:r>
      <w:hyperlink r:id="rId484" w:history="1">
        <w:r>
          <w:rPr>
            <w:rFonts w:ascii="arial" w:eastAsia="arial" w:hAnsi="arial" w:cs="arial"/>
            <w:i/>
            <w:color w:val="0077CC"/>
            <w:sz w:val="20"/>
            <w:u w:val="single"/>
            <w:shd w:val="clear" w:color="auto" w:fill="FFFFFF"/>
            <w:lang w:val="en-US" w:eastAsia="en-US" w:bidi="ar-SA"/>
          </w:rPr>
          <w:t>[1996] B.C.J. No. 1202</w:t>
        </w:r>
      </w:hyperlink>
      <w:r>
        <w:rPr>
          <w:rFonts w:ascii="arial" w:eastAsia="arial" w:hAnsi="arial" w:cs="arial"/>
          <w:color w:val="000000"/>
          <w:sz w:val="20"/>
          <w:lang w:val="en-US" w:eastAsia="en-US" w:bidi="ar-SA"/>
        </w:rPr>
        <w:t xml:space="preserve"> (Lowry J.) as an example of a situation where hospital records were admitted to prove the truth of statements made by a plaintiff which were recorded in hospital records. In that case, Lowry J. found that the plaintiff had told an ambulance attendant, a nurse and a doctor that he had not been wearing his seatbelt at the time of a motor vehicle accident. He then held that the plaintiff's recorded statements were admissible as evidence that he was not wearing his seatbelt. The plaintiff testified at trial that he was wearing a seatbelt at the time of the accident, but Lowry J. rejected his evidence and accepted that his previous contradictory statements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ICBC argues that the evidence here is insufficient to support the inference that it was the plaintiff who was the source of the statements to the effect that he was a passenger in the vehicle, and distinguished Khoddami v. McBride on this basis. Further, although not clearly stated, I understood Mr. Mersey to contest admissibility on the additional ground that the alleged statements of the plaintiff are self-serving, and accordingly could not meet the threshold requirement of s. 42(2). That is, regardless of whether the plaintiff made the alleged statements at the hospital, such evidence is not admissible at the instance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Nurse Maureen Harrison admitted in cross-examination that the plaintiff could have been the source of the statements in question. She also testified that it was usual to record whether a person who was injured in a motor vehicle accident, was the driver or a passenger. It is undisputed that the records were made or kept in the usual and ordinary course of the business of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circumstances of this case, without the evidence of Dr. Wilford, I am not satisfied that it was the plaintiff who made the statements that counsel seeks to introduce. But even if it was proved that the plaintiff did make these statements, in my opinion they could not be admitted under s. 42(2), because such evidence would contravene the rule against self-serving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 third problem with the admissibility of these alleged statements of the plaintiff being admitted under the statute as evidence of their truth, was pointed out by Southin J.A. in Olynyk v. Yeo </w:t>
      </w:r>
      <w:hyperlink r:id="rId485" w:history="1">
        <w:r>
          <w:rPr>
            <w:rFonts w:ascii="arial" w:eastAsia="arial" w:hAnsi="arial" w:cs="arial"/>
            <w:i/>
            <w:color w:val="0077CC"/>
            <w:sz w:val="20"/>
            <w:u w:val="single"/>
            <w:shd w:val="clear" w:color="auto" w:fill="FFFFFF"/>
            <w:lang w:val="en-US" w:eastAsia="en-US" w:bidi="ar-SA"/>
          </w:rPr>
          <w:t>(1988) 33 B.C.L.R. (2d) 247</w:t>
        </w:r>
      </w:hyperlink>
      <w:r>
        <w:rPr>
          <w:rFonts w:ascii="arial" w:eastAsia="arial" w:hAnsi="arial" w:cs="arial"/>
          <w:color w:val="000000"/>
          <w:sz w:val="20"/>
          <w:lang w:val="en-US" w:eastAsia="en-US" w:bidi="ar-SA"/>
        </w:rPr>
        <w:t xml:space="preserve"> (C.A.), where she stated (at p. 254):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"to record in that document a statement of the fact" mean, in our opinion, that the fact occurred within the observation of someone who has a duty himself to record it or to communicate it to someone else to record as part of the usual and ordinary course of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part of the usual and ordinary course of the business of a hospital and its staff to record "history" for the purpose of treating the patient but the "facts" in the history are not facts which occurred within the observation of the maker of the statement or within the observation of any other person whose observation it is part of the usual and ordinary course of business of the maker to record. There was no one on the staff of the hospital who could have given "direct oral evidence" of the cause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will give an example to illustrate this third defect in admissibility. If the plaintiff had told Dr. Wilford that he was driving the vehicle at the time of the accident, Dr. Wilford could have been called by the third party to prove that the plaintiff made that statement (which would be an admission against interest). But, contrary to the opinion expressed by Lowry J. in Khoddami v. McBride, I do not think that the third party could prove the truth of the plaintiff's statement, by means of the 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alternative, Mr. Slater argued that the statements in question in the hospital records should be admitted on the issue of what weight should be attributed to the plaintiff's admission of driving to nurse Harrison (if her evidence is accepted). If I thought the evidence was capable of supporting a finding that the plaintiff was the source of these statements in the hospital records, I would have agreed with this submission. But in my opinion it is not so capable.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result, I rule that the statements in the hospital records which are the subject of this inquiry, are not admissible on the material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PALMANTIER'S STATEMENT TO CST. DELEY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 asserts that, at about 1:24 p.m., at the accident scene, Mr. Palmantier admitted to Cst. Deley that he was driving the truck at the time of the accident. Cst. Deley arrived at the accident scene at about 1:15 p.m. He walked down the steep slope about 150 feet, and found Mr. Palmantier sitting near the front of the truck at the bottom of the ravine, yelling for help. He saw Mr. Johnny lying near the truck also. Both men were obviously injured, with Mr. Johnny's injuries clearly being more serious, and he was having a difficult time breathing. Cst. Deley quickly checked on the two men, told them to hang on, and climbed back up the slope to the highway, to radio for assistance. He then climbed back down the slope to where the two men were, and spoke to Mr. Palmantier. The time was shortly after 1:24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will reconstruct the substance of this conversation from the testimony of Cst. Deley which is recorded in the transcript of March 10, 2005, p. 53, lines 43-47 to p. 54, lines 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Deley: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are you doing?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I've hurt my back, my left knee and my right wrist.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Deley: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much have you had to drink today?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Four or five bottles of beer.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Deley:</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fast were you going when you hit the ditch?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doing the speed limit. My back hurts and my wrist hurts and my knee hurts, etc.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Deley: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have your last drink?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Toosey Reserve.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Deley: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does the truck belong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Jason Houde. He lent it to 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Deley: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driving?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Deley:</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just finished telling me that you were speeding.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understand. I meant we were doing the speed limit.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Cst. Deley: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who was driving?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Palmantier: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Troy was driving, we switched at Georgina's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Cst. Deley testified that Mr. Palmantier seemed to understand his questions and appeared to have no difficulty in responding to his questions, and that he himself had no problem understanding Mr. Palmantier. The hospital records show that Mr. Palmantier sustained a soft tissue injury to his left leg, and that his lower mid-back was sore. It appears that he was released from hospital on June 10 or 11, 2001. The expert evidence establishes that his blood alcohol concentration was about 255 milligrams of alcohol per 100 millilitres of blood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Slater submits that when Mr. Palmantier told Cst. Deley that: "I was doing the speed limit", he admitted, in effect, that he had been driving the truck at the time of the accident. Counsel argues that his later denial of driving was made after he had the opportunity to appreciate the consequences of his admission, and should be rejected. I take Mr. Slater's argument to be that Mr. Palmantier inadvertently but truthfully admitted that he was driving, and then, after realizing that he would face prosecution and jail time if he admitted to driving, knowingly lied in denying that he had been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ICBC argued that the conversation was continuous, and lasted only for two or three minutes at most. Mr. Mersey says that, in Mr. Palmantier's injured and intoxicated condition, his explanation that he did not understand the question properly, is plausible. Counsel also points out that Mr. Palmantier knew the police officer was on the scene ten minutes before this conversation, when Cst. Deley first came down the hill to find and check on the two men. This implies that, if Mr. Palmantier intended to falsely deny that he was driving, he would have made his denial as soon as Cst. Deley came back and started asking him questions about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trial testimony, Mr. Palmantier ultimately said he had no recollection of events after leaving Georgina Johnny's place and driving to Jack Hurst's place, to drink. He said, in substance, that he did not recall leaving Jack Hurst's place, being in his truck, being with Troy Johnny, stopping at the gas bar, travelling on Highway 20, going off the highway, lying at the bottom of the ravine, talking to Cst. Deley, being taken up the slope, or being driven to the hospital in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Cst. Deley's evidence was not challenged, and I accept it. I find that the conversation took place as described by Cst. Deley, and that Mr. Palmantier made the statements attributed to him by Cst. Deley. I think the first question that must be decided is whether Mr. Palmantier's words: "I was doing the speed limit", are capable of constituting an inculpatory admission that he was driving. If they are, then the statement is, at least in part, an admission against interest. But of course, the whole of the statement must be introduced, including Mr. Palmantier's exculpatory denial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some hesitation, I have concluded that Mr. Palmantier's statement could be interpreted as being an admission that he was driving, followed by a firm denial. I will later decide whether it does or does not have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CREDIBILITY OF THE DEFENDANT LEONARD PALMANTIER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Palmantier was called as a witness by the plaintiff under Rule 40(17.1). Under cross-examination by Mr. Slater pursuant to Rule 40(20), Mr. Palmantier testified that he was driving his truck at the time of the accident. He acknowledged that, on his examination for discovery on May 23, 2003, he stated that he could not recall who was driving, but claimed that he said that, because he was worried about being charged with a criminal offence. He admitted that he telephoned Mr. Buckley, co-counsel for the plaintiff, on or about February 24, 2004, and told Mr. Buckley that he had been driving the truck, and that Troy Johnny was the passenger. He said, in effect, that he told Mr. Buckley that he had always known he had been driving, that he had never admitted this before because he feared criminal prosecution, that he wanted the truth to come out, and that he would undergo another examination for discovery to confirm what he was telling Mr. Buckley.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Palmantier further testified under questioning by Mr. Slater, that the second examination for discovery did not proceed, and so he agreed to swear an affidavit to confirm what he had told Mr. Buckley. Mr. Palmantier then identified exhibit 5 as being his affidavit sworn April 13, 2004, at Williams Lake. That affidavit consists of five paragraphs, the first four of which state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or about June 9, 2001 I was involved in a single vehicle motor vehicle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driving a 1980 Jeep pick-up truck motor vehicle eastbound on Highway 20. I was driving away from the Toosey Reserve and towards Williams Lake.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lost control of the vehicle going around a bend in the highway at Sheep Creek Hill and the vehicle went off the roadway and rolled over a few times as it went down a steep embankment. This happened shortly after noon. It was a clear day and the roads were dry.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Plaintiff, Troy Jonathon Johnny, was the front seat passenger in the vehicle I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Early in his trial testimony, after being advised of his right to claim the protection of the Canada Evidence Act and the B.C. Evidence Act, Mr. Palmantier claimed that protection. He said he understood that his trial testimony could not be used against him in any criminal proceeding, except a proceeding for perjury. Mr. Palmantier testified that, until he was informed about this during the trial, he had never before been advised that he could claim such protection for any evidence that he gave.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Mersey cross-examined Mr. Palmantier on behalf of the third party, pursuant to a ruling that I made during the trial. He first elicited from Mr. Palmantier the many assertions he made on examination for discovery, to the effect that he could remember nothing about the events leading up to the accident, the accident itself, or events after the accident before he woke up in the hospital. Mr. Palmantier said that a few of his claimed memory absences were true, including his answer that he did not remember being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Palmantier acknowledged that he had been asked the following questions and had given the following answers on examination for discovery, and testified that his answers were all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had any conversations with anybody, including Mr. Johnny, about who was driving on the day of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tried asking around to see if anyone knew who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tried to ask around if anybody knew who was driving but nobody knew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are you telling me today you do not know who was driving?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I don't."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Palmantier confirmed his discovery evidence to the effect that about a month after the accident, he had told an ICBC investigator that he did not recall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Mersey elicited from Mr. Palmantier that, before he called Mr. Buckley to say that he was driving, he had spoken to Troy Johnny, and Mr. Johnny had asked him to call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being questioned about his affidavit, Mr. Palmantier admitted, in effect, that the facts he swore to were gleaned from information that he had received from other people. In substance, he said that, from his previous experience of driving vehicles and getting into accidents without remembering anything, and from what he had been told about the events of the day of this accident, he "just presumed" that he had to be the driver. He also said that, although he did not know who was driving at the time of the accident, he "presumed" that his affidavit was the truth. In essence, what Mr. Palmantier ended up saying, was that he believed he had been driving his truck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for the plaintiff did not argue that Mr. Palmantier's initial trial testimony that he had been driving the truck at the time of the accident was reliable. Mr. Slater seems to concede that Mr. Palmantier did not, at the time of trial, know who was driving the truck. But he points out that Mr. Palmantier insisted that he believed that he was the driver, and implied that his belief may have some significance in assessing his statement to Cst. Deley. But I think Mr. Slater maintained his position that, when Mr. Palmantier spoke to Cst. Deley, he did know who had been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third party, Mr. Mersey argued that the only reasonable conclusion to be drawn from Mr. Palmantier's evidence is that he does not know who was driving, and therefore can give no assistance to the court on the issue of identification. Counsel submitted that, in his attempt to admit that he was driving, Mr. Palmantier may have been motivated by his desire to help his long-time friend who had been seriously injured. It was unclear to me whether Mr. Mersey challenged the honesty of Mr. Palmantier's professed belief that he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Palmantier has made numerous contradictory statements under oath. Under questioning by Mr. Slater, he rejected his discovery evidence (i.e., that he could not remember anything about the accident), and, in effect, admitted that he lied on discovery because he was still worried about being charged. Then, on being questioned by Mr. Mersey, Mr. Palmantier asserted that he had, in the main, told the truth on his examination for discovery. He appeared to attribute his lack of memory as having been caused by an alcoholic blackout, which he said he had often experienced when he got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Palmantier admittedly swore to the truth of the facts stated in his affidavit of April 13, 2004, when he was not sure those facts were true. In my opinion, that is a further admission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These layers of self-contradiction under oath cause me to conclude that even Mr. Palmantier's present claim of lack of memory is not reliable. It is possible that he does not now remember who was driving at the time of the accident. It is possible that he does not now remember talking to Cst. Deley at the accident scene. He was very intoxicated, with a blood alcohol concentration of .255, he was injured in a violent accident, and he claimed to have a history of alcoholic blackouts.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I find that Mr. Palmantier had his wits about him, at the time he spoke to Cst. Deley. From Cst. Deley's evidence and the answers Mr. Palmantier gave, I infer he knew that he had been in an accident in the wrecked truck that was a few feet away, that Troy Johnny was with him in the truck when it went off the road and down the slope, that both of them had been injured, and that he was talking to a police officer. Mr. Palmantier purported to know who was driving, and I infer that he did then know who was driving when the truck went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But I am unable to accept Mr. Slater's submission that Mr. Palmantier inadvertently admitted to driving and then sought to deny it, and to claim that Mr. Johnny was driving. I think the probabilities are about equal that his use of the word "I" was an unintentional error, rather than an unwitting, but true, admission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the other hand, I find that Mr. Palmantier made at least one knowingly false statement to Cst. Deley, namely in stating that Jason Houde owned the truck, and had lent it to them. As to his assertion that he and Troy Johnny had "switched at Georgina's place", I am unable to find it was dishonest. The statement appears to be false, but I am not persuaded that he knew that it was false. Mr. Palmantier seemed to know that they had come from the Toosey Reserve. If he was truly planning to deceive the police officer, he would know that he had been seen driving away from the Toosey gas bar, towards Highway 20, and away from Georgina Johnny's place. One would expect that, if he was concocting a false switch, he would have claimed that the switch occurred after they left the gas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result, I conclude that Mr. Palmantier's statement is equivocal, and does not amount to an admission of driving. It therefore cannot support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statement having been introduced as part of the plaintiff's case, it is evidence both for and against Mr. Palmantier. To the extent that his statement to Cst. Deley may constitute a denial, it is evidence which supports the case of the third party. However, I find that the denial is considerably weakened by Mr. Palmantier's use of the word "I", his false statement about "switching" at Georgina Johnny's place, and his knowingly false statement that Jason Houde had lent them the truck. When the motive to falsely deny driving is added, it is my opinion that the denial should be given little or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Johnny testified that his driver's licence had been suspended since about 1992, as a result of impaired driving charges, and his inability to pay the fines imposed on him. He admitted that he had driven motor vehicles without a licence, off the reserve, before the motor vehicle accident occurred. But he insisted that he had not done this in the two years before the accident occurred, and said that he had only driven his mother's car around the reserve, during that time period. Mr. Johnny testified that he had not driven a motor vehicle from the Toosey Reserve to Williams Lake in the two years before the accident, but had been a passenger in vehicles that made that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Johnny testified that he could not remember anything about the events leading up to the accident, the accident itself, or the events following the accident until he woke up in the hospital at Vancouver. He said the last thing he could clearly recall before waking up in the hospital at Vancouver, was drinking and smoking marihuana at a party at Georgina Johnny's place, with several other persons, including Mr. Palmantier for part of that time. He said he got drunk and blacked out at some unknown point during the party. The plaintiff testified that, before the accident, he had never driven a motor vehicle that Leonard Palmantier owned or was riding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Mr. Johnny admitted to the following driving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346"/>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OFFENCE</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STATUTE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4, 1992</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Driving without a</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Motor Vehicle 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licence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20, 1992</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Driving while over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Criminal Code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.08</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29, 1992</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Driving while over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Criminal Code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.08</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20 (or 29?)</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Driving without a</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Motor Vehicle 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licence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20, 1992</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Driving while over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Criminal Code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.08</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20, 1993</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Drive while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Criminal Code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Disqualified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11, 1994</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Drive while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Criminal Code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Disqualified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 11, 1994</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Drive while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Criminal Code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Disqualified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614"/>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7,1998</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Drive while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Motor Vehicle 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Prohibited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Johnny further testified that he could not recall speaking to any police officer about the accident, or speaking with any nurse at the hospital in Williams Lake. He said that drinking alcohol affected his judgment, and that he had blacked out on many other occasions from being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admitted that he had probably driven a motor vehicle while impaired by alcohol on occasions other than those for which he was charged. He accepted that he would likely receive a jail sentence if he was again caught driving while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CREDIBILITY OF MAUREEN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Nurse Harrison testified that, shortly after Troy Johnny was admitted to the hospital at 3:00 p.m. on June 9, 2001, she had a conversation with him in which he admitted to her that he had been driving the vehicle at the time of the accident. I reconstruct the substance of this conversation from her evidence recorded in the transcript of March 10, 2005, at pp. 77-79: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Harrison:</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had a lot to drink?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Johnny: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Too much.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Harrison:</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allergic to any medications?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Johnny: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 unknown)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Harrison: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taking any medications or drugs at this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Johnny: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 unknown)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Harrison: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were you sitting in the vehicle at the time of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Johnny: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response)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Harrison:</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the driver?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Johnny: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Harrison:</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wearing a seatbelt?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Johnny:</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Harrison testified that the plaintiff had not been given any sedatives when she had this conversation with him, that he did not appear to have any difficulty answering her questions, and that there was no indication that he did not understand her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cross-examination, the following evidence was elicited from Ms. Harrison:</w:t>
      </w:r>
      <w:r>
        <w:rPr>
          <w:rFonts w:ascii="arial" w:eastAsia="arial" w:hAnsi="arial" w:cs="arial"/>
          <w:sz w:val="20"/>
          <w:lang w:val="en-US" w:eastAsia="en-US" w:bidi="ar-SA"/>
        </w:rPr>
        <w:cr/>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was admitted to hospital, Troy Johnny was yelling and screaming profanities, and appeared to be in a lot of pain.</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exhibited some symptoms that were indicative of a moderate brain injury.</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make any notes in the hospital records or elsewhere to the effect that Mr. Johnny had admitted to being the driver.</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time she was asked to recall the events of June 9, 2001, was in May 2004, when she was contacted by counsel for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this evidence, Mr. Slater argued that nurse Harrison's evidence of the conversation she claims to have had with the plaintiff, is unreliable, and should not be accepted. Mr. Mersey submitted that Ms. Harrison was an experienced nurse, was an independent witness, and her evidence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Harrison was subjected to an extensive and skilful cross-examination by experienced counsel. In my judgment, she gave her evidence fairly, and made reasonable concessions and admissions, but stood her ground. The only weakness that was established was her failure to make any record of her conversation with Mr. Johnny. She explained, in effect, that she could recall this conversation because of the seriousness of the injury sustained by Mr. Johnny, and because of her usual practice in dealing with persons who are injured in motor vehicle accidents. I accept Ms. Harrison's evidence and I find that the plaintiff did make the statements that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CREDIBILITY OF JASON HOUDE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Jason Houde testified that he was the registered owner of the truck involved in the accident, but that Mr. Palmantier was the true owner. He said that, after Mr. Palmantier had bought the truck, a few weeks before the accident, he asked Mr. Houde to register the vehicle in his name, and to obtain insurance on it. Mr. Houde said he did these things, as a favour to Mr. Palmantier, who paid for the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Houde said that Troy Johnny and Leonard Palmantier were good friends of his, and Mr. Johnny was his cousin. He said he was at the Toosey gas bar on June 9, 2001, and saw Mr. Johnny and Mr. Palmantier, sitting inside the truck, with Mr. Palmantier in the driver's seat. He testified that he went into the store, bought some Copenhagen chewing tobacco, and came back outside. He said he did not speak to them. Mr. Houde said they looked like they were under the influence of alcohol. Mr. Houde said he then drove away, and waved at the two men who were still sitting in the truck at the gas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Houde testified that he drove his vehicle to Highway 20, en route to Williams Lake. He said that, when he had driven one or two kilometres along Highway 20, he received a telephone call from his girlfriend on his cell phone, and he pulled his vehicle over to the side of the road and stopped, to talk to her. Mr. Houde stated that, while he was doing this, the truck which he had seen Troy Johnny and Leonard Palmantier sitting in at the gas station, drove past him towards Williams Lake. He said the truck was "swerving a bit"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Houde said he told his girlfriend about what was happening, and she said that he should call the police about it. He testified that he then drove away towards Williams Lake, and as he was driving, made a telephone call to the R.C.M.P. at Williams Lake. He said he made an anonymous complaint, telling the woman at the police station that there were two men in a black Jeep 4x4 driving east on Highway 20, and the men had been drinking. He gave the names of Troy Johnny and Leonard Palmantier.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Houde testified that, as he approached the intersection of Cotton Road, he saw that the truck had been pulled off the highway into an area that was beside Cotton Road, and was stopped. Mr. Johnny and Mr. Palmantier were both outside the truck, standing in front of it. Mr. Houde said that he drove past, and kept driving to Williams Lake. At this time, he was still talking to the woman at the police station at Williams Lake, making his report. He said that he drove to Williams Lake, that he saw a police car travelling west before reaching Williams Lake, and that he later heard that the two men had been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cross-examination, Mr. Houde admitted that he knew the arrangement he had made with Mr. Palmantier concerning the truck, was illegal, and said that he did it as a favour to Mr. Palmantier. He acknowledged that he was worried about the potential financial consequences to him, of the claim for damages being made by Troy Johnny.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Houde testified further under cross-examination that on or about July 17, 2001, he met a man named Heslop from ICBC at a restaurant in Williams Lake, and discussed matters relating to the accident. He said he told Mr. Heslop that he was the registered owner of the truck, but that Mr. Palmantier was the true owner. He said that he told Mr. Heslop that he had seen the two men at the gas bar when he was on his way to Williams Lake. He admitted that he had not told Mr. Heslop that he had pulled over on Highway 20 to talk to his girlfriend on the telephone, and had seen the truck drive past him, swerving on the roadway. He further admitted that he did not tell Mr. Heslop that he had seen the truck stopped along the highway shortly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Houde admitted that, on his examination for discovery on May 23, 2003, he testified that he had been fuelling up at the gas bar, and that Leonard Palmantier was in the store getting cigarettes. When asked if his discovery evidence was true, Mr. Houde said that he may have been mistaken, and might have gotten gas, and Mr. Palmantier might have been in the store. But he confirmed that the two men were sitting in the truck with Mr. Palmantier in the driver's seat, when he himself drove away from the gas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following question and answer was then put to Mr. Houde from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7"/>
        <w:gridCol w:w="515"/>
        <w:gridCol w:w="237"/>
        <w:gridCol w:w="515"/>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you got your gas and then you left. Did you see them afterwards before the accident driving?"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Houde acknowledged that he had been asked that question and had given that answer. When asked if his answer was true, Mr. Houde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guess I misunderstood the question that she had given me that day, because I know I did see them drive by me when I was on my auto-tel."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Houde said that only one or two minutes passed, from the time the truck went by him on the highway while he was stopped talking to his girlfriend, and the time when he saw the truck stopped at Cotton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answer to questions by the court, Mr. Houde repeated his explanation for not telling on discovery that he had seen Mr. Johnny and Mr. Palmantier again after leaving the gas bar, by saying that the question confused him and he wasn't sure what the lawyer meant. He also said that, at some later point in time he began telling people that he was the one who made the anonymous phone call to the R.C.M.P. But he said that he was still trying to keep this a secret, at the time of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Counsel for the plaintiff submitted that Mr. Houde's failure to tell the ICBC investigator that he had seen Johnny and Palmantier again, after he left the gas bar, but before the accident, was conduct inconsistent with the truth of his trial testimony. It was further argued that Mr. Houde made a statement under oath at his examination for discovery, that contradicts his trial testimony. Counsel further pointed out that Mr. Houde is interested in the outcome of this litigation. Finally, it was suggested that, if Mr. Houde was so concerned about the two men driving "his" truck while impaired by alcohol, he would have stopped and talked to them at Cotton Road, but he admittedly did not do so. The thrust of the attack on Mr. Houde's credibility was that he had recently fabricated the story of having seen the two men standing outside the parked truck, after they had left the gas bar, but before the accident occurred. Counsel did not suggest that Mr. Houde was not the person who made the anonymous telephone complaint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Houde's explanation for not telling Mr. Heslop of ICBC about seeing the two men again after he left the gas bar, was to the effect that he was not specifically asked a question that would prompt him to tell about it. I do not accept that explanation, because Mr. Houde admitted that he knew Mr. Heslop wanted him to tell all he knew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do not accept Mr. Houde's explanation that he did not tell the plaintiff's lawyer on examination for discovery that he had seen the two men, because he misunderstood the question. I infer from his testimony that Mr. Houde, up until some time after his discovery in May 2003, did not want it generally known that he was the person who made the anonymous telephone complaint. When he left the gas bar, Mr. Houde could not have known that Mr. Johnny and Mr. Palmantier were heading for Williams Lake, because he drove away before they did. Unless he himself disclosed it, no one else would know that he saw the two men driving along Highway 20, before the accident. But if he disclosed that, then he would be identified (or at least suspected) as being the anonymous telephone caller.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suspect that Mr. Houde concealed these facts from the ICBC investigator, for the same reason, i.e., his desire to maintain secrecy.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do not find that Mr. Houde's failure to stop and talk to the two men at Cotton Road, is an improbability that could affect his credibility. It seems plausible to me that he would not want to confront his two friends about his concerns. He knew they had been drinking, and may have thought that they would not listen to him, and might be angry at him. Mildred Tenale testified that they were obnoxious when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Since the challenge to Mr. Houde's credibility involved the allegation of recent fabrication, the third party would have been permitted to call Mr. Houde's girlfriend (or common-law wife?) to confirm that he had made similar statements to her, so as to rebut this allegation. Unfortunately, that was not done. No explanation was given as to why she was not called, however it was not suggested by counsel for the plaintiff that I should draw an inference adverse to Mr. Houde as a result of this. Nor do I think such an inference should be drawn,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have rejected Mr. Houde's explanation for failing to tell Mr. Heslop about seeing the two men driving along, and stopped beside, Highway 20, before the accident occurred. I have concluded, in effect, that Mr. Houde lied under oath at his examination for discovery, when he denied having seen the very event which he was called to prove at the trial. I do accept that he concealed these facts because he did not want his two friends to know that he was the person who had called the police to complain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Nevertheless, I accept Mr. Houde's testimony that he saw the two men stopped beside Cotton Road, standing outside near the front of the truck, about 15 minutes or so before the accident occurred. If Mr. Houde was going to lie to protect himself against the plaintiff's claim for damages, it would be more likely that he would say that he saw the plaintiff get into the driver's seat of the truck while they were stopped at Cotton Road. There is no suggestion in the evidence or in argument that Mr. Houde knew that it might be of some assistance to the defence, if Palmantier and Johnny had stopped the truck, and stepped outside of it, shortly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HAS THE PLAINTIFF MET HIS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must assign weights to each of the relevant facts which have been established. But, as a general rule, the standard of proof must not be applied to individual items of evidence, or to individual facts. Instead, the standard must be applied to the group of facts which is relevant to each essential element of the cause of action that is in dispute. In this case, that element is driver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PALMANTIER'S ADMISSIONS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Mr. Palmantier made previous statements under oath in which he admitted to having been the driver (i.e., in his affidavit of April 13, 2004, and in his initial trial testimony). Those statements are inconsistent with his later trial testimony to the effect that he did not know who was driving. They also contradict his denial of driving to Cst. Deley. The law is settled that, unlike an ordinary witness, a party litigant who makes previous inconsistent statements may be taken to have told the truth in the earlier statements, notwithstanding that he or she denies their truth when testifying at the trial. See Sopinka and Lederman, The Law of Evidence in Civil Cases 1974 pp. 139-141 and 507-508; R. v. Mannion </w:t>
      </w:r>
      <w:hyperlink r:id="rId486" w:history="1">
        <w:r>
          <w:rPr>
            <w:rFonts w:ascii="arial" w:eastAsia="arial" w:hAnsi="arial" w:cs="arial"/>
            <w:i/>
            <w:color w:val="0077CC"/>
            <w:sz w:val="20"/>
            <w:u w:val="single"/>
            <w:shd w:val="clear" w:color="auto" w:fill="FFFFFF"/>
            <w:lang w:val="en-US" w:eastAsia="en-US" w:bidi="ar-SA"/>
          </w:rPr>
          <w:t>(1986) 28 C.C.C. (3d) 544</w:t>
        </w:r>
      </w:hyperlink>
      <w:r>
        <w:rPr>
          <w:rFonts w:ascii="arial" w:eastAsia="arial" w:hAnsi="arial" w:cs="arial"/>
          <w:color w:val="000000"/>
          <w:sz w:val="20"/>
          <w:lang w:val="en-US" w:eastAsia="en-US" w:bidi="ar-SA"/>
        </w:rPr>
        <w:t xml:space="preserve"> (S.C.C.) at 549-550.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not persuaded that Mr. Palmantier's admissions of driving in his affidavit and in his initial trial testimony are reliable. But I do find that his admissions of driving, at a minimum, deprive his denial of driving (to Cst. Deley) of any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EFFECT OF THE "SIMILAR FACT" EVIDENCE OF THE DRIVING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Palmantier and Mr. Johnny both had driving records, and admitted to driving habits, which show that each of them had a propensity to drive a motor vehicle while impaired by alcohol. The evidence also supports the inference that the plaintiff was not inhibited from driving unlawfully, by the fact that he did not possess a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conditions for admissibility of similar fact evidence on the issue of identification, and the method for determining what weight should be given to such evidence if admitted, were defined by the Supreme Court of Canada in R. v. Arp </w:t>
      </w:r>
      <w:hyperlink r:id="rId487" w:history="1">
        <w:r>
          <w:rPr>
            <w:rFonts w:ascii="arial" w:eastAsia="arial" w:hAnsi="arial" w:cs="arial"/>
            <w:i/>
            <w:color w:val="0077CC"/>
            <w:sz w:val="20"/>
            <w:u w:val="single"/>
            <w:shd w:val="clear" w:color="auto" w:fill="FFFFFF"/>
            <w:lang w:val="en-US" w:eastAsia="en-US" w:bidi="ar-SA"/>
          </w:rPr>
          <w:t>(1999) 129 C.C.C. (3d) 321</w:t>
        </w:r>
      </w:hyperlink>
      <w:r>
        <w:rPr>
          <w:rFonts w:ascii="arial" w:eastAsia="arial" w:hAnsi="arial" w:cs="arial"/>
          <w:color w:val="000000"/>
          <w:sz w:val="20"/>
          <w:lang w:val="en-US" w:eastAsia="en-US" w:bidi="ar-SA"/>
        </w:rPr>
        <w:t xml:space="preserve">. Because counsel have agreed that the evidence in question is admissible on the issue of identification, I need not consider the requirements of admissibility which are discussed in R. v. Arp in paras. 42 to 50, or the corresponding analysis of Mr. Justice Hall in Statton v. Johnson </w:t>
      </w:r>
      <w:hyperlink r:id="rId488" w:history="1">
        <w:r>
          <w:rPr>
            <w:rFonts w:ascii="arial" w:eastAsia="arial" w:hAnsi="arial" w:cs="arial"/>
            <w:i/>
            <w:color w:val="0077CC"/>
            <w:sz w:val="20"/>
            <w:u w:val="single"/>
            <w:shd w:val="clear" w:color="auto" w:fill="FFFFFF"/>
            <w:lang w:val="en-US" w:eastAsia="en-US" w:bidi="ar-SA"/>
          </w:rPr>
          <w:t>(1999) 64 B.C.L.R. (3d) 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However, in my opinion, the two bodies of evidence relating to Mr. Palmantier and to the plaintiff, effectively cancel each other out. Each of the two men have committed acts of impaired driving on a number of previous occasions. One of them must have committed the act of impaired driving on June 9, 2001. But as I see it, neither body of evidence could support the inference that it is more likely that one of the two men, rather than the other, was driving at the time of the accident. I conclude that the effect of all of this evidence is neutral on the issue of driver identification. The situation is much different than the driving records of the plaintiff and the defendant which existed in the case of Statton v. Johnson, where the defendant's driving record included a great many convictions for speeding (the apparent cause of the accident), while the plaintiff had only a few such convictions.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"PRESUMPTION OF 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most important fact which supports the plaintiff's case is that Mr. Palmantier was driving the truck when it left the Toosey gas bar and store, approximately 15 to 20 minutes before the accident occurred. As against this, I have found that, perhaps five minutes after leaving the Toosey gas bar and store, Mr. Palmantier pulled off Highway 20 onto Cotton Road, and stopped in an area beside Cotton Road, and that he and Mr. Johnny got out of the truck and were standing at the front of the truck. There is nothing to suggest that Mr. Palmantier asked Mr. Johnny to take over the driving, or that Mr. Johnny wanted to drive the truck. There is nothing in the evidence to indicate that the two men were in the process of switching places in the truck. Mr. Houde speculated that the two men may have stopped to have a cigarette, or to relieve themselves or to talk about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has been established that, on the day before the accident, Mr. Palmantier had asked another man to drive him to Williams Lake and return, because he himself had been drinking. But the evidence shows that the plaintiff had never driven the truck before, nor had he driven any vehicle in which Mr. Palmantier was riding. Assuming that Mr. Palmantier must have known that both he and Mr. Johnny were intoxicated, there appears to be no reason why he would ask Mr. Johnny to take over the driving. Moreover, Mr. Johnny testified that he had never driven from the Toosey Reserve to Williams Lake, in the two years preceding the accident. It is apparent from what Mr. Palmantier told Mildred Tenale at the gas bar, that the two men had already decided they were going to Williams Lake, before they drove up to the gas bar. If there was any intent that Mr. Johnny should do the driving, then one would have expected them to either have set out with Mr. Johnny driving, or have switched places at the Toosey gas bar. In these circumstances, I find that the stop at Cotton Road does not appreciably weaken the inference that could be drawn from this evidence, that Mr. Palmantier was driving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ADMISSION TO NURSE MAUREEN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Shortly after 3:00 p.m., about two hours after the accident, the plaintiff admitted to nurse Harrison that he had been driving the vehicle at the time of the accident. At about 2:16 p.m., he had indicated to Cst. Meaver that he was not the driver, but was the passenger in the vehicle. He was severely injured and highly intoxicated when he made these statements. His injuries included a significant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mentioned, the plaintiff said that he could not recall speaking to any police officer or to a nurse at the hospital. The effect of his testimony on this point was that he simply did not know whether he or Mr. Palmantier was driving at the time of the accident. Counsel for the third party did not challenge the plaintiff on his professed lack of memory, and I am unable to identify any basis for rejecting the plaintiff's evidence that he does not know who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these circumstances, it is my opinion that it would be unfair to ignore the plaintiff's denial of driving to Cst. Meaver, when deciding what weight should be given to his admission of driving to nurse Harrison. In my view, while the plaintiff's denial should not be admitted as evidence of its truth, it is a relevant circumstance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Mersey argued that, before the plaintiff made his self-serving "statement" to Cst. Meaver, he "had plenty of time to consider his injuries and his responses to the questions posed by Cst. Meaver." He submitted that the plaintiff had a powerful motive to lie, namely, to avoid criminal prosecution which would likely result in a jail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see two problems with this argument. First, the plaintiff was severely injured and in pain, and highly intoxicated, which conditions would not be conducive to clear and calculating thinking. Second, if that theory was correct, the plaintiff would have had even more time to concoct a false story by the time he talked to nurse Harrison about an hour later. My conclusion is that, having regard to all of the circumstances, little weight should be attributed to the plaintiff's admission of driving to nurse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PALMANTIER'S DENIAL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previously stated, I conclude that Mr. Palmantier's denial to Cst. Deley should be given no weight. He had a strong motive to falsely deny that he was driving. At trial, he ultimately testified that he did not know who was driving, although he professed to believe that he himself had been driving. While his belief has no evidentiary value, Mr. Palmantier also testified that, in February 2004, he was motivated to contact Mr. Johnny and Mr. Johnny's lawyers and admit to having been the driver, because: "I wanted to get it off my chest", "I wanted the truth to come out", and "I wanted to clear my conscience". In substance, Mr. Palmantier testified that he had reasoned to the conclusion that he must have been driving, and honestly believed that he had been driving. Mr. Palmantier also testified that, when he spoke to counsel for the plaintiff by telephone in February 2004, he told Mr. Buckley, among other things, that: "I always knew I was driving." Unfortunately, Mr. Palmantier was not cross-examined on his statement to Cst. Deley, leaving only his implied denial of any memory of such a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LOCATION IN WHICH THE PLAINTIFF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do not accept the submission of counsel for ICBC that the location in which the plaintiff was found beside the truck, when compared with the position of Mr. Palmantier, is more consistent with the plaintiff having been the driver. This was a violent, roll-over type accident, extending down a long steep slope. Neither of the two men was wearing a seatbelt, and it is impossible to say what movements their bodies went through on the way down the slope, or even which part of the vehicle either of them was ejected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think the question comes down to whether the plaintiff's admission of driving to nurse Harrison has sufficient weight to rebut or neutralize the potential inference sought by the plaintiff, that might be drawn from the fact that Mr. Palmantier was driving the motor vehicle about 15 or 20 minutes before the accident occurred. I agree with Mr. Mersey's submission, based on Ross v. Gardner Estate </w:t>
      </w:r>
      <w:hyperlink r:id="rId489" w:history="1">
        <w:r>
          <w:rPr>
            <w:rFonts w:ascii="arial" w:eastAsia="arial" w:hAnsi="arial" w:cs="arial"/>
            <w:i/>
            <w:color w:val="0077CC"/>
            <w:sz w:val="20"/>
            <w:u w:val="single"/>
            <w:shd w:val="clear" w:color="auto" w:fill="FFFFFF"/>
            <w:lang w:val="en-US" w:eastAsia="en-US" w:bidi="ar-SA"/>
          </w:rPr>
          <w:t>(1993) 88 B.C.L.R. (2d) 396</w:t>
        </w:r>
      </w:hyperlink>
      <w:r>
        <w:rPr>
          <w:rFonts w:ascii="arial" w:eastAsia="arial" w:hAnsi="arial" w:cs="arial"/>
          <w:color w:val="000000"/>
          <w:sz w:val="20"/>
          <w:lang w:val="en-US" w:eastAsia="en-US" w:bidi="ar-SA"/>
        </w:rPr>
        <w:t xml:space="preserve"> (C.A.), that it is incorrect to refer to this potential inference as a "presumption of continuance". At para. 19 of Ross v. Gardner Estate, Wood J.A. stated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cases where the continuation of some state of affairs is a fact in issue ... continuance can surely be no more than an inference to be drawn from facts proven, the probative value of which will necessarily be affected by a variety of circumstances such as, for example, time and other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If any appreciable weight could be assigned to the plaintiff's admission to nurse Harrison, I have no doubt that the admission would rebut the inference that Mr. Palmantier was driving. That is, it would raise at least an equal probability that the plaintiff was driving, with the result that the plaintiff would not have met his burden of proof. However, I have decided that almost no weight should be given to the plaintiff's admission to nurse Harrison. In my opinion, all of the facts relied on by the third party, taken in combination, raise less than a 50% probability that it was the plaintiff who was driving. Of course, there is no onus on the third party to prove that the plaintiff was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this case, the standard of proof that must be met by the plaintiff is proof that it is more probable than not that Mr. Palmantier was the driver. Although proof that Mr. Palmantier was driving could prove that he committed the criminal offence of impaired driving, the plaintiff's case does not require proof of the criminal offence. The plaintiff need only establish that Mr. Palmantier was driving,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In these circumstances, it is unnecessary for the court to require proof to a higher degree of probability (within the civil standard) than for the usual civil case. See Continental Insurance Co. v. Dalton Cartage Co. Ltd. </w:t>
      </w:r>
      <w:hyperlink r:id="rId490" w:history="1">
        <w:r>
          <w:rPr>
            <w:rFonts w:ascii="arial" w:eastAsia="arial" w:hAnsi="arial" w:cs="arial"/>
            <w:i/>
            <w:color w:val="0077CC"/>
            <w:sz w:val="20"/>
            <w:u w:val="single"/>
            <w:shd w:val="clear" w:color="auto" w:fill="FFFFFF"/>
            <w:lang w:val="en-US" w:eastAsia="en-US" w:bidi="ar-SA"/>
          </w:rPr>
          <w:t>(1982) 131 D.L.R. (3d) 559</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my opinion, the conclusion that Mr. Palmantier was driving the truck at the time of the accident, may reasonably be drawn from the proven facts. It is my further opinion that this conclusion has a greater than 50% probability of truth. Accordingly, I find that it is more probable than not that Mr. Palmantier was driving the truck at the time of the accident. The plaintiff succeeds on the issue of the identification of the defendant Leonard Palmantier as being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As I understand it, the next phase of the trial will deal with the issues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Leonard Palmantier and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Troy Johnny. Counsel may arrange a date for continuation from the trial coordinator at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Johnson v. Jamieson, [2014] B.C.J. No. 1371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M141273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Edwin Lyndon Johnson, Plaintiff, and Travis Jamieson, and Olivia Mackay Heatley-Jamieson,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9" w:name="Keywords_22"/>
      <w:bookmarkEnd w:id="15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Motor vehicles — Liability of driver — Pedestrians — Evidence and proof — Action by plaintiff for damages for injuries arising from motor vehicle accident dismissed — Plaintiff claimed that, while crossing intersection, he decided to cut corner; that defendant's car, which had been stopped, moved forward; and that car's mirror grabbed his hip, spun him around and forced him to pavement — Plaintiff did not prove that defendant's actions caused injuries — It was more likely that plaintiff slipped — Plaintiff's testimony was not reliable — It was inconsistent or improbable on some points.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0" w:name="Case Summary_22"/>
            <w:bookmarkEnd w:id="1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 motor vehicle accident. The plaintiff claimed that, while crossing an intersection, he decided to cut the corner when he was three feet from the sidewalk; that the defendant's car, which had been stopped, moved forward; that the car's right side mirror grabbed his right hip, spun him around and forced him to the pavement; and that the defendant immediately left the scene.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1" w:name="Holdings of Court_16"/>
            <w:bookmarkEnd w:id="16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did not prove that the defendant's actions caused the injuries. It was more likely that the plaintiff slipped. The plaintiff's testimony was not reliable. It was inconsistent or improbable on some points. It was highly unlikely that the defendant would have driven forward, facing a red light, seeing pedestrians at the corner and knowing that the plaintiff was so close to him. It was improbable that the plaintiff would have been spun around at such a low speed, considering his weight. He said that he was struck before he could cut the corner, but stated in his insurance statement that he cut the corner. He left the scene without asking any of the witnesses for information and did not call the police, which did not accord with common sense for someone who believed that he was negligently injured by a driver who left illegally.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2" w:name="Legislation Cited_19"/>
      <w:bookmarkEnd w:id="1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2"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SBC 1997, CHAPTER 318, s. 127(1), s. 132(1)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3" w:name="Counsel_23"/>
      <w:bookmarkEnd w:id="1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J.C. Guglielmucci.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B.D. Home.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4" w:name="Judgment_23"/>
      <w:bookmarkEnd w:id="164"/>
      <w:r>
        <w:pict>
          <v:line id="_x0000_s1144"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5" w:name="N. BROWN J."/>
            <w:bookmarkEnd w:id="165"/>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address liability for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short, I have found that the plaintiff has not proven that the defendant's actions caused his injuries. Therefore, I am dismissing the plaintiff's claim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Thursday, April 1, 2010, at probably around a 5:15 p.m., Mr. Johnson, the plaintiff, and his girlfriend, Cathy Moses, wanted to cross from the south side of East Hastings Street to the north side at its intersection with Columbia Street, in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they crossed the intersection, Ms. Moses got ahead of Mr. Johnson. He had almost finished crossing the width of six lanes, when, about three feet from the sidewalk, he decided to cut the corner so he could catch up with Ms. Moses. He would just have to walk a short way in the curb lane beside the sidewalk to do that, but could not step onto the sidewalk from the curb immediately because a metal signal post on the sidewalk and some cardboard boxes stacked beside it and alongside the curb blocked the way a short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Johnson testified he was never able to carry out his plan because he had gotten only so far as to plant a foot on the stop line, at a spot that looks to be about three feet north of the curb. Meanwhile, Travis Jamieson, the defendant driver, had stopped the Toyota Corolla he was driving about three to four feet from the curb. He was waiting in his vehicle for the lights and traffic to give him a safe opportunity to complete a right turn onto Columbia Street. Mr. Jamieson says he saw the plaintiff and a female companion crossing within the bounds of the marked crosswalk. The Toyota's front tires were at rest just before the marked stop line, which is about three feet east of the line that marks the eastern boundary of the 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was on the way to pick up his wife, who would be off work at 5:30 p.m., from her workplace located one block north of Hastings Street on Cordova Street. Because it was hard to find empty parking spaces in that area, he always left himself extra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Johnson said he had enough space to walk along the gutter to a clear area where he could step up onto the sidewalk. But before he could take a step, Mr. Johnson testified that the Toyota's right side mirror grabbed his right hip, spun him around, forced him down to the pavement onto his buttocks, landing him somewhere between the stop line and the line that marks the east boundary of the crosswalk. Mr. Johnson said he heard no engine noise from the Toyota, and never saw it move before the mirror struck his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versions about what next happened differ in almost every material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called only one witness, Cathy Moses. Ms. Moses was not a reliable witness: her memory was admittedly poor, and her testimony was internally inconsistent. She seemed to have set her testimonial compass mostly in the direction she thought might aid Mr. Johnson, but her description of where she testified she saw Mr. Johnson after he fell down, about three feet east of the storm drain, supports Mr. Jamieson's description of events more than it does Mr. Johnson's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Jamieson testified he saw Mr. Johnson cross in front of him, and cut the corner out of the crosswalk at the side of his car. As the westbound Hastings Street light has just turned green, Mr. Jamieson took his foot off the brake. The car rolled slowly ahead without gas, to the point where its front rested at about the east boundary of the crosswalk, which would be a distance of about three feet. Fifteen to twenty pedestrians had gathered at the corner, waiting to cross Columbia Street. Shortly after stopping, Mr. Jamieson testified he felt his car move slightly. He noticed Mr. Johnson standing, facing east, and leaning against his car about where the trunk is situated in the space between the rear of the roof, the rear door and the rear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Setting aside the question of whether Mr. Johnson was on the ground or standing at the time, both parties agree that Mr. Jamieson lowered the back passenger-side window and asked the plaintiff, with concern, if he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Johnson, however, denies he replied that he was okay or that he said he had slipped on the storm grate and hurt his knee. Mr. Johnson's version is that he said he had hurt his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Jamieson noticed someone helped Mr. Johnson "hobble" up onto the sidewalk. He then turned his attention to large group of pedestrians waiting to cross Columbia Street. After about an estimated 8 to 10 seconds, an opening in the Columbia Street crosswalk allowed him to move forward, complete his turn, drive 80 feet north on Columbia Street, and park his car on the right side of Columbia Street, where he could wait for his wife. He did not hear anyone at the corner shouting to take down the licence plate number, as Mr. Johnson and Cathy Moses contend.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Johnson disputes Mr. Jamieson's testimony that he had to wait as long as 8 to 10 seconds to complete his right turn onto Columbia. Mr. Johnson's version is that Mr. Jamieson took off right away, after they exchanged words and someone called out, "Get his licence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Jamieson said it was not raining at the time of the incident, but it had rained earlier on, the pavement still wet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storm drain grate was at the incident's location; a grate typical of those seen in the curb lanes of many Vancouver streets. It had been set down into the asphalt, what looks to be a couple of inches. The north side of it joined with the bottom edge of the sidewalk. From photographs, it looks to be two feet by two feet, more or less. The surrounding asphalt's somewhat sloped edge looks roughly finished. The grate's west edge looks to be about a foot east of the edge of the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grate could have no part to play in causation of Mr. Johnson's injuries if Mr. Jamieson drove ahead before Mr. Johnson could cut the corner beyond the point of putting his foot on the stop line, as Mr. Johnson contends: if correct, at that point, he would have been standing at the right front of Mr. Jamieson's car when it moved forward. And for the passenger side mirror to have struck him, as alleged, the Toyota would have had to have moved ahead at least five-and-a-half feet, which is the distance from the front of the Toyota to the passenger side mirror. But if Mr. Johnson cut the corner, as Mr. Jamieson says (and as Mr. Johnson said a few days later in his detailed statement to ICBC), then a wet storm grate or wet pavement likely posed a significant risk of a slip and fall to a preoccupied pedestrian wanting to catch up with a friend. The storm grate's presence also somewhat corroborates Mr. Jamieson's recollection of his verbal exchange with Mr. Jamieson.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their brief verbal exchange, Mr. Johnson asserts that, Mr. Jamieson drove away from the accident scene without his having provided him information; at discovery however, he said the driver drove away as soon as someone on the scene called out, "get his licence plate number." As we have seen, Mr. Jamieson denies this assertion; he says he remained stopped for about 10 seconds because he had to wait for a break in the pedestrian traffic crossing Columbia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Johnson testified at trial that he and Ms. Moses got the licence numbers and that a bystander supplied the missing letters. In his signed ICBC statement, he said he remembered seeing the license plate numbers, 337. Ms. Moses, three similar numbers. But Ms. Moses testified that it was her, who obtained and wrote down the licence plate number on a scrap of paper. The significance of Ms. Moses's writing down of the licence plate lies in the timing: she would have had little time to take note of and to write them down if Mr. Jamieson had taken off right after he and Mr. Johnson exchanged words, as Mr. Johnson contends. But, if Mr. Jamieson had to wait for pedestrians to cross Columbia Street, e.g., an eight to 10 second delay, as he says, Ms. Mosely likely would have had enough time to see and write down licence plate details -- keeping in mind she testified she was shocked at the time and that she did not see the 'accident'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Though a large group of people were standing around at the corner, Mr. Johnson and Ms. Moses never asked around for witnesses. Nor did they file a police report. Rather, they chose to carry on up the block to the Balmoral Hotel pub to drink some beer and watch the Canucks'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should note the prequel to these events, that Mr. Johnson and Ms. Moses had met after work at another hotel located on the south side of Hastings Street. Ms. Moses arrived there first, and had a beer while waiting for Mr. Johnson to arrive. Mr. Johnson denied he had anything to drink there because the pub did not have a television to watch the Canucks' game; so they left for the Balmoral Hotel pub to see if they could watch the game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Mr. Jaimeson noticed Mr. Johnson and Ms. Moses were bumping into one another when he first noticed them, I do not find Mr. Johnson was impaired when he cut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CREDIBILITY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Assessing the parties' and Ms. Moses's credibility is obviously central to this trial's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parties' benefit, I will explain what a credibility assessment entails: credibility addresses the question of whether a witness's testimony is believable; deciding this may involve many considerations. Saying a witness's testimony is credible is different from stating they are a creditable person. The latter means they are a person deserving of acknowledgment or perhaps praise. Of course a witness's history, accomplishments, and reputation can be considered when determining a witness's credibility. But, importantly, a creditable person's testimony may still be found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 evidence shows both parties have lived productive and responsible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Johnson has faced down notable challenges in his life. He graduated from high school in Aiyansh, Nisga'a territory. After graduation, he completed some post-secondary education, albeit with mixed success. Finding steady work in the north Pacific Coast can prove a challenge, but Mr. Johnson found what was available, and, when it ran out, moved to the Lower Mainland for construction work. He gained the respect of supervisors and coworkers; two of them (speaking to damages for loss of earnings) spoke credibly to his reliability, work ethic, and skills. He has also maintained family and Aboriginal ancestral cultural ties and traditions, which have helped him maintain a fairly positive outlook.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Jamieson also comes before the court as a responsible, employed person; and, he is an experienced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short, neither party presents with a discreditable past; rather, both parties have creditable pasts.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 a person presents themselves when they testify is also a relevant consideration. This consideration is called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Assessing demeanor does not mean the court regards a charismatic, smooth talking witness credible, and a nervous or shy and hesitant one not credible. Nervous witnesses can be as honest as smooth-talking ones are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case, both parties were somewhat reserved. Mr. Jamieson was somewhat more anxious, but both parties were respectful.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more important aspect of demeanour and one that that also speaks to their reliability as a witness, is the way a person answers questions. The court will ask:</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their answers straight-forward, responsive?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they evasive, argumentative, and flippant?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their tone of voice: is their inflection and tone of voice appropriate to the subject matter and their answers'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most important aspect of credibility is how well a witness's testimony withstands critical scrutiny of its contents when considered objectively. The court will ask:</w:t>
      </w:r>
      <w:r>
        <w:rPr>
          <w:rFonts w:ascii="arial" w:eastAsia="arial" w:hAnsi="arial" w:cs="arial"/>
          <w:sz w:val="20"/>
          <w:lang w:val="en-US" w:eastAsia="en-US" w:bidi="ar-SA"/>
        </w:rPr>
        <w:cr/>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logical; does it make sense?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it match up with what a reasonable person would expect to find and see in the circumstances presented?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testimony internally consistent, consistent with other testimony, and consistent with other documents and facts the court has accepted?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witness honestly acknowledge inconsistencies in their testimony, or do they try to explain them away with speculation and improbable scenarios that do not hold up?</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they in a position to see what they say they saw?</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richly detailed are their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Such considerations also address what is commonly called the reliability of a witness's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witness can be honestly intentioned, but be a nonetheless unreliable historian of events, perhaps due to poor memory or other infirmities, misperception, premature judgment, personal biases, unconscious or conscious,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187, aff'd </w:t>
      </w:r>
      <w:hyperlink r:id="rId499"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Dillon J. suggested three of the more key questions judges should consider when determining a witness's testimony credibility:</w:t>
      </w:r>
      <w:r>
        <w:rPr>
          <w:rFonts w:ascii="arial" w:eastAsia="arial" w:hAnsi="arial" w:cs="arial"/>
          <w:sz w:val="20"/>
          <w:lang w:val="en-US" w:eastAsia="en-US" w:bidi="ar-SA"/>
        </w:rPr>
        <w:cr/>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 alone, is the witness's testimony believable?</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it consist with other witnesses' testimony and other accepted evidence?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version of the evidence most consists with what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These questions, as well as the ones I mentioned previously, are the thinking tools I have kept in mind when assessing credibility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Johnson has to prove that it is more likely than not that:</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Jamieson drove in a negligent manner;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success on point "a", the negligent driving caused him injuries that he would not have suffered but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Jamieson's proven injuries caused him to suffer the damages alleged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must answer these questions according to accepted legal principles, without sympathy for either party, based on those facts I find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Again, a finding that a witness's testimony is not credible is not equivalent to saying that witness is a dishonest person in their life. A witness's version of events may simply be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Only the cumulative weight of all the evidence, when considered as a whole, determines whether the party carrying the burden of proof has met the evidentiary and legal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Where a party to a </w:t>
      </w:r>
      <w:r>
        <w:rPr>
          <w:rFonts w:ascii="arial" w:eastAsia="arial" w:hAnsi="arial" w:cs="arial"/>
          <w:color w:val="000000"/>
          <w:sz w:val="20"/>
          <w:u w:val="single"/>
          <w:lang w:val="en-US" w:eastAsia="en-US" w:bidi="ar-SA"/>
        </w:rPr>
        <w:t>civil</w:t>
      </w:r>
      <w:r>
        <w:rPr>
          <w:rFonts w:ascii="arial" w:eastAsia="arial" w:hAnsi="arial" w:cs="arial"/>
          <w:color w:val="000000"/>
          <w:sz w:val="20"/>
          <w:lang w:val="en-US" w:eastAsia="en-US" w:bidi="ar-SA"/>
        </w:rPr>
        <w:t xml:space="preserve"> action imputes morally blameworthy criminal or quasi-criminal conduct to a defendant, their burden of proof is still the balance of probabilities. In </w:t>
      </w:r>
      <w:r>
        <w:rPr>
          <w:rFonts w:ascii="arial" w:eastAsia="arial" w:hAnsi="arial" w:cs="arial"/>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[1982] S.C.J. No. 116</w:t>
        </w:r>
      </w:hyperlink>
      <w:r>
        <w:rPr>
          <w:rFonts w:ascii="arial" w:eastAsia="arial" w:hAnsi="arial" w:cs="arial"/>
          <w:color w:val="000000"/>
          <w:sz w:val="20"/>
          <w:lang w:val="en-US" w:eastAsia="en-US" w:bidi="ar-SA"/>
        </w:rPr>
        <w:t>, Laskin C.J.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is an allegation of conduct that is morally blameworthy or that could have a criminal or penal aspect and the allegation is made in civil litigation, </w:t>
      </w:r>
      <w:r>
        <w:rPr>
          <w:rFonts w:ascii="arial" w:eastAsia="arial" w:hAnsi="arial" w:cs="arial"/>
          <w:color w:val="000000"/>
          <w:sz w:val="20"/>
          <w:u w:val="single"/>
          <w:lang w:val="en-US" w:eastAsia="en-US" w:bidi="ar-SA"/>
        </w:rPr>
        <w:t>the relevant burden of proof remains proof on a balance of probabilities.</w:t>
      </w:r>
      <w:r>
        <w:rPr>
          <w:rFonts w:ascii="arial" w:eastAsia="arial" w:hAnsi="arial" w:cs="arial"/>
          <w:color w:val="000000"/>
          <w:sz w:val="20"/>
          <w:lang w:val="en-US" w:eastAsia="en-US" w:bidi="ar-SA"/>
        </w:rPr>
        <w:t xml:space="preserve"> So this Court decided in </w:t>
      </w:r>
      <w:r>
        <w:rPr>
          <w:rFonts w:ascii="arial" w:eastAsia="arial" w:hAnsi="arial" w:cs="arial"/>
          <w:i/>
          <w:color w:val="000000"/>
          <w:sz w:val="20"/>
          <w:lang w:val="en-US" w:eastAsia="en-US" w:bidi="ar-SA"/>
        </w:rPr>
        <w:t>Hanes v. Wawanesa Mutual Insurance Co.</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[1963] S.C.R. 154</w:t>
        </w:r>
      </w:hyperlink>
      <w:r>
        <w:rPr>
          <w:rFonts w:ascii="arial" w:eastAsia="arial" w:hAnsi="arial" w:cs="arial"/>
          <w:color w:val="000000"/>
          <w:sz w:val="20"/>
          <w:lang w:val="en-US" w:eastAsia="en-US" w:bidi="ar-SA"/>
        </w:rPr>
        <w:t xml:space="preserve">. There Ritchie J. canvassed the then existing authorities, including especially the judgment of Lord Denning in </w:t>
      </w:r>
      <w:r>
        <w:rPr>
          <w:rFonts w:ascii="arial" w:eastAsia="arial" w:hAnsi="arial" w:cs="arial"/>
          <w:i/>
          <w:color w:val="000000"/>
          <w:sz w:val="20"/>
          <w:lang w:val="en-US" w:eastAsia="en-US" w:bidi="ar-SA"/>
        </w:rPr>
        <w:t>Bater v. Bater</w:t>
      </w:r>
      <w:r>
        <w:rPr>
          <w:rFonts w:ascii="arial" w:eastAsia="arial" w:hAnsi="arial" w:cs="arial"/>
          <w:color w:val="000000"/>
          <w:sz w:val="20"/>
          <w:lang w:val="en-US" w:eastAsia="en-US" w:bidi="ar-SA"/>
        </w:rPr>
        <w:t xml:space="preserve">, [1950] 2 All E.R. 458, at p. 459, and the judgment of Cartwright J., as he then was, in </w:t>
      </w:r>
      <w:r>
        <w:rPr>
          <w:rFonts w:ascii="arial" w:eastAsia="arial" w:hAnsi="arial" w:cs="arial"/>
          <w:i/>
          <w:color w:val="000000"/>
          <w:sz w:val="20"/>
          <w:lang w:val="en-US" w:eastAsia="en-US" w:bidi="ar-SA"/>
        </w:rPr>
        <w:t>Smith v. Smith and Smedman</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[1952] 2 S.C.R. 312</w:t>
        </w:r>
      </w:hyperlink>
      <w:r>
        <w:rPr>
          <w:rFonts w:ascii="arial" w:eastAsia="arial" w:hAnsi="arial" w:cs="arial"/>
          <w:color w:val="000000"/>
          <w:sz w:val="20"/>
          <w:lang w:val="en-US" w:eastAsia="en-US" w:bidi="ar-SA"/>
        </w:rPr>
        <w:t>, at p. 331, and he concluded as follows (at p. 164):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above authorities, I am of opinion that the learned trial judge applied the wrong standard of proof in the present case and that the question of whether or not the appellant was in a state of intoxication at the time of the accident is a question which ought to have been determined according to the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And in examining the standard of proof in civil cases, the Supreme Court of Canada reaffirmed this concept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 I would reaffirm that in civil cases there is </w:t>
      </w:r>
      <w:r>
        <w:rPr>
          <w:rFonts w:ascii="arial" w:eastAsia="arial" w:hAnsi="arial" w:cs="arial"/>
          <w:color w:val="000000"/>
          <w:sz w:val="20"/>
          <w:u w:val="single"/>
          <w:lang w:val="en-US" w:eastAsia="en-US" w:bidi="ar-SA"/>
        </w:rPr>
        <w:t>only one standard of proof and that is proof on a balance of probabilities</w:t>
      </w:r>
      <w:r>
        <w:rPr>
          <w:rFonts w:ascii="arial" w:eastAsia="arial" w:hAnsi="arial" w:cs="arial"/>
          <w:color w:val="000000"/>
          <w:sz w:val="20"/>
          <w:lang w:val="en-US" w:eastAsia="en-US" w:bidi="ar-SA"/>
        </w:rPr>
        <w:t>. In all civil cases, the trial judge must scrutinize the relevant evidence with care to determine whether it is more likely than not that an alleged event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the plaintiff contends Mr. Johnson left the scene of an accident knowing he had struck him without his having left identification information with him before leaving the scene. While this is a criminal or quasi-criminal allegation, and the burden of proof remains the balance of probabilities, the relevant evidence on such an allegation has to be looked at very closely to ensure the burden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this point, I find Mr. Johnson did not deliberately leave the scene without giving Mr. Johnson the information required. I find Mr. Jamieson did not believe he had struck Mr. Johnson, or that he immediately left the scene as alleged; two points that I will further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Johnson's credibility, therefore, can be assessed free of a finding that he is guilty of an offence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Reliability of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Johnson's testimony on some points was inconsistent or improbable; his memory was sometimes poor or implausibly absent on significant points of some significance; and his assertions were sometimes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Johnson did not take the time or trouble to review his medical records before he testified, and he said he was not interested in what they had to say, which may account for some of the discrepancies in his testimony on the matters related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will briefly note a few areas of concern, primarily ones related to the accident:</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he was in great shape when the incident occurred: he weighed 208 pounds and wore jeans with a 32-inch waist. But his family physician's clinical notes three weeks post-accident show his weight at 246 pounds (albeit with steel boots on), and the doctor noted "obesity". Mr. Johnson insisted the doctor's information was wrong. I accept Mr. Johnson gained some weight after his surgeries, but witnesses, including his mother, indicate his weight is not that different now, compared to before the accident.</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he testified that although he intended to cut the corner, he never left the crosswalk and was struck before he could cut the corner. As we saw earlier, in his statement to ICBC, recorded five days after the accident, he said, "I cut the corner to catch up to my girlfriend." His statement to ICBC was quite detailed and acknowledged as true; his explanation for the inconsistency was unconvincing.</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Johnson said he was in considerable pain, he could still walk to the Balmoral Hotel pub after the incident and remain there watching the game for two hours. Neither he nor Ms. Moses asked any of the people standing around at the corner for witness information before going to the pub, and neither person ever phoned the police. Defendant's counsel fairly submits that it is not logically reasonable to expect a person in those circumstances, who truly believed that a driver had negligently injured them and left the scene illegally, not to do those things and chose just to go the pub to watch a hockey game. Mr. Johnson's explanation that he had previously recovered from an injured knee, that he did not think it was that bad, that he expected to recover, and that he had the licence plate number is problematic. And Ms. Moses's explanation that she did not help him with reporting the accident because it was Mr. Johnson's problem not hers is also problematic. Indeed, both explanations are individually and collectively inadequate explanations for failing to do what common sense so clearly called on a person in such circumstances to do. Given the close relationship between Ms. Moses and Mr. Johnson, one would expect her to want to help Mr. Johnson then, as she did after Mr. Johnson's knee surgery, assuming events occurred as they say.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Johnson was sitting on the ground and Ms. Moses was in a state of shock as they claimed, and assuming Mr. Jamieson took off immediately after their brief exchange, it seems highly unlikely they would have had their wits about them enough to accurately collect Mr. Jamieson's plate number in what little time would have been available to them on their own account. It is also difficult to see how Mr. Johnson could have seen Mr. Jamieson's licence plate number, positioned as and where he says he was. Moreover, it was Ms. Moses who took down the licence plate number. So Mr. Jamieson had to be stationery long enough for her to retrieve some paper, get something to write with, and get the numbers down. Their evidence conflicts with that reality, and it calls their credibility into question.</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Johnson denied he made statements to treating physicians that he most likely made or, at least, gave a basis for the doctor's impressions, that he was functioning considerably better at times than what he admitted at trial.</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counsel rightly points out that Mr. Johnson was vague on the details and minimized the significance of an injury he sustained in November 2010, when he stepped off a curb and injured his knee; an injury that likely precipitated his need of a second surgery to repair his anterior cruciate ligament.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Johnson comes across as straight-forward, likeable, hard-working man. A former employee and co-worker spoke very well of him. His mother and sister were credible witnesses on the damages matters they spoke to. But as for the particulars of the accident, I find Mr. Johnson's explanation for how he came to be injured on April 1, 2010, improbable and unconvincing. He undoubtedly sustained an injury; one that Mr. Johnson apparently became convinced Mr. Jamieson's actions caused. But his testimony is not reliable in certain important aspects, and it lacks the objective hallmarks of consistency with the circumstances that a practical and informed person would readily recognize as reasonable at that location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we have seen, for Mr. Johnson's recollection to be correct, he would have to have been standing in front of Mr. Jamieson before he moved the car forward five-and-a-half feet to bring the side mirror in contact with Mr. Johnson's hip; and being spun around at such a low speed, considering Mr. Johnson's weight, is not probable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Jamieson watched Mr. Johnson and Ms. Moses as they crossed Hastings Street. He noted Ms. Moses got ahead of Mr. Johnson onto the sidewalk. It is highly unlikely that Mr. Jamieson, still facing a red light and seeing pedestrians gathered at the corner to cross Columbia Street and knowing Mr. Johnson was so close if not right in front of him, would have been so grossly careless as to just drive forward as alleged. It is a possibility, but the circumstances do not commend that as a realistic or probable one. I find it did not happen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Mr. Johnson he recalls it, Mr. Jamieson then rolled down his rear passenger window and asked him in a concerned voice if he was okay. Mr. Johnson said Mr. Jaimeson said: "No, my knee hurts." And upon hearing that answer, Mr. Johnson said Mr. Jamieson immediately completes his right and drives away or, at discovery, Mr. Johnson drove away right after someone on the corner called out "get his licence number". In either case, Mr. Johnson alleges that Mr. Jamieson drove away to evade legal responsibility. But neither Ms. Moses nor Mr. Johnson made any effort to see where Mr. Jamieson went. Nor, as we have seen did they involve the police. The circumstances do not commend that as a realistic or probable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it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 that Mr. Jamieson was insured with $3 million third party liability is a relevant circumstance. He had no reason to evade legal responsibility and 'taking off' does not consist with Mr. Jamieson seeing Mr. Johnson leaning against the car and asking him if was okay. Leaving the scene consists more with Mr. Johnson's having said more something along the lines of what Mr. Jamieson recalls Mr. Johnson saying, i.e., he slipped on a storm grate, was okay, but his knee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Moreover, Mr. Jamieson then drove a mere 80 feet north on Columbia Street, where he found a place to park. He had to wait there 15 to 20 minutes for his wife to get off work. Such circumstances do not suggest flight or that Mr. Jamieson believed he had knocked Mr. Johnson down and wanted to get away as soon as possible. Rather, they suggest that Mr. Johnson did nothing wrong and was not liable for any negligent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Mr. Johnson testified that he saw the Hastings Street pedestrian walk signal on walk when he was sitting on the ground. But it is questionable that he could see the walk signal from that position. Moreover, he allegedly had a painful knee at that time, making it that much more questionable he would notice that small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ably represented Mr. Johnson. She referred the court to a letter dated May 12, 2014, from Engineering Services for of the City of Vancouver. She strongly submitted that the statement of light sequences for signalling at the Hastings and Columbia intersection set out in the letter calls into question Mr. Jamieson's estimates of the 10 to 15 seconds for how long it took for Mr. Johnson to cross Hastings Street; and, more especially, his having to wait 8 to 10 seconds for traffic to clear on Columbia Street to make his right turn after his having asked Mr. Johnson if he was okay. The report states: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5" type="#_x0000_t75" style="width:408.75pt;height:468pt">
            <v:imagedata r:id="rId50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Johnson's counsel submitted that the report indicates the north and south crosswalk signal would be active for 29 seconds; it would then be followed by a flashing do-not-walk signal for 7 seconds, and a solid don't walk signal for 3.5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submits this information means the defendant would have faced a red light for a minimum time of 39.5 seconds, so that time accords with Mr. Johnson's evidence that when he fell, the white pedestrian walk signal likely was still activated. She submits this information further indicates that Mr. Jamieson would have completed his right turn while the red light was active, not on green, as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not read the information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29 and some seconds refers to the north and south crosswalks that cross Columbia Street. The light was red was for east/west traffic, and it brought Mr. Jamieson to a stop, allowed north and south vehicular traffic, and made it safe for pedestrians to cross Hastings Street at either the west or east crosswalks, across Hastings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assume Mr. Jamieson could turn right on red, but there is no evidence on that point, and it is not determinative of the issues here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the time, both vehicular traffic was north and south bound on Columbia Street and pedestrian traffic walking north in the crosswalk, including Ms. Moses and Mr. Johnson. As I read the information, the traffic lights for east and westbound traffic on Hastings are red for a total of 22.5 seconds. Pedestrians proceeding either north or south in either of the east and west crosswalks on Hastings have eight seconds before the signal turns to a flashing don't-walk, a further 11 seconds crossing with a flashing don't-walk signal, and a further five seconds before the sequence changes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These times accord with the expectation that east and west vehicular traffic on the Hastings Street, a heavily travelled east/west thoroughfare, would have greater priority. Mr. Jamieson's estimate of 10 to 15 seconds for Ms. Moses and Mr. Johnson to cross Hastings Street and his having to wait 8 to 10 seconds for pedestrian traffic to clear the Columbia Street crosswalk, accords well enough with the City's signal sequencing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Pedestrians crossing Columbia Street would have a matching long sequence to cross Columbia Street. This supports Mr. Jamieson's recollection of waiting an estimated 8 to 10 seconds before the waiting pedestrians crossed and opened up an opportunity for him to complete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I have misread the tables' sequencing information, variables such as departure from the curb relative to when the walk-signal began, time for the verbal exchange between the parties, etc., let alone the accuracy of their time estimates, has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Standing back and looking at the timing realistically, Mr. Johnson's estimates appear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Johnson testified he took him nine seconds to cross, based on his having timed it before the trial. No evidence was presented about the width of Hastings Street at that location, but assuming six lanes, including curbs, of 8 to 10 feet, nine seconds to cover 50 to 60 feet is a brisk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Jamieson recalled Mr. Johnson and Ms. Moses bumping into one another at some point of their crossing, and it appears Mr. Johnson had some difficulty keeping up with Ms. Moses. In any case, an estimate of 10 seconds or more to cross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summary, the signalling information is not determinative of the major questions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Plaintiff's counsel stressed what she submitted was a significant inconsistency in Mr. Jamieson's evidence regarding whether he remained stationary at all times versus his testimony about rolling ahead two feet. How the question was posed at discovery weakens the submission on whether his testimony was inconsistent. Assuming an inconsistency ought to be found, it would be more significant if the time of the statements were reversed, with Mr. Jamieson denying he moved at trial. Assuming the statements were at clear variance, which they are not, Mr. Jamieson's evidence at trial is more helpful that Mr. Johnson's. I do not find this point sways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should include a note that when Mr. Johnson saw his family physician, Dr. A. Racic, for the first time on April 4, 2010, he reported a left knee injury, left ankle, and bruised right forearm. He reported he had just stepped out onto the road and a car turning right off Hastings Street hit him in the right hip area with his mirror and spun him around on fixed left leg, and he fell down. He also reported immediate pain in left knee, post an ACL and an MCL tear one year ago. There is no note of bruising of the right hip, but Mr. Johnson's description is mostly congruent with his testimony at trial, which gives some weight to it, which I have considered even if it may not be admissible as part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Considering the parties' and Ms. Moses's testimony, I find Mr. Jamieson's testimony more credible and more consistent with the place, the circumstances, and the parties'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Moses admitted to a poor recall of what occurred, but what she recalled did not assist Mr. Johnson very much. For example, she placed Mr. Johnson's location, when she saw him, on the ground in the curb lane, east of the gutter, not by the crosswalk as Mr. Johnson had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While Mr. Johnson remained in the marked crosswalk, he enjoyed the right of way pursuant to ss. 127(1) and 132(1)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Further, given Mr. Jamieson had come to a stop, Mr. Johnson was entitled to assume Mr. Jamieson would yield the right of way to him: </w:t>
      </w:r>
      <w:r>
        <w:rPr>
          <w:rFonts w:ascii="arial" w:eastAsia="arial" w:hAnsi="arial" w:cs="arial"/>
          <w:i/>
          <w:color w:val="000000"/>
          <w:sz w:val="20"/>
          <w:lang w:val="en-US" w:eastAsia="en-US" w:bidi="ar-SA"/>
        </w:rPr>
        <w:t>Han v. Chahal,</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2013 BCSC 1575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Mr. Johnson did not remain within the marked crosswalk. He stepped clear of it into the gutter area of the curb lane. He intended to walk along it several feet in the three to four foot space between the edge of the sidewalk and the right side of the Toyota.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so doing, he thereby immediately lost the statutory right of way, but is a concept that, to some extent, becomes irrelevant at this point. Mr. Jamieson still owed Mr. Johnson a duty of care, irrespective of Mr. Johnson's cutting of the corner. This case does not turn on rights of way. Both parties were aware of the location of the other. Mr. Jamieson owed a duty of care to Mr. Johnson; Mr. Johnson a duty to take precautions for his own safety: </w:t>
      </w:r>
      <w:r>
        <w:rPr>
          <w:rFonts w:ascii="arial" w:eastAsia="arial" w:hAnsi="arial" w:cs="arial"/>
          <w:i/>
          <w:color w:val="000000"/>
          <w:sz w:val="20"/>
          <w:lang w:val="en-US" w:eastAsia="en-US" w:bidi="ar-SA"/>
        </w:rPr>
        <w:t>Loewen v. Bernardi</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[1994] B.C.J. No. 1169</w:t>
        </w:r>
      </w:hyperlink>
      <w:r>
        <w:rPr>
          <w:rFonts w:ascii="arial" w:eastAsia="arial" w:hAnsi="arial" w:cs="arial"/>
          <w:color w:val="000000"/>
          <w:sz w:val="20"/>
          <w:lang w:val="en-US" w:eastAsia="en-US" w:bidi="ar-SA"/>
        </w:rPr>
        <w:t xml:space="preserve"> (C.A.)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Assuming Mr. Johnson rolled forward two feet, Mr. Jamieson should have taken the extra precaution of remaining where he was until Mr. Johnson was out of the curb lane. But assuming for the sake of discussion that moving in these circumstances constituted a breach of his duty, the plaintiff still cannot meet the burden of proving that Mr. Jamieson's action of taking his foot off the brake and letting the car move ahead one to two feet caused Mr. Johnson's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Johnson testified that Mr. Jamieson was moving slowly when the car mirror caught his hip and spun him around. It is difficult to see how that would generate enough force to spin him around as Mr. Johnson recalled. Mr. Johnson weighed approximately 240 pounds. There is no evidence of damage to the Toyota's right side mirror. There is no evidence of Mr. Johnson shouting anything to Mr. Jamieson.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Considering all the evidence, I find it more likely that Mr. Johnson slipped, as he told Mr. Jamieson at the scene, fell, got up, and for a few moments leaned against the trunk area of the Toyota where Mr. Jamieson saw him leaning against it. It is also possible that Mr. Johnson slipped and fell against the Toyota, but it is not necessary for me to make a specific finding as to the sequence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Jamieson testified he was stopped when he felt the car move. One could argue that the motion in the car Mr. Jamieson said he noticed was the side of the Toyota rubbing up against Mr. Johnson, as opposed to say, leaning against it when he got to his feet, or even falling against it when he slipped. Such analysis becomes unduly speculative and does not really assist, the assumptions failing to accord with Mr. Johnson's description of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summary, I can only conclude that Mr. Johnson has failed to prove on the balance of probabilities that Mr. Jamieson's actions caused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mentioned, Mr. Johnson strikes me as a hard-working, honest individual, but I find his recollection of events is flawed and unreliable. I must decide the issue based on the evidence, and reasonable inferences and findings based on that evidence, not on sympathy.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Assuming I have erred in my conclusion that the plaintiff has failed to prove the plaintiff's actions caused his alleged knee injury, I should note I found the witnesses called by the plaintiff who spoke to damages credible. There is sufficient medical evidence, testimony, and submissions on which medical legal causation and damages could be assessed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Plaintiff's counsel ably said all that could be usefully said on the plaintiff's behalf, but the weight of evidence falls short, and, given my conclusions, I must dismiss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Josephson (Litigation guardian of) v. Balfour Recreation Commission, [2010] B.C.J. No. 756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18, 19 and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S081034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91 C.P.C. (6th)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B.C.L.R. (5th)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695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1038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Davin Durand Josephson by his Litigation Guardian Jodie Aileen Josephson, Plaintiff, and Balfour Recreation Commission, Balfour Recreation Commission doing business as Balfour Golf Course, Osprey Ridge Golf Course Ltd., Osprey Ridge Golf Course Ltd. doing business as Balfour Golf Course and Christopher Clark, Defendants, and Interior Health Authority operating as Kootenay Lake Hospital, Kootenai Medical Clinic, Dr. Elizabeth Sawyer, Dr. Gregory Robert Francis Hand, Dr. Mark Eldon Manteuffel, Dr. Kevin Chang, Dr. James P. Osmanski, Dr. David Paul York, Dr. Jeffrey Dean McDonald, Dr. William Francis Ganz, Jane Doe One, Jane Doe Two, John Doe One, and John Doe Two,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6" w:name="Keywords_23"/>
      <w:bookmarkEnd w:id="166"/>
      <w:r>
        <w:rPr>
          <w:rFonts w:ascii="arial" w:eastAsia="arial" w:hAnsi="arial" w:cs="arial"/>
          <w:b/>
          <w:color w:val="000000"/>
          <w:sz w:val="20"/>
          <w:lang w:val="en-US" w:eastAsia="en-US" w:bidi="ar-SA"/>
        </w:rPr>
        <w:t>Conflict of laws — Jurisdiction — International issues — Determination of — Real and substantial connection — Application by third parties in Idaho for an order that the third party proceedings brought against them be dismissed for lack of jurisdiction dismissed — An order would issue made nunc pro tunc validating service ex juris of the amended third party notices served in Idaho on the third party applicants — The court exercised its jurisdiction under s. 6 of the Court Jurisdiction and Proceedings Transfer Act, as the defendant could not reasonably be required to bring his third party claim in Idaho, where it was barred by operation of law — Court Jurisdiction and Proceedings Transfer Act, s. 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Service out of jurisdiction — Residence or domicile of defendants — In foreign state or territory — Application by third parties in Idaho for an order that the third party proceedings brought against them be dismissed for lack of jurisdiction dismissed — An order would issue made nunc pro tunc validating service ex juris of the amended third party notices served in Idaho on the third party applicants — The court exercised its jurisdiction under s. 6 of the Court Jurisdiction and Proceedings Transfer Act, as the defendant could not reasonably be required to bring his third party claim in Idaho, where it was barred by operation of law — Court Jurisdiction and Proceedings Transfer Act, s. 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7" w:name="Case Summary_23"/>
            <w:bookmarkEnd w:id="1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third parties, the Kootenai Medical Center and various doctors, for an order that the third party proceedings brought against them by the defendant Clark be dismissed for lack of jurisdiction. The plaintiff Josephson and Clark were residents of Idaho. Josephson was a passenger in a golf cart driven by Clark on a golf course in B.C. when he was thrown from the cart and injured. He received medical treatment in B.C. and in Idaho, which the defendant Clark by his third party notice alleged caused Josephson's injuries either in whole or in part. Clark purported to serve the applicants outside B.C. without leave of the court on the basis that the action concerned a tort committed in B.C. as per Rule 13(1) and s. 10(g) of the Court Jurisdiction and Proceedings Transfer Act. The issues were: (1) whether a presumed real and substantial connection existed on the basis of s. 10(g) of the CJPTA that the proceeding concerned a tort committed in B.C.; (2) if not, whether Clark had proved other circumstances constituting a real and substantial connection between B.C. and the facts on which the third party proceeding was based; and (3) if not, whether the court ought to exercise its discretion under s. 6 of the CJPTA.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8" w:name="Holdings of Court_17"/>
            <w:bookmarkEnd w:id="16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insufficient for Clark simply to allege that the claim against the Idaho third party applicants concerned a tort committed in B.C. when a cursory view of the facts underlying the third party claim suggested that it concerned a tort committed in Idaho. (2) The Kootenai Medical Center, which was in Idaho, could not have reasonably foreseen that treating a patient from there would have consequences for the patient in B.C. The third party doctors had no connection whatsoever with B.C. Clark's strongest argument was that he did not choose the forum. He was an Idaho resident sued in B.C. by another Idaho resident. His claim for contribution and indemnity from the Idaho applicants could not be brought against them in Idaho, as he was not in a physician-patient or hospital-patient relationship, and therefore could not engage in the pre-litigation screening process which was a condition precedent to proceeding with litigation in Idaho. There were connections between B.C. and the facts on which the third party proceeding for contribution and indemnity arising out of alleged medical malpractice in Idaho was based, but the connections did not constitute a real and substantial connection. It was not the intention of the drafters of the CJPTA that doctors or hospitals from foreign states would be required to litigate or defend their conduct in Canada simply because a patient was injured or became ill in Canada. (3) Clark was entitled to succeed on his application on the basis of s. 6 of the CJPTA. It could not reasonably be required that he commence his proceedings in Idaho. There was no dispute that he could not bring an action in Idaho against the applicants for contribution and indemnity because he was not the patient and therefore his claim is not one that is recognized under Idaho law. Because he was a defendant in B.C. he would be on the hook for 100 per cent of Josephson's damages, whereas had the action been commenced in Idaho, Clark would only be on the hook for his proportionate share of liability. An order would issue made nunc pro tunc validating service ex juris of the amended third party notices served in Idaho on the third party applicants where leave should have been obtained.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9" w:name="Legislation Cited_20"/>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8"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B.C. Reg. 221/90, Rule 13(1), Rule 13(2), Rule 13(3), Rule 14(6), Rule 14(6.3)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514" w:history="1">
        <w:r>
          <w:rPr>
            <w:rFonts w:ascii="arial" w:eastAsia="arial" w:hAnsi="arial" w:cs="arial"/>
            <w:i/>
            <w:color w:val="0077CC"/>
            <w:sz w:val="20"/>
            <w:u w:val="single"/>
            <w:shd w:val="clear" w:color="auto" w:fill="FFFFFF"/>
            <w:lang w:val="en-US" w:eastAsia="en-US" w:bidi="ar-SA"/>
          </w:rPr>
          <w:t>SBC 2003, CHAPTER 28, s. 1</w:t>
        </w:r>
      </w:hyperlink>
      <w:r>
        <w:rPr>
          <w:rFonts w:ascii="arial" w:eastAsia="arial" w:hAnsi="arial" w:cs="arial"/>
          <w:color w:val="000000"/>
          <w:sz w:val="20"/>
          <w:lang w:val="en-US" w:eastAsia="en-US" w:bidi="ar-SA"/>
        </w:rPr>
        <w:t>, s. 2, s. 3, s. 3(e), s. 6, s. 10(g)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Ontario Rules of Civil Procedure, </w:t>
      </w:r>
      <w:hyperlink r:id="rId515" w:history="1">
        <w:r>
          <w:rPr>
            <w:rFonts w:ascii="arial" w:eastAsia="arial" w:hAnsi="arial" w:cs="arial"/>
            <w:i/>
            <w:color w:val="0077CC"/>
            <w:sz w:val="20"/>
            <w:u w:val="single"/>
            <w:shd w:val="clear" w:color="auto" w:fill="FFFFFF"/>
            <w:lang w:val="en-US" w:eastAsia="en-US" w:bidi="ar-SA"/>
          </w:rPr>
          <w:t>R.R.O. 1990, Reg. 194, Rule 17.02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Quebec Civil Code, Art. 3136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0" w:name="Counsel_24"/>
      <w:bookmarkEnd w:id="1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Defendants, Balfour Recreation Commission and Balfour Recreation Commission doing business as Balfour Golf Course: N. Tsoi.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Christopher Clark: A.M. Mersey, M. Sobkin, C.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Interior Health Authority: S.E. Grubb.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Kootenai Medical Center: J.J. Hyde, C. Trueman.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Drs. Sawyer and Hand: C.L.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Drs. Osmanski, McDonald, Ganz and Manteuffel: R.F. Hungerford, M.F. Manolis.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Dr. Chang: N.L. Fishman, K.A. Arnold.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Dr. York: W.A. Ferguson.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24"/>
      <w:bookmarkEnd w:id="171"/>
      <w:r>
        <w:pict>
          <v:line id="_x0000_s1150"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L.A. LOO J._0"/>
            <w:bookmarkEnd w:id="172"/>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third party applicants Kootenai Medical Center, Dr. Mark Manteuffel, Dr. Kevin Chang, Dr. James Osmanski, Dr. David York, Dr. Jeffrey McDonald, and Dr. William Ganz seek an order that the third party proceedings brought against them by the defendant Christopher Clark be dismissed on the basis that this Court lacks jurisdiction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These applications concern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and in particular ss. 3(e), 6, and 10(g).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Davin Josephson and the defendant Christopher Clark are both residents of the State of Idaho. Mr. Josephson was a passenger in a golf cart driven by Mr. Clark on a golf course in British Columbia when he was thrown from the cart and injured. Mr. Josephson received medical treatment for his injuries in British Columbia and in Idaho, which the defendant Mr. Clark by his third party notice alleges caused Mr. Josephson's injuries either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Clark purported to serve the applicants outside British Columbia without leave of the court on the basis that this action concerns a tort committed in British Columbia (per Rule 13(1)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s. 10(g)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Due to inadvertence, the amended third party notice was served on some or all of the applicants without a Form 6 endorsement (that is, without asserting the basis for his right to serve the applicants outside of British Columbia). The applicants have acknowledged receipt of the amended third party notice without prejudice to their rights to dispute this court's jurisdiction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i/>
          <w:color w:val="000000"/>
          <w:sz w:val="20"/>
          <w:lang w:val="en-US" w:eastAsia="en-US" w:bidi="ar-SA"/>
        </w:rPr>
        <w:t>COURT JURISDICTION AND PROCEEDINGS TRANSFER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came into force on May 4, 2006 and is modelled on the Uniform Law Conference of Canada's ("ULCC") model </w:t>
      </w:r>
      <w:r>
        <w:rPr>
          <w:rFonts w:ascii="arial" w:eastAsia="arial" w:hAnsi="arial" w:cs="arial"/>
          <w:i/>
          <w:color w:val="000000"/>
          <w:sz w:val="20"/>
          <w:lang w:val="en-US" w:eastAsia="en-US" w:bidi="ar-SA"/>
        </w:rPr>
        <w:t>Uniform Court Jurisdiction and Proceedings Transfer Act</w:t>
      </w:r>
      <w:r>
        <w:rPr>
          <w:rFonts w:ascii="arial" w:eastAsia="arial" w:hAnsi="arial" w:cs="arial"/>
          <w:color w:val="000000"/>
          <w:sz w:val="20"/>
          <w:lang w:val="en-US" w:eastAsia="en-US" w:bidi="ar-SA"/>
        </w:rPr>
        <w:t xml:space="preserve">. One of the stated purposes of the model act is to bring Canadian jurisdictional rules in line with the principles articulated by the Supreme Court of Canada in </w:t>
      </w:r>
      <w:r>
        <w:rPr>
          <w:rFonts w:ascii="arial" w:eastAsia="arial" w:hAnsi="arial" w:cs="arial"/>
          <w:i/>
          <w:color w:val="000000"/>
          <w:sz w:val="20"/>
          <w:lang w:val="en-US" w:eastAsia="en-US" w:bidi="ar-SA"/>
        </w:rPr>
        <w:t>Morguard Investments Ltd. v. De Savoye</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Amchem Products Inc. v. British Columbia (Workers' Compensation Board)</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for the purpose of the applications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I - Interpretation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w:t>
      </w:r>
      <w:r>
        <w:rPr>
          <w:rFonts w:ascii="arial" w:eastAsia="arial" w:hAnsi="arial" w:cs="arial"/>
          <w:color w:val="000000"/>
          <w:sz w:val="20"/>
          <w:lang w:val="en-US" w:eastAsia="en-US" w:bidi="ar-SA"/>
        </w:rPr>
        <w:t xml:space="preserve"> means a person who commences a proceeding, and includes a plaintiff by way of counterclaim or third party claim;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w:t>
      </w:r>
      <w:r>
        <w:rPr>
          <w:rFonts w:ascii="arial" w:eastAsia="arial" w:hAnsi="arial" w:cs="arial"/>
          <w:color w:val="000000"/>
          <w:sz w:val="20"/>
          <w:lang w:val="en-US" w:eastAsia="en-US" w:bidi="ar-SA"/>
        </w:rPr>
        <w:t xml:space="preserve"> means an action, suit, cause, matter or originating application and includes a procedure and a preliminary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"territorial competence"</w:t>
      </w:r>
      <w:r>
        <w:rPr>
          <w:rFonts w:ascii="arial" w:eastAsia="arial" w:hAnsi="arial" w:cs="arial"/>
          <w:color w:val="000000"/>
          <w:sz w:val="20"/>
          <w:lang w:val="en-US" w:eastAsia="en-US" w:bidi="ar-SA"/>
        </w:rPr>
        <w:t xml:space="preserve"> means the aspects of a court's jurisdiction that depend on a connection between</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territory or legal system of the state in which the court is established, and</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a proceeding in the court or the facts on which the proceeding is based.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2 - Territorial competence of Courts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this Part</w:t>
      </w:r>
    </w:p>
    <w:p>
      <w:pPr>
        <w:numPr>
          <w:numId w:val="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Part, </w:t>
      </w:r>
      <w:r>
        <w:rPr>
          <w:rFonts w:ascii="arial" w:eastAsia="arial" w:hAnsi="arial" w:cs="arial"/>
          <w:b/>
          <w:color w:val="000000"/>
          <w:sz w:val="20"/>
          <w:lang w:val="en-US" w:eastAsia="en-US" w:bidi="ar-SA"/>
        </w:rPr>
        <w:t>"court"</w:t>
      </w:r>
      <w:r>
        <w:rPr>
          <w:rFonts w:ascii="arial" w:eastAsia="arial" w:hAnsi="arial" w:cs="arial"/>
          <w:color w:val="000000"/>
          <w:sz w:val="20"/>
          <w:lang w:val="en-US" w:eastAsia="en-US" w:bidi="ar-SA"/>
        </w:rPr>
        <w:t xml:space="preserve"> means a court of British Columbia.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territorial competence of a court is to be determined solely by reference to this Part.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Proceedings against a person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 court has territorial competence in a proceeding that is brought against a person only if</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the plaintiff in another proceeding in the court to which the proceeding in question is a counterclaim,</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the proceeding that person submits to the court's jurisdiction,</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plaintiff and that person to the effect that the court has jurisdiction in the proceeding,</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ordinarily resident in British Columbia at the time of the commencement of the proceeding, or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Residual discretion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 court that under section 3 lacks territorial competence in a proceeding may hear the proceeding despite that section if it considers that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court outside British Columbia in which the plaintiff can commence the proceeding, 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commencement of the proceeding in a court outside British Columbia cannot reasonably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Real and substantial connection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what was formerly referred to as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is now referred to as "territorial competence" as defined in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procedure for challenging territorial competence is found in Rule 14(6) and (6.3)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process in a proceeding, whether served with the originating process in that proceeding in or outside of British Columbia, may, after entering an appearance,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a pleading or to dismiss or stay the proceeding on the ground that the originating process or other pleading does not allege facts that, if true, would establish that the court has jurisdiction over that party in respect of the claim made against that party in the proceeding,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dismiss or stay the proceeding on the ground that the court does not have jurisdiction over that party in respect of the claim made against that party in the proceeding, or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 in a pleading that the court does not have jurisdiction over that party in respect of the claim made against that party in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application is brought under subrule (6) (a) or (b) or (6.2) or an issue is raised by an allegation in a pleading referred to in subrule (6) (c), the court may, on the application of a party of record, before deciding the first-mentioned application or issue,</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stay the proceeding,</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directions for the conduct of the first-mentioned application,</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directions for the conduct of the proceeding, and</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discharge any order previously made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substantive rules for determining the court's territorial competence are set out in s. 3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These applications concern s. 3(e): this court has territorial competence in a proceeding that is brought against the third party applicants only if there is a real and substantial connection between British Columbia and the facts on which the proceeding against the third parties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Section 10 sets out the circumstances in which a real and substantial connection between British Columbia and the facts on which a proceeding is based is presumed to exist. Under s. 10(g), this includes a proceeding that "concerns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circumstances in which a real and substantial connection is presumed to exist largely track the grounds on which service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xml:space="preserve"> could be effected under the former Rule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10 is distinct from s. 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which constitutes a complete codification of the common law test for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Teck Cominco Metals Ltd. v. Lloyd's Underwriters</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2009 SCC 11</w:t>
        </w:r>
      </w:hyperlink>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[2009] 1 S.C.R. 321</w:t>
        </w:r>
      </w:hyperlink>
      <w:r>
        <w:rPr>
          <w:rFonts w:ascii="arial" w:eastAsia="arial" w:hAnsi="arial" w:cs="arial"/>
          <w:color w:val="000000"/>
          <w:sz w:val="20"/>
          <w:lang w:val="en-US" w:eastAsia="en-US" w:bidi="ar-SA"/>
        </w:rPr>
        <w:t xml:space="preserve"> at paras. 21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court must first determine whether it has territorial competence before it can consider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whether it should decline jurisdiction on the basis that there is a more appropriate forum. The burden of establishing territorial competence rests with the party seeking to establish its existence: </w:t>
      </w:r>
      <w:r>
        <w:rPr>
          <w:rFonts w:ascii="arial" w:eastAsia="arial" w:hAnsi="arial" w:cs="arial"/>
          <w:i/>
          <w:color w:val="000000"/>
          <w:sz w:val="20"/>
          <w:lang w:val="en-US" w:eastAsia="en-US" w:bidi="ar-SA"/>
        </w:rPr>
        <w:t>Williams v. TST Porter dba 6422217 Canada Inc.</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2008 BCSC 1315</w:t>
        </w:r>
      </w:hyperlink>
      <w:r>
        <w:rPr>
          <w:rFonts w:ascii="arial" w:eastAsia="arial" w:hAnsi="arial" w:cs="arial"/>
          <w:color w:val="000000"/>
          <w:sz w:val="20"/>
          <w:lang w:val="en-US" w:eastAsia="en-US" w:bidi="ar-SA"/>
        </w:rPr>
        <w:t xml:space="preserve"> at paras. 12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purpose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was recently considered in </w:t>
      </w:r>
      <w:r>
        <w:rPr>
          <w:rFonts w:ascii="arial" w:eastAsia="arial" w:hAnsi="arial" w:cs="arial"/>
          <w:i/>
          <w:color w:val="000000"/>
          <w:sz w:val="20"/>
          <w:lang w:val="en-US" w:eastAsia="en-US" w:bidi="ar-SA"/>
        </w:rPr>
        <w:t>Stanway v. Wyeth Pharmaceuticals Inc.</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2009 BCCA 592</w:t>
        </w:r>
      </w:hyperlink>
      <w:r>
        <w:rPr>
          <w:rFonts w:ascii="arial" w:eastAsia="arial" w:hAnsi="arial" w:cs="arial"/>
          <w:color w:val="000000"/>
          <w:sz w:val="20"/>
          <w:lang w:val="en-US" w:eastAsia="en-US" w:bidi="ar-SA"/>
        </w:rPr>
        <w:t xml:space="preserve">. The plaintiff in that case, a resident of British Columbia, developed breast cancer as a result of taking Progestin in combination with the defendants' hormone replacement therapy drug Premarin, which she had purchased in British Columbia. Her claim against both the Canadian and United States defendants was for negligent manufacture and failure to warn. Writing for the Court of Appeal, K. Smith J.A. discussed the law before and after the enactment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noting that what was formerly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is now "territorial competence" as defined in s. 1, the criteria for determining territorial competence are set out in s. 3, and that Rule 13(1) was amended to permit service on a person outside British Columbia in any of the circumstances enumerated in s. 10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He stated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presumption of a real and substantial connection in s. 10 is a mandatory presumption with basic facts. The basic facts are those set out in s. 10(a) through (l), which are taken to be proven if they are pleaded. While the presumption is rebuttable, it is likely to be determinative in almost all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concluded that, based on the pleadings and the evidence, there was a presumed real and substantial connection between British Columbia and the facts pursuant to ss. 10(g) and (h):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s. 10(g)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was satisfied on the plaintiff's pleading and there was a presumed real and substantial connection between British Columbia and the facts on which the proceeding against the defendants was based on the basis that the proceeding concerns torts committed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Further, the plea that the defendants jointly "marketed, tested, manufactured, labelled, distributed, promoted, sold, and otherwise placed" the products into the stream of commerce in British Columbia is in effect a plea that the defendants (including the US defendants) carried on business in British Columbia. Thus, s. 10(h)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was also satisfied and a presumption of territorial competence was raised.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question then for the chambers judge was whether the US defendants rebutted the presumption of real and substantial connections on these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He found that once the chambers judge, </w:t>
      </w:r>
      <w:hyperlink r:id="rId521" w:history="1">
        <w:r>
          <w:rPr>
            <w:rFonts w:ascii="arial" w:eastAsia="arial" w:hAnsi="arial" w:cs="arial"/>
            <w:i/>
            <w:color w:val="0077CC"/>
            <w:sz w:val="20"/>
            <w:u w:val="single"/>
            <w:shd w:val="clear" w:color="auto" w:fill="FFFFFF"/>
            <w:lang w:val="en-US" w:eastAsia="en-US" w:bidi="ar-SA"/>
          </w:rPr>
          <w:t>[2008] B.C.J. No. 1212</w:t>
        </w:r>
      </w:hyperlink>
      <w:r>
        <w:rPr>
          <w:rFonts w:ascii="arial" w:eastAsia="arial" w:hAnsi="arial" w:cs="arial"/>
          <w:color w:val="000000"/>
          <w:sz w:val="20"/>
          <w:lang w:val="en-US" w:eastAsia="en-US" w:bidi="ar-SA"/>
        </w:rPr>
        <w:t xml:space="preserve">, concluded that the United States defendants had not rebutted the presumed real and substantial connection, it was not necessary for her to consider the factors described by Sharpe J.A. in </w:t>
      </w:r>
      <w:r>
        <w:rPr>
          <w:rFonts w:ascii="arial" w:eastAsia="arial" w:hAnsi="arial" w:cs="arial"/>
          <w:i/>
          <w:color w:val="000000"/>
          <w:sz w:val="20"/>
          <w:lang w:val="en-US" w:eastAsia="en-US" w:bidi="ar-SA"/>
        </w:rPr>
        <w:t>Muscutt v. Courcelles</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(2002), 60 O.R. (3d) 20</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The chambers judge had to go no further to conclude that the US defendants' application should be dismissed. Her reliance on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factors was misplaced. The validity of the approach used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to determine jurisdiction was doubted in </w:t>
      </w:r>
      <w:r>
        <w:rPr>
          <w:rFonts w:ascii="arial" w:eastAsia="arial" w:hAnsi="arial" w:cs="arial"/>
          <w:i/>
          <w:color w:val="000000"/>
          <w:sz w:val="20"/>
          <w:lang w:val="en-US" w:eastAsia="en-US" w:bidi="ar-SA"/>
        </w:rPr>
        <w:t>Coutu v. Gauthier (Estate)</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2006 NBCA 16</w:t>
        </w:r>
      </w:hyperlink>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264 D.L.R. (4th) 319</w:t>
        </w:r>
      </w:hyperlink>
      <w:r>
        <w:rPr>
          <w:rFonts w:ascii="arial" w:eastAsia="arial" w:hAnsi="arial" w:cs="arial"/>
          <w:color w:val="000000"/>
          <w:sz w:val="20"/>
          <w:lang w:val="en-US" w:eastAsia="en-US" w:bidi="ar-SA"/>
        </w:rPr>
        <w:t xml:space="preserve"> at paras. 66-75. Chief Justice Drapeau, writing for the court, summarized his view at para. 67: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In my respectful judgment, factor (1) is the essence of the "real and substantial connection" test and factors (2)-(8) invite the courts to go beyond that standard (see Walker, "Beyond Real and Substantial Connection: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Quintet"). Indeed, the last seven factors, while differently formulated, appear to match, in substance and effect, the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factors enumerated in </w:t>
      </w:r>
      <w:r>
        <w:rPr>
          <w:rFonts w:ascii="arial" w:eastAsia="arial" w:hAnsi="arial" w:cs="arial"/>
          <w:i/>
          <w:color w:val="000000"/>
          <w:sz w:val="20"/>
          <w:lang w:val="en-US" w:eastAsia="en-US" w:bidi="ar-SA"/>
        </w:rPr>
        <w:t>Spar Aerospace</w:t>
      </w:r>
      <w:r>
        <w:rPr>
          <w:rFonts w:ascii="arial" w:eastAsia="arial" w:hAnsi="arial" w:cs="arial"/>
          <w:color w:val="000000"/>
          <w:sz w:val="20"/>
          <w:lang w:val="en-US" w:eastAsia="en-US" w:bidi="ar-SA"/>
        </w:rPr>
        <w:t>. Recall that those factors include the interest of justice, the interest of the parties, any advantages conferred upon the plaintiff by his or her choice of forum, the existence of proceedings pending between the parties in another jurisdiction and the need to have the judgment recognized in another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approach has also been criticized in some of the academic literature: see Blom &amp; Edinger, "The Chimera of the Real and Substantial Connection Test" </w:t>
      </w:r>
      <w:hyperlink r:id="rId524" w:history="1">
        <w:r>
          <w:rPr>
            <w:rFonts w:ascii="arial" w:eastAsia="arial" w:hAnsi="arial" w:cs="arial"/>
            <w:i/>
            <w:color w:val="0077CC"/>
            <w:sz w:val="20"/>
            <w:u w:val="single"/>
            <w:shd w:val="clear" w:color="auto" w:fill="FFFFFF"/>
            <w:lang w:val="en-US" w:eastAsia="en-US" w:bidi="ar-SA"/>
          </w:rPr>
          <w:t>(2005) 38 U.B.C. L. Rev. 373</w:t>
        </w:r>
      </w:hyperlink>
      <w:r>
        <w:rPr>
          <w:rFonts w:ascii="arial" w:eastAsia="arial" w:hAnsi="arial" w:cs="arial"/>
          <w:color w:val="000000"/>
          <w:sz w:val="20"/>
          <w:lang w:val="en-US" w:eastAsia="en-US" w:bidi="ar-SA"/>
        </w:rPr>
        <w:t xml:space="preserve"> at paras. 36-40 and Tanya J. Monestier, "A Real and Substantial Mess: The Law of Jurisdiction in Canada" </w:t>
      </w:r>
      <w:hyperlink r:id="rId525" w:history="1">
        <w:r>
          <w:rPr>
            <w:rFonts w:ascii="arial" w:eastAsia="arial" w:hAnsi="arial" w:cs="arial"/>
            <w:i/>
            <w:color w:val="0077CC"/>
            <w:sz w:val="20"/>
            <w:u w:val="single"/>
            <w:shd w:val="clear" w:color="auto" w:fill="FFFFFF"/>
            <w:lang w:val="en-US" w:eastAsia="en-US" w:bidi="ar-SA"/>
          </w:rPr>
          <w:t>(2007) 33 Queen's L.J. 179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In my view, any reliance on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factors as a guide to determining the question of jurisdiction came to an end in British Columbia with the coming into force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Breda v. Village Resorts Limited</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2010 ONCA 84</w:t>
        </w:r>
      </w:hyperlink>
      <w:r>
        <w:rPr>
          <w:rFonts w:ascii="arial" w:eastAsia="arial" w:hAnsi="arial" w:cs="arial"/>
          <w:color w:val="000000"/>
          <w:sz w:val="20"/>
          <w:lang w:val="en-US" w:eastAsia="en-US" w:bidi="ar-SA"/>
        </w:rPr>
        <w:t xml:space="preserve">, a five-judge panel of the Ontario Court of Appeal made "several clarifications and modifications to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test in light of the post-</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changes to the legal landscape"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will return to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BACKGROUND AND UNDERLYING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16, 2007 Davin Josephson and Christopher Clark, both residents of Hayden, Idaho, were golfing at the Balfour Golf Course in Balfour, near Nelson, British Columbia. Mr. Clark was driving the golf court and Mr. Josephson was his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the statement of claim, at approximately 5:00 p.m. Mr. Josephson was thrown from the cart and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statement of claim alleges that Mr. Josephson's injuries and damages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following defendants: Mr. Clark, Osprey Ridge Golf Course Ltd. doing business as Balfour Golf Course, and Balfour Recreation Commission as the registered owner of the golf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Josephson commenced this action in British Columbia on February 21, 2008. He is represented by his wife Jodie Josephson as his litigation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Clark filed his statement of defence on July 15, 2008 and denies he was negligent; instead, he alleges that Mr. Josephson's injuries and damages were caused or contributed to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pleads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16, 2009, Mr. Clark filed a third party notice naming the Kootenay Lake Hospital, and Drs. Elizabeth Sawyer and Gregory Hand, each of whom reside in British Columbia and take no position on this application. The third party notice also names the third party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third party notice was amended by order on July 29, 2009 so that the "Kootenay Lake Hospital" is now referred to as the "Interior Health Authority operating as the Kootenay Lake Hospital". The amended notice was filed on August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13(1) to (3) provides as follows:</w:t>
      </w:r>
      <w:r>
        <w:rPr>
          <w:rFonts w:ascii="arial" w:eastAsia="arial" w:hAnsi="arial" w:cs="arial"/>
          <w:sz w:val="20"/>
          <w:lang w:val="en-US" w:eastAsia="en-US" w:bidi="ar-SA"/>
        </w:rPr>
        <w:cr/>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 of an originating process or other document on a person outside British Columbia may be effected without leave in any of the circumstances enumerated in section 10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a family law proceeding, a copy of an originating process served outside British Columbia without leave shall state specifically by endorsement in Form 6 upon which of the circumstances enumerated in section 10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it is claimed that service is permitted under this rule.</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case not provided for in subrule (1), the court may grant leave to serve an originating process or other document outside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the allegations set out in the third party notice, after the golf cart accident, Mr. Josephson left the golf course by ambulance and arrived at Kootenay Lake Hospital in Nelson at 20:41 where he was treated by Drs. Sawyer and Hand. During that time Mr. Josephson exhibited signs of closed head injury, early signs of basal skull fracture, and signs of distress. He was "intubated, sedated and paralyzed" and they prepared for transport to Kootenay Boundary Regional Hospital in Trail where he arrived at 23:55. A CT brain scan revealed that Mr. Josephson had a basal skull fracture, marked brain swelling, and haemorrhages. He was discharged at around 3:34 and transferred to Kootenai Medical Center where he was admitted around 5:14 on June 17,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Kootenai Medical Center, a 246-bed acute care hospital in Coeur d'Alene, Idaho, is owned and operated by Kootenai Hospital District, a government entity of the State of Idaho. Each of the personal third party applicants is a medical doctor who provided care to Mr. Josephson at Kootenai Medical Center.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allegations contained in both the original and the amended third party notice are extensively particularized as to the actions said to constitute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focus of Mr. Clark's argument, as alleged in the amended third party notice, is that from June 17 to on or about June 30, Mr. Josephson was intermittently able to follow simple commands and move all of his limbs. Between June 25 and June 30 he began exhibiting diffuse weakness, by June 29 he was diagnosed as suffering from pre-renal failure and myoglobinuria, and by July 2, he was diagnosed as suffering flaccid quadraparesis.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clinical records and the deposition evidence of Mrs. Josephson, when Mr. Josephson was admitted to Kootenai Medical Center's intensive care unit on June 16, he was "extremely vigorous and moving all four extremities, combative, and purposeful". He could move his arms and legs, reach out, and give his wife and daughter kisses. However, his condition gradually worsened and he developed a fever. Less than two weeks after he was admitted, Mr. Josephson became and remains a brain-damaged quadriplegic.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substantive issues underlying Mr. Clark's claim, therefore, are the damages suffered by Mr. Josephson as a result of the golf cart incident, and the extent to which they were caused or contributed to by his medical treatment (if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Mr. Josephson indicates that he has no intention of advancing a claim against the third party applicants. There is no suggestion that either Mr. Josephson or his litigation guardian intends to commence an action in Idaho for damages for injuries arising out of the golf cart incident or his medical treatment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issues for determination are as follows: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presumed real and substantial connection exists on the basis of s. 10(g)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that the proceeding "concerns a tort committed in British Columbia"; if not,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Clark has proved other circumstances that constitute a real and substantial connection between British Columbia and the facts on which the third party proceeding is based; if not,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this Court should exercise its discretion under s.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 Is there a presumed real and substantial connection under s. 10(g)?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virtue of the definition of "proceeding" in ss. 1 and 3(e), the "proceeding" for the purposes of this application must be the third party proceeding and not the main or primary proceeding between the plaintiff and the defendants -- that is because the plaintiff has not brought a proceeding against any of the third party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third party proceeding is a substantive proceeding and not a mere incident of the principal action. In </w:t>
      </w:r>
      <w:r>
        <w:rPr>
          <w:rFonts w:ascii="arial" w:eastAsia="arial" w:hAnsi="arial" w:cs="arial"/>
          <w:i/>
          <w:color w:val="000000"/>
          <w:sz w:val="20"/>
          <w:lang w:val="en-US" w:eastAsia="en-US" w:bidi="ar-SA"/>
        </w:rPr>
        <w:t>Bank of Montreal v. Royal Bank of Canada</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[1933] S.C.R. 311</w:t>
        </w:r>
      </w:hyperlink>
      <w:r>
        <w:rPr>
          <w:rFonts w:ascii="arial" w:eastAsia="arial" w:hAnsi="arial" w:cs="arial"/>
          <w:color w:val="000000"/>
          <w:sz w:val="20"/>
          <w:lang w:val="en-US" w:eastAsia="en-US" w:bidi="ar-SA"/>
        </w:rPr>
        <w:t>, Duff C.J. said the following at 315-16: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Claims for indemnity, for example, from a third party, by a defendant in respect of the claim in the principal action against him, can be preferred and dealt with in the principal action. But there can be no doubt that the proceeding against the third party is a substantive proceeding and not a mere incident of the principal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Mainland Sawmills Ltd. v. IWA-Canada Local 1-3567</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2007 BCSC 1734</w:t>
        </w:r>
      </w:hyperlink>
      <w:r>
        <w:rPr>
          <w:rFonts w:ascii="arial" w:eastAsia="arial" w:hAnsi="arial" w:cs="arial"/>
          <w:color w:val="000000"/>
          <w:sz w:val="20"/>
          <w:lang w:val="en-US" w:eastAsia="en-US" w:bidi="ar-SA"/>
        </w:rPr>
        <w:t>, Fisher J. described third party proceedings as "stand alone"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Ms. Young, counsel for the Union, objected to the plaintiffs having any standing to make submissions on this application. She says that the issues between the parties in the third party proceedings stand alone and do not affect the plaintiffs. It is clear that generally, claims for indemnity and third party actions are not mere incidents to the principal action but are independent actions: </w:t>
      </w:r>
      <w:r>
        <w:rPr>
          <w:rFonts w:ascii="arial" w:eastAsia="arial" w:hAnsi="arial" w:cs="arial"/>
          <w:i/>
          <w:color w:val="000000"/>
          <w:sz w:val="20"/>
          <w:lang w:val="en-US" w:eastAsia="en-US" w:bidi="ar-SA"/>
        </w:rPr>
        <w:t>Wire Rope Industries of Canada (1966) Ltd. v. British Columbia Marine Shipbuilders Ltd.</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[1981] 1 S.C.R. 363</w:t>
        </w:r>
      </w:hyperlink>
      <w:r>
        <w:rPr>
          <w:rFonts w:ascii="arial" w:eastAsia="arial" w:hAnsi="arial" w:cs="arial"/>
          <w:color w:val="000000"/>
          <w:sz w:val="20"/>
          <w:lang w:val="en-US" w:eastAsia="en-US" w:bidi="ar-SA"/>
        </w:rPr>
        <w:t xml:space="preserve">. It has been held in this Court that a plaintiff does not have standing to apply to set aside a third party notice: </w:t>
      </w:r>
      <w:r>
        <w:rPr>
          <w:rFonts w:ascii="arial" w:eastAsia="arial" w:hAnsi="arial" w:cs="arial"/>
          <w:i/>
          <w:color w:val="000000"/>
          <w:sz w:val="20"/>
          <w:lang w:val="en-US" w:eastAsia="en-US" w:bidi="ar-SA"/>
        </w:rPr>
        <w:t>Hopegain International Holdings Inc. v. Buxton</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2002 BCSC 11</w:t>
        </w:r>
      </w:hyperlink>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97 B.C.L.R. (3d) 98</w:t>
        </w:r>
      </w:hyperlink>
      <w:r>
        <w:rPr>
          <w:rFonts w:ascii="arial" w:eastAsia="arial" w:hAnsi="arial" w:cs="arial"/>
          <w:color w:val="000000"/>
          <w:sz w:val="20"/>
          <w:lang w:val="en-US" w:eastAsia="en-US" w:bidi="ar-SA"/>
        </w:rPr>
        <w:t xml:space="preserve"> at para. 13-14.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 agree that the plaintiffs have no interest in the substantive issue as between the Union and Mr. Ghag in the third party proceeding. However, it is my view that they have an interest in the process as to whether or not this Court reopens and reconsiders the judgment and I have considered the submission of the plaintiffs as set out in the Outline filed by Mr. McDonell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facts on which Mr. Clark relies in the third party proceedings refer to the golf course incident and the claim by Mr. Josephson against Mr. Clark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Mr. Clark's claim against the third party applicants alleges that Mr. Josephson received negligent medical treatment and care in Idaho.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Counsel for Mr. Clark relies on </w:t>
      </w:r>
      <w:r>
        <w:rPr>
          <w:rFonts w:ascii="arial" w:eastAsia="arial" w:hAnsi="arial" w:cs="arial"/>
          <w:i/>
          <w:color w:val="000000"/>
          <w:sz w:val="20"/>
          <w:lang w:val="en-US" w:eastAsia="en-US" w:bidi="ar-SA"/>
        </w:rPr>
        <w:t>Price v. Milawski</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(1977), 18 O.R. (2d) 113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Scarff v. Wilson</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(1986), 10 B.C.L.R. (2d) 273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Moran v. Pyle National (Canada) Ltd.</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but none of those cases assist in determining whether the third party proceedings against the third party applicants concern a tort committed in British Columbia.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Scarff</w:t>
      </w:r>
      <w:r>
        <w:rPr>
          <w:rFonts w:ascii="arial" w:eastAsia="arial" w:hAnsi="arial" w:cs="arial"/>
          <w:color w:val="000000"/>
          <w:sz w:val="20"/>
          <w:lang w:val="en-US" w:eastAsia="en-US" w:bidi="ar-SA"/>
        </w:rPr>
        <w:t xml:space="preserve"> dealt with separate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two or more parties.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xml:space="preserve"> dealt with negligent or careless manufacture, and concluded at 409 that "the forum in which the plaintiff suffered damage is entitled to exercise judicial jurisdiction over that foreign defendant. This rule recognizes the important interest a state has in injuries suffered by persons within its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Clark alleges that the Idaho hospital and the Idaho doctors (who are the third party applicants) were negligent in their medical treatment of Mr. Josephson and that he sustained damages as a result. It cannot be said that Mr. Josephson's damages (if any)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Idaho hospital and doctors occurred in British Columbia. The facts on which the third party proceeding is based, thus, concern a tort committed by the Idaho third parties in Idaho -- not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Clark urges that there should be a broader and more liberal interpretation given to s. 10(g) to account for those circumstances when there is more than one tortfeasor, one of whom resides outside of the jurisdiction, or those circumstances where the court must decide whether a tortfeasor is liable for damages caused or contributed to by the subsequent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another party. In my view that is simply another way of saying that the Idaho third party applicants are necessary or proper parties to the proceedings between Mr. Josephson and Mr. Clark and ignores that there must </w:t>
      </w:r>
      <w:r>
        <w:rPr>
          <w:rFonts w:ascii="arial" w:eastAsia="arial" w:hAnsi="arial" w:cs="arial"/>
          <w:color w:val="000000"/>
          <w:sz w:val="20"/>
          <w:u w:val="single"/>
          <w:lang w:val="en-US" w:eastAsia="en-US" w:bidi="ar-SA"/>
        </w:rPr>
        <w:t>still</w:t>
      </w:r>
      <w:r>
        <w:rPr>
          <w:rFonts w:ascii="arial" w:eastAsia="arial" w:hAnsi="arial" w:cs="arial"/>
          <w:color w:val="000000"/>
          <w:sz w:val="20"/>
          <w:lang w:val="en-US" w:eastAsia="en-US" w:bidi="ar-SA"/>
        </w:rPr>
        <w:t xml:space="preserve"> be a real and substantial connection between the jurisdiction and the facts on which the subject proceedings are based in order for the court to take jurisdiction over the third party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commentary of the ULCC on s. 10 includes the following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10.3.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One common ground for service </w:t>
            </w:r>
            <w:r>
              <w:rPr>
                <w:rFonts w:ascii="arial" w:eastAsia="arial" w:hAnsi="arial" w:cs="arial"/>
                <w:i/>
                <w:color w:val="000000"/>
                <w:sz w:val="18"/>
                <w:lang w:val="en-US" w:eastAsia="en-US" w:bidi="ar-SA"/>
              </w:rPr>
              <w:t>ex juris</w:t>
            </w:r>
            <w:r>
              <w:rPr>
                <w:rFonts w:ascii="arial" w:eastAsia="arial" w:hAnsi="arial" w:cs="arial"/>
                <w:color w:val="000000"/>
                <w:sz w:val="18"/>
                <w:lang w:val="en-US" w:eastAsia="en-US" w:bidi="ar-SA"/>
              </w:rPr>
              <w:t xml:space="preserve"> is not found among the presumed real and substantial connections in section 10, namely, that the defendant is a necessary or proper party to an action brought against a person served in the jurisdiction. The reason is that such a rule would be out of place in provisions that are based, not on service, but on substantive connections between the proceeding and the enacting jurisdiction. If a plaintiff wishes to bring proceedings against two defendants, one of whom is ordinarily resident in the enacting jurisdiction and the other of whom is not, territorial competence over the first defendant will be present under paragraph 3(d). Territorial competence over the second defendant will not be presumed merely on the ground that that person is a necessary or proper party to the proceeding against the first person. The proceeding against the second person will have to meet the real and substantial connection test in paragraph 3(e).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insufficient for Mr. Clark simply to allege that the claim against the Idaho third party applicants "concerns a tort committed in British Columbia" when a cursory view of the facts underlying the third party claim suggests that it concerns a tort committed in Idaho.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2. Is there a real and substantial connection between British Columbia and the facts on which the proceeding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If Mr. Clark cannot rely on the presumption of a real and substantial connection conferred by s. 10(g), he may still prove other circumstances that constitute a real and substantial connection between British Columbia and the facts on which the proceeding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Clark argues that the interpretation of "real and substantial connection" must be flexible to accommodate the myriad of factual situations that come before the Court. He relies on the guiding principles of order and fairness enunciated by the Ontario Court of Appeal in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which clarified and reformulated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test. Sharpe J.A. stated at para.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summarize the preceding discussion, in my view,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test should be clarified and reformulated as follows: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court should determine whether the claim falls under rule 17.02 (excepting subrules (h) and (o)) to determine whether a real and substantial connection with Ontario is presumed to exist. The presence or absence of a presumption will frame the second stage of the analysis. If one of the connections identified in rule 17.02 (excepting subrules (h) and (o)) is made out, the defendant bears the burden of showing that a real and substantial connection does not exist. If one of those connections is not made out, the burden falls on the plaintiff to demonstrate that, in the particular circumstances of the case, the real and substantial connection test is met.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second stage, the core of the analysis rests upon the connection between Ontario and the plaintiff's claim and the defendant, respectively.</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remaining considerations should not be treated as independent factors having more or less equal weight when determining whether there is a real and substantial connection but as general legal principles that bear upon the analysis.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of the fairness of assuming or refusing jurisdiction is a necessary tool in assessing the strengths of the connections between the forum and the plaintiff's claim and the defendant. However, fairness is not a free-standing factor capable of trumping weak connections, subject only to the forum of necessity exception.</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Consideration of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and the real and substantial connection test should not anticipate, incorporate or replicate consideration of the matters that pertain to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test.</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involvement of other parties to the suit is only relevant in cases where that is asserted as a possible connecting factor and in relation to avoiding a multiplicity of proceedings under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willingness to recognize and enforce an extra-provincial judgment rendered on the same jurisdictional basis is as an overarching principle that disciplines the exercise of jurisdiction against extra-provincial defendants. This principle provides perspective and is intended to prevent a judicial tendency to overreach to assume jurisdiction when the plaintiff is an Ontario resident. If the court would not be prepared to recognize and enforce an extra-provincial judgment against an Ontario defendant rendered on the same jurisdictional basis, it should not assume jurisdiction against the extra-provincial defendant.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case is interprovincial or international in nature, and comity and the standards of jurisdiction, recognition and enforcement prevailing elsewhere are relevant considerations, not as independent factors having more or less equal weight with the others, but as general principles of private international law that bear upon the interpretation and application of the real and substantial connection test.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factors to be considered for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are different and distinct from those to be considered for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factors have no bearing on real and substantial connection and, therefore, should only be considered after it has been determined that there is a real and substantial connection and that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has been established.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no other forum in which the plaintiff can reasonably seek relief, there is a residual discretion to assume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Ontario has not adopted the ULCC's model act. The first part of the reformulated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test requires the court to determine whether the proceeding falls within one of the presumed connections or categories in Rule 17.02 of the Ontario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R.R.O. 1990, Reg. 194</w:t>
      </w:r>
      <w:r>
        <w:rPr>
          <w:rFonts w:ascii="arial" w:eastAsia="arial" w:hAnsi="arial" w:cs="arial"/>
          <w:color w:val="000000"/>
          <w:sz w:val="20"/>
          <w:lang w:val="en-US" w:eastAsia="en-US" w:bidi="ar-SA"/>
        </w:rPr>
        <w:t xml:space="preserve">, which contains a list of circumstances similar to those in s. 10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If not, then the plaintiff has the burden of demonstrating that there is a real and substantial connection based on other circumstances. The core of the analysis in determining whether a real and substantial connection exists rests on the connection of both the plaintiff's claim and the defendant to the forum. The remaining considerations are the general legal principles or tools that assist in conducting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discussing the core of the real and substantial connection test, Sharpe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As we explained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at para. 36, the Supreme Court of Canada has rejected the notion that there is a precise or mechanical test to define the nature or degree of connections required. In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at pp. 1104-1109, the Court variously described a real and substantial connection as a connection "between the </w:t>
      </w:r>
      <w:r>
        <w:rPr>
          <w:rFonts w:ascii="arial" w:eastAsia="arial" w:hAnsi="arial" w:cs="arial"/>
          <w:i/>
          <w:color w:val="000000"/>
          <w:sz w:val="20"/>
          <w:lang w:val="en-US" w:eastAsia="en-US" w:bidi="ar-SA"/>
        </w:rPr>
        <w:t>subject-matter of the action</w:t>
      </w:r>
      <w:r>
        <w:rPr>
          <w:rFonts w:ascii="arial" w:eastAsia="arial" w:hAnsi="arial" w:cs="arial"/>
          <w:color w:val="000000"/>
          <w:sz w:val="20"/>
          <w:lang w:val="en-US" w:eastAsia="en-US" w:bidi="ar-SA"/>
        </w:rPr>
        <w:t xml:space="preserve"> and the territory where the action is brought", "between the jurisdiction and the </w:t>
      </w:r>
      <w:r>
        <w:rPr>
          <w:rFonts w:ascii="arial" w:eastAsia="arial" w:hAnsi="arial" w:cs="arial"/>
          <w:i/>
          <w:color w:val="000000"/>
          <w:sz w:val="20"/>
          <w:lang w:val="en-US" w:eastAsia="en-US" w:bidi="ar-SA"/>
        </w:rPr>
        <w:t>wrongdoing</w:t>
      </w:r>
      <w:r>
        <w:rPr>
          <w:rFonts w:ascii="arial" w:eastAsia="arial" w:hAnsi="arial" w:cs="arial"/>
          <w:color w:val="000000"/>
          <w:sz w:val="20"/>
          <w:lang w:val="en-US" w:eastAsia="en-US" w:bidi="ar-SA"/>
        </w:rPr>
        <w:t xml:space="preserve">", "between the </w:t>
      </w:r>
      <w:r>
        <w:rPr>
          <w:rFonts w:ascii="arial" w:eastAsia="arial" w:hAnsi="arial" w:cs="arial"/>
          <w:i/>
          <w:color w:val="000000"/>
          <w:sz w:val="20"/>
          <w:lang w:val="en-US" w:eastAsia="en-US" w:bidi="ar-SA"/>
        </w:rPr>
        <w:t>damages suffered</w:t>
      </w:r>
      <w:r>
        <w:rPr>
          <w:rFonts w:ascii="arial" w:eastAsia="arial" w:hAnsi="arial" w:cs="arial"/>
          <w:color w:val="000000"/>
          <w:sz w:val="20"/>
          <w:lang w:val="en-US" w:eastAsia="en-US" w:bidi="ar-SA"/>
        </w:rPr>
        <w:t xml:space="preserve"> and the jurisdiction", "between the </w:t>
      </w:r>
      <w:r>
        <w:rPr>
          <w:rFonts w:ascii="arial" w:eastAsia="arial" w:hAnsi="arial" w:cs="arial"/>
          <w:i/>
          <w:color w:val="000000"/>
          <w:sz w:val="20"/>
          <w:lang w:val="en-US" w:eastAsia="en-US" w:bidi="ar-SA"/>
        </w:rPr>
        <w:t>defendant</w:t>
      </w:r>
      <w:r>
        <w:rPr>
          <w:rFonts w:ascii="arial" w:eastAsia="arial" w:hAnsi="arial" w:cs="arial"/>
          <w:color w:val="000000"/>
          <w:sz w:val="20"/>
          <w:lang w:val="en-US" w:eastAsia="en-US" w:bidi="ar-SA"/>
        </w:rPr>
        <w:t xml:space="preserve"> and the forum province", "with the </w:t>
      </w:r>
      <w:r>
        <w:rPr>
          <w:rFonts w:ascii="arial" w:eastAsia="arial" w:hAnsi="arial" w:cs="arial"/>
          <w:i/>
          <w:color w:val="000000"/>
          <w:sz w:val="20"/>
          <w:lang w:val="en-US" w:eastAsia="en-US" w:bidi="ar-SA"/>
        </w:rPr>
        <w:t>transaction or the parties</w:t>
      </w:r>
      <w:r>
        <w:rPr>
          <w:rFonts w:ascii="arial" w:eastAsia="arial" w:hAnsi="arial" w:cs="arial"/>
          <w:color w:val="000000"/>
          <w:sz w:val="20"/>
          <w:lang w:val="en-US" w:eastAsia="en-US" w:bidi="ar-SA"/>
        </w:rPr>
        <w:t xml:space="preserve">", and "with the </w:t>
      </w:r>
      <w:r>
        <w:rPr>
          <w:rFonts w:ascii="arial" w:eastAsia="arial" w:hAnsi="arial" w:cs="arial"/>
          <w:i/>
          <w:color w:val="000000"/>
          <w:sz w:val="20"/>
          <w:lang w:val="en-US" w:eastAsia="en-US" w:bidi="ar-SA"/>
        </w:rPr>
        <w:t>action</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 see no reason to depart from what we said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at paras. 54-74, in rejecting the argument that assumed jurisdiction should focus solely or primarily upon the nature and extent of the </w:t>
      </w:r>
      <w:r>
        <w:rPr>
          <w:rFonts w:ascii="arial" w:eastAsia="arial" w:hAnsi="arial" w:cs="arial"/>
          <w:i/>
          <w:color w:val="000000"/>
          <w:sz w:val="20"/>
          <w:lang w:val="en-US" w:eastAsia="en-US" w:bidi="ar-SA"/>
        </w:rPr>
        <w:t>defendant's</w:t>
      </w:r>
      <w:r>
        <w:rPr>
          <w:rFonts w:ascii="arial" w:eastAsia="arial" w:hAnsi="arial" w:cs="arial"/>
          <w:color w:val="000000"/>
          <w:sz w:val="20"/>
          <w:lang w:val="en-US" w:eastAsia="en-US" w:bidi="ar-SA"/>
        </w:rPr>
        <w:t xml:space="preserve"> contacts with the jurisdiction. We concluded, at para. 74, that "[w]hile the defendant's contact with the jurisdiction is an </w:t>
      </w:r>
      <w:r>
        <w:rPr>
          <w:rFonts w:ascii="arial" w:eastAsia="arial" w:hAnsi="arial" w:cs="arial"/>
          <w:i/>
          <w:color w:val="000000"/>
          <w:sz w:val="20"/>
          <w:lang w:val="en-US" w:eastAsia="en-US" w:bidi="ar-SA"/>
        </w:rPr>
        <w:t>important</w:t>
      </w:r>
      <w:r>
        <w:rPr>
          <w:rFonts w:ascii="arial" w:eastAsia="arial" w:hAnsi="arial" w:cs="arial"/>
          <w:color w:val="000000"/>
          <w:sz w:val="20"/>
          <w:lang w:val="en-US" w:eastAsia="en-US" w:bidi="ar-SA"/>
        </w:rPr>
        <w:t xml:space="preserve"> factor, it is not a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factor". A personal subjection test based exclusively on the defendant's contacts would be unduly restrictive, would fail to pay adequate heed to the interests of the injured plaintiff, would be inconsistent with a substantial body of case law reviewed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at paras. 63-74, and would be contrary to the Supreme Court of Canada's emphasis on the need for flexibility. It would also be inconsistent with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[referring to the Uniform Law Conference of Canada's model act], s. 3(e), which confers jurisdiction if "there is a real and substantial connection between the [forum] and the facts on which the proceedings against that person is based."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affirmed that the test, as articulated, incorporates the principles of "order and fairness" at para. 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we stated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at para. 86, proper consideration of the defendant's position cannot be accomplished simply by looking at the acts or conduct that would render the defendant subject to the jurisdiction. The quality, strength or significance of those contacts cannot be assessed in a purely mechanical fashion. The inquiry necessarily entails consideration of the fairness or unfairness of asserting jurisdiction against the defendant in light of those contacts.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Idaho third party applicants contend that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factors cannot be considered as a result of what was said by K. Smith J.A.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In my view, any reliance on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factors as a guide to determining the question of jurisdiction came to an end in British Columbia with the coming into force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third party applicants refer to </w:t>
      </w:r>
      <w:r>
        <w:rPr>
          <w:rFonts w:ascii="arial" w:eastAsia="arial" w:hAnsi="arial" w:cs="arial"/>
          <w:i/>
          <w:color w:val="000000"/>
          <w:sz w:val="20"/>
          <w:lang w:val="en-US" w:eastAsia="en-US" w:bidi="ar-SA"/>
        </w:rPr>
        <w:t>Sooparayachetty v. Fox</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2010 BCSC 185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Dembroski v. Rhainds</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2010 BCSC 186</w:t>
        </w:r>
      </w:hyperlink>
      <w:r>
        <w:rPr>
          <w:rFonts w:ascii="arial" w:eastAsia="arial" w:hAnsi="arial" w:cs="arial"/>
          <w:color w:val="000000"/>
          <w:sz w:val="20"/>
          <w:lang w:val="en-US" w:eastAsia="en-US" w:bidi="ar-SA"/>
        </w:rPr>
        <w:t>, both which are cases that adopt K. Smith J.A.'s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Sooparayachetty</w:t>
      </w:r>
      <w:r>
        <w:rPr>
          <w:rFonts w:ascii="arial" w:eastAsia="arial" w:hAnsi="arial" w:cs="arial"/>
          <w:color w:val="000000"/>
          <w:sz w:val="20"/>
          <w:lang w:val="en-US" w:eastAsia="en-US" w:bidi="ar-SA"/>
        </w:rPr>
        <w:t>, Master Scarth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Since the hearing of this application, our Court of Appeal has rejected the approach set out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paras. 71 to 73. Smith J.A., writing for the court, held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any reliance on the Muscutt factors as a guide to determining the question of jurisdiction came to an end in British Columbia with the coming into force of the CJPTA.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Accordingly, the test remains real and substantial connection which appears to require a straightforward determination of whether, on the facts, a real and substantial connection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Similarly in </w:t>
      </w:r>
      <w:r>
        <w:rPr>
          <w:rFonts w:ascii="arial" w:eastAsia="arial" w:hAnsi="arial" w:cs="arial"/>
          <w:i/>
          <w:color w:val="000000"/>
          <w:sz w:val="20"/>
          <w:lang w:val="en-US" w:eastAsia="en-US" w:bidi="ar-SA"/>
        </w:rPr>
        <w:t>Dembroski</w:t>
      </w:r>
      <w:r>
        <w:rPr>
          <w:rFonts w:ascii="arial" w:eastAsia="arial" w:hAnsi="arial" w:cs="arial"/>
          <w:color w:val="000000"/>
          <w:sz w:val="20"/>
          <w:lang w:val="en-US" w:eastAsia="en-US" w:bidi="ar-SA"/>
        </w:rPr>
        <w:t>, Mr. Justice Truscott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w:t>
      </w:r>
      <w:r>
        <w:rPr>
          <w:rFonts w:ascii="arial" w:eastAsia="arial" w:hAnsi="arial" w:cs="arial"/>
          <w:i/>
          <w:color w:val="000000"/>
          <w:sz w:val="20"/>
          <w:lang w:val="en-US" w:eastAsia="en-US" w:bidi="ar-SA"/>
        </w:rPr>
        <w:t>Stanway v. Wyeth Pharmaceuticals Inc.</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2009 BCCA 592</w:t>
        </w:r>
      </w:hyperlink>
      <w:r>
        <w:rPr>
          <w:rFonts w:ascii="arial" w:eastAsia="arial" w:hAnsi="arial" w:cs="arial"/>
          <w:color w:val="000000"/>
          <w:sz w:val="20"/>
          <w:lang w:val="en-US" w:eastAsia="en-US" w:bidi="ar-SA"/>
        </w:rPr>
        <w:t xml:space="preserve">, the British Columbia Court of Appeal said that any reliance on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factors as a guide to the question of jurisdiction came to an end in British Columbia with the coming into force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Sooparayachetty</w:t>
      </w:r>
      <w:r>
        <w:rPr>
          <w:rFonts w:ascii="arial" w:eastAsia="arial" w:hAnsi="arial" w:cs="arial"/>
          <w:color w:val="000000"/>
          <w:sz w:val="20"/>
          <w:lang w:val="en-US" w:eastAsia="en-US" w:bidi="ar-SA"/>
        </w:rPr>
        <w:t xml:space="preserve"> there were eight plaintiffs in seven actions that dealt with a motor vehicle accident that occurred in Alberta. The defendants were Alberta residents. Three of the plaintiffs were residents of British Columbia and the remaining plaintiffs were residents of the United Kingdom. The plaintiffs brought actions against the defendants in both British Columbia and Alberta. One of the British Columbia plaintiffs had been in a second motor vehicle accident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Dembroski</w:t>
      </w:r>
      <w:r>
        <w:rPr>
          <w:rFonts w:ascii="arial" w:eastAsia="arial" w:hAnsi="arial" w:cs="arial"/>
          <w:color w:val="000000"/>
          <w:sz w:val="20"/>
          <w:lang w:val="en-US" w:eastAsia="en-US" w:bidi="ar-SA"/>
        </w:rPr>
        <w:t>, a resident of British Columbia was injured in a motor vehicle accident in Alberta when her vehicle collided with another vehicle owned by a resident of Alberta and operated by a resident of Québec.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both decisions, the Court based its findings on the longstanding authority that there is no real and substantial connection to British Columbia based on the bare residence of the plaintiff in British Columbia: </w:t>
      </w:r>
      <w:r>
        <w:rPr>
          <w:rFonts w:ascii="arial" w:eastAsia="arial" w:hAnsi="arial" w:cs="arial"/>
          <w:i/>
          <w:color w:val="000000"/>
          <w:sz w:val="20"/>
          <w:lang w:val="en-US" w:eastAsia="en-US" w:bidi="ar-SA"/>
        </w:rPr>
        <w:t>Canadian International Marketing Distributing Ltd. v. Nitsuko Ltd.</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(1990), 56 B.C.L.R. (2d) 130</w:t>
        </w:r>
      </w:hyperlink>
      <w:r>
        <w:rPr>
          <w:rFonts w:ascii="arial" w:eastAsia="arial" w:hAnsi="arial" w:cs="arial"/>
          <w:color w:val="000000"/>
          <w:sz w:val="20"/>
          <w:lang w:val="en-US" w:eastAsia="en-US" w:bidi="ar-SA"/>
        </w:rPr>
        <w:t xml:space="preserve"> (C.A.) at 132; and </w:t>
      </w:r>
      <w:r>
        <w:rPr>
          <w:rFonts w:ascii="arial" w:eastAsia="arial" w:hAnsi="arial" w:cs="arial"/>
          <w:i/>
          <w:color w:val="000000"/>
          <w:sz w:val="20"/>
          <w:lang w:val="en-US" w:eastAsia="en-US" w:bidi="ar-SA"/>
        </w:rPr>
        <w:t>Jordan v. Schatz</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2000 BCCA 409</w:t>
        </w:r>
      </w:hyperlink>
      <w:r>
        <w:rPr>
          <w:rFonts w:ascii="arial" w:eastAsia="arial" w:hAnsi="arial" w:cs="arial"/>
          <w:color w:val="000000"/>
          <w:sz w:val="20"/>
          <w:lang w:val="en-US" w:eastAsia="en-US" w:bidi="ar-SA"/>
        </w:rPr>
        <w:t xml:space="preserve"> at para. 23. In </w:t>
      </w:r>
      <w:r>
        <w:rPr>
          <w:rFonts w:ascii="arial" w:eastAsia="arial" w:hAnsi="arial" w:cs="arial"/>
          <w:i/>
          <w:color w:val="000000"/>
          <w:sz w:val="20"/>
          <w:lang w:val="en-US" w:eastAsia="en-US" w:bidi="ar-SA"/>
        </w:rPr>
        <w:t>Sooparayachetty</w:t>
      </w:r>
      <w:r>
        <w:rPr>
          <w:rFonts w:ascii="arial" w:eastAsia="arial" w:hAnsi="arial" w:cs="arial"/>
          <w:color w:val="000000"/>
          <w:sz w:val="20"/>
          <w:lang w:val="en-US" w:eastAsia="en-US" w:bidi="ar-SA"/>
        </w:rPr>
        <w:t>, Master Scarth also found that there could be no real and substantial connection based on the fact that one of the British Columbia plaintiffs had been in a second accident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arguing that there is no allegation of any wrongdoing by the Idaho doctors in British Columbia, Mr. Hungerford, counsel for Drs. Ganz, Manteuffel, McDonald, and Osmanski, relies on para. 89 of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assessing the connection between the forum and the defendant, the primary focus is on things done by the defendant within the jurisdiction. Where the defendant confines its activities to its home jurisdiction, it will not ordinarily be subject to the jurisdiction of the forum: see e.g. </w:t>
      </w:r>
      <w:r>
        <w:rPr>
          <w:rFonts w:ascii="arial" w:eastAsia="arial" w:hAnsi="arial" w:cs="arial"/>
          <w:i/>
          <w:color w:val="000000"/>
          <w:sz w:val="20"/>
          <w:lang w:val="en-US" w:eastAsia="en-US" w:bidi="ar-SA"/>
        </w:rPr>
        <w:t>Lemmex</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[2002] O.J. No. 2131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Leufkins</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[2002] O.J. No. 2129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Sinclair</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[2002] O.J. No. 2127</w:t>
        </w:r>
      </w:hyperlink>
      <w:r>
        <w:rPr>
          <w:rFonts w:ascii="arial" w:eastAsia="arial" w:hAnsi="arial" w:cs="arial"/>
          <w:color w:val="000000"/>
          <w:sz w:val="20"/>
          <w:lang w:val="en-US" w:eastAsia="en-US" w:bidi="ar-SA"/>
        </w:rPr>
        <w:t xml:space="preserve">. However, as was held in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physical presence or activity within the jurisdiction is not always required. Where a defendant could reasonably foresee that its conduct would cause harm within the forum by putting a product into the normal channels of trade and knows, or ought to know, that the product would be used in the forum and that if defective could harm a consumer in the forum, jurisdiction may be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His reliance on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somewhat contradicts the applicants' position that it cannot be considered. In my view, the comments of K. Smith J.A. at para. 73 of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were confined to the circumstances of a </w:t>
      </w:r>
      <w:r>
        <w:rPr>
          <w:rFonts w:ascii="arial" w:eastAsia="arial" w:hAnsi="arial" w:cs="arial"/>
          <w:color w:val="000000"/>
          <w:sz w:val="20"/>
          <w:u w:val="single"/>
          <w:lang w:val="en-US" w:eastAsia="en-US" w:bidi="ar-SA"/>
        </w:rPr>
        <w:t>presumed</w:t>
      </w:r>
      <w:r>
        <w:rPr>
          <w:rFonts w:ascii="arial" w:eastAsia="arial" w:hAnsi="arial" w:cs="arial"/>
          <w:color w:val="000000"/>
          <w:sz w:val="20"/>
          <w:lang w:val="en-US" w:eastAsia="en-US" w:bidi="ar-SA"/>
        </w:rPr>
        <w:t xml:space="preserve"> real and substantial connection, in which case it is not necessary to apply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test. Where the presumption does not apply, however, it is open to the plaintiff or third party to prove that other circumstances constitute a real and substantial connection between British Columbia and the facts on which the proceeding is based. The party can only do so by resorting to the common law test for guidance on what is necessary to establish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comment of the ULCC on s. 10 includes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10.1.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purpose of section 10 is to provide guidance to the meaning of "real and substantial connection" in paragraph 3(e). Instead of having to show in each case that a real and substantial connection exists, plaintiffs will be able, in the great majority of cases, to rely on one of the presumptions in section 10. These are based on the grounds for service </w:t>
            </w:r>
            <w:r>
              <w:rPr>
                <w:rFonts w:ascii="arial" w:eastAsia="arial" w:hAnsi="arial" w:cs="arial"/>
                <w:i/>
                <w:color w:val="000000"/>
                <w:sz w:val="18"/>
                <w:lang w:val="en-US" w:eastAsia="en-US" w:bidi="ar-SA"/>
              </w:rPr>
              <w:t>ex juris</w:t>
            </w:r>
            <w:r>
              <w:rPr>
                <w:rFonts w:ascii="arial" w:eastAsia="arial" w:hAnsi="arial" w:cs="arial"/>
                <w:color w:val="000000"/>
                <w:sz w:val="18"/>
                <w:lang w:val="en-US" w:eastAsia="en-US" w:bidi="ar-SA"/>
              </w:rPr>
              <w:t xml:space="preserve"> in the rules of court of many provinces. If the defined connection with the enacting jurisdiction exists, it is presumed to be sufficient to establish territorial competence under paragraph 3(e).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Even if I am wrong in stating that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applies when a real and substantial connection cannot be presumed by operation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the arguments advanced by the applicants for contending that there is no real and substantial connection still reflect what the Ontario Court of Appeal in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described as the core of the analysis and the legal principles that assist in conducting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Ferguson for Dr. York also argues that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does not simply take the eight steps in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and reduce them to six steps (as Mr. Mersey, for Mr. Clark, contends); rather, he says,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brings the law in Ontario closer in line with the law in British Columbia. He refers to the ratio of the decision, which he says is found at para.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core of the real and substantial connection test is the connection that the plaintiff's claim has to the forum and the connection of the defendant to the forum, respectively. The remaining considerations or principles serve as analytic tools to assist the court in assessing the significance of the connections between the forum, the claim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applicants argue that there is no real and substantial connection between them or that actions and British Columbia that would give this court territorial competence over any of them. The Kootenai Medical Center is in Idaho. It does not advertise in or solicit business from British Columbia. It could not have reasonably foreseen that treating a patient from Idaho would have consequences for the patient in British Columbia. None of the Idaho doctors reside in British Columbia, ever practiced medicine in British Columbia, ever advertised in British Columbia, or have any assets in British Columbia. They have no connection whatsoever with British Columbia. They reside in Idaho, received their medical training in the United States, and practice medicine in Idaho. All of the medical treatment they provided to Mr. Josephson took place in Idaho. The Idaho doctors could not reasonably have foreseen that their practise of medicine in Idaho on an Idaho resident would have consequences for them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applicants argue that it is not fair to any of them that they should have to defend an action brought against them in British Columbia when there is no connection between any of them and British Columbia, never mind a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Clark argues that it would not be fair to him. If he is unable to rely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Josephson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Idaho doctors. If that is the case, "he is on the hook for one hundred percent". He argues it is not fair to him if he is unable to claim contribution and indemnity from the Idaho hospital and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applicants rely on </w:t>
      </w:r>
      <w:r>
        <w:rPr>
          <w:rFonts w:ascii="arial" w:eastAsia="arial" w:hAnsi="arial" w:cs="arial"/>
          <w:i/>
          <w:color w:val="000000"/>
          <w:sz w:val="20"/>
          <w:lang w:val="en-US" w:eastAsia="en-US" w:bidi="ar-SA"/>
        </w:rPr>
        <w:t>Cook v. Parcel, Mauro, Hultin &amp; Spaanstra, P.C.</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(1997), 143 D.L.R. (4th) 213</w:t>
        </w:r>
      </w:hyperlink>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31 B.C.L.R. (3d) 24</w:t>
        </w:r>
      </w:hyperlink>
      <w:r>
        <w:rPr>
          <w:rFonts w:ascii="arial" w:eastAsia="arial" w:hAnsi="arial" w:cs="arial"/>
          <w:color w:val="000000"/>
          <w:sz w:val="20"/>
          <w:lang w:val="en-US" w:eastAsia="en-US" w:bidi="ar-SA"/>
        </w:rPr>
        <w:t xml:space="preserve"> (C.A.), leave to appeal to S.C.C. ref'd, </w:t>
      </w:r>
      <w:hyperlink r:id="rId542" w:history="1">
        <w:r>
          <w:rPr>
            <w:rFonts w:ascii="arial" w:eastAsia="arial" w:hAnsi="arial" w:cs="arial"/>
            <w:i/>
            <w:color w:val="0077CC"/>
            <w:sz w:val="20"/>
            <w:u w:val="single"/>
            <w:shd w:val="clear" w:color="auto" w:fill="FFFFFF"/>
            <w:lang w:val="en-US" w:eastAsia="en-US" w:bidi="ar-SA"/>
          </w:rPr>
          <w:t>[1997] S.C.C.A. No. 218</w:t>
        </w:r>
      </w:hyperlink>
      <w:r>
        <w:rPr>
          <w:rFonts w:ascii="arial" w:eastAsia="arial" w:hAnsi="arial" w:cs="arial"/>
          <w:color w:val="000000"/>
          <w:sz w:val="20"/>
          <w:lang w:val="en-US" w:eastAsia="en-US" w:bidi="ar-SA"/>
        </w:rPr>
        <w:t>. In that case, two of the four plaintiffs were residents of British Columbia and all were former directors or officers of a British Columbia company. The plaintiffs brought proceedings against a Colorado law firm claiming injunctive relief compelling the law firm to assert solicitor-client privilege on their behalf in proceedings in Colorado. The plaintiffs claimed the legal advice provided by the law firm was received in British Columbia and paid for from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Madam Justice Prowse concluded that to assume jurisdiction in such a case would be "overreaching". She applied the principles in </w:t>
      </w:r>
      <w:r>
        <w:rPr>
          <w:rFonts w:ascii="arial" w:eastAsia="arial" w:hAnsi="arial" w:cs="arial"/>
          <w:i/>
          <w:color w:val="000000"/>
          <w:sz w:val="20"/>
          <w:lang w:val="en-US" w:eastAsia="en-US" w:bidi="ar-SA"/>
        </w:rPr>
        <w:t>Morguard Investments Ltd. v. De Savoye</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Amchem Products Incorporated v. British Columbia (Workers' Compensation Board)</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On the basis of the action as pleaded, and having regard to the nature of the relief claimed, I am unable to conclude that there is a real and substantial connection between the B.C. courts and either the cause of action or the respondent firm. The unlikelihood of a Colorado court enforcing the orders claimed simply reinforces my conclusion. In my view, this action is an example of the type of overreaching which the conflicts of law rules formulated by the courts were designed to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a more recent decision, </w:t>
      </w:r>
      <w:r>
        <w:rPr>
          <w:rFonts w:ascii="arial" w:eastAsia="arial" w:hAnsi="arial" w:cs="arial"/>
          <w:i/>
          <w:color w:val="000000"/>
          <w:sz w:val="20"/>
          <w:lang w:val="en-US" w:eastAsia="en-US" w:bidi="ar-SA"/>
        </w:rPr>
        <w:t>Olney v. Rainville</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2009 BCCA 380</w:t>
        </w:r>
      </w:hyperlink>
      <w:r>
        <w:rPr>
          <w:rFonts w:ascii="arial" w:eastAsia="arial" w:hAnsi="arial" w:cs="arial"/>
          <w:color w:val="000000"/>
          <w:sz w:val="20"/>
          <w:lang w:val="en-US" w:eastAsia="en-US" w:bidi="ar-SA"/>
        </w:rPr>
        <w:t>, Groberman J.A. explained that the assumption of jurisdiction should reflect the principles of order and fairness, and that a court should exercise restraint in taking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idea that the phrase "real and substantial connection between British Columbia and the facts on which a proceeding is based" should be construed broadly is also in accord with the goals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which included bringing "Canadian jurisdictional rules into line with principles laid down by the Supreme Court of Canada in </w:t>
      </w:r>
      <w:r>
        <w:rPr>
          <w:rFonts w:ascii="arial" w:eastAsia="arial" w:hAnsi="arial" w:cs="arial"/>
          <w:i/>
          <w:color w:val="000000"/>
          <w:sz w:val="20"/>
          <w:lang w:val="en-US" w:eastAsia="en-US" w:bidi="ar-SA"/>
        </w:rPr>
        <w:t>Morguard Investments Ltd. v. De Savoye</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Amchem Products Inc. v. British Columbia (Workers' Compensation Board)</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 xml:space="preserve">" (see the comments of the Uniform Law Conference of Canada on the </w:t>
      </w:r>
      <w:r>
        <w:rPr>
          <w:rFonts w:ascii="arial" w:eastAsia="arial" w:hAnsi="arial" w:cs="arial"/>
          <w:i/>
          <w:color w:val="000000"/>
          <w:sz w:val="20"/>
          <w:lang w:val="en-US" w:eastAsia="en-US" w:bidi="ar-SA"/>
        </w:rPr>
        <w:t>Uniform Court Jurisdiction and Proceedings Transfer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Teck Cominco Metals Ltd. v. Lloyd's Underwriters</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2009 SCC 11</w:t>
        </w:r>
      </w:hyperlink>
      <w:r>
        <w:rPr>
          <w:rFonts w:ascii="arial" w:eastAsia="arial" w:hAnsi="arial" w:cs="arial"/>
          <w:color w:val="000000"/>
          <w:sz w:val="20"/>
          <w:lang w:val="en-US" w:eastAsia="en-US" w:bidi="ar-SA"/>
        </w:rPr>
        <w:t xml:space="preserve"> at para. 22). While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Amchem</w:t>
      </w:r>
      <w:r>
        <w:rPr>
          <w:rFonts w:ascii="arial" w:eastAsia="arial" w:hAnsi="arial" w:cs="arial"/>
          <w:color w:val="000000"/>
          <w:sz w:val="20"/>
          <w:lang w:val="en-US" w:eastAsia="en-US" w:bidi="ar-SA"/>
        </w:rPr>
        <w:t xml:space="preserve"> suggest that appropriate restraint should be shown by a court in assuming jurisdiction over a matter, they do not suggest any artificial narrowing of traditional bases for taking jurisdiction based on unduly technical distinctions. What is essential is that the taking of jurisdiction be consistent with order and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that case, the petitioner, a Canadian citizen residing in France, brought a petition against her former husband, a Canadian citizen living in Québec, seeking a declaration that her present husband was the father of her child. The child was born in Geneva and the child's birth certificate showed that the former husband was the father. Divorce proceedings in France also indicated that the respondent former husband was the father of the child and he considered himself as such. Although Groberman J.A. ultimately declined jurisdiction on the basis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he did find a real and substantial connection was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Justice Groberman concluded at paras. 33 and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Questions of personal status are generally determined under the law of a person's domicile. If the child is domiciled in British Columbia, therefore, it is at least arguable that his family status is to be determined under the law of British Columbia. I say "arguable" because the parties have not presented comprehensive argument on the point before us. Obviously, the parent-child relationship will affect not only the child's status, but also that of Mr. Rainville and Mr. Macdonald. Mr. Rainville is domiciled in Québec; Mr. Macdonald's domicile is not clearly established by the affidavit evidence, but it appears probable that he is domiciled in one of the Australian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fact that this case is, arguably, governed by British Columbia law is, in my view, a real and substantial connection between the facts on which the case is based and British Columbia. While the case for territorial competence in this matter is not overwhelming, I am satisfied that the case does fall within s. 3(e)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It could be said that the Court of Appeal took a flexible approach in determining that there was a real and substantial connection, but an important distinction is that </w:t>
      </w:r>
      <w:r>
        <w:rPr>
          <w:rFonts w:ascii="arial" w:eastAsia="arial" w:hAnsi="arial" w:cs="arial"/>
          <w:i/>
          <w:color w:val="000000"/>
          <w:sz w:val="20"/>
          <w:lang w:val="en-US" w:eastAsia="en-US" w:bidi="ar-SA"/>
        </w:rPr>
        <w:t>Olney</w:t>
      </w:r>
      <w:r>
        <w:rPr>
          <w:rFonts w:ascii="arial" w:eastAsia="arial" w:hAnsi="arial" w:cs="arial"/>
          <w:color w:val="000000"/>
          <w:sz w:val="20"/>
          <w:lang w:val="en-US" w:eastAsia="en-US" w:bidi="ar-SA"/>
        </w:rPr>
        <w:t xml:space="preserve"> dealt with an </w:t>
      </w:r>
      <w:r>
        <w:rPr>
          <w:rFonts w:ascii="arial" w:eastAsia="arial" w:hAnsi="arial" w:cs="arial"/>
          <w:color w:val="000000"/>
          <w:sz w:val="20"/>
          <w:u w:val="single"/>
          <w:lang w:val="en-US" w:eastAsia="en-US" w:bidi="ar-SA"/>
        </w:rPr>
        <w:t>interprovincial</w:t>
      </w:r>
      <w:r>
        <w:rPr>
          <w:rFonts w:ascii="arial" w:eastAsia="arial" w:hAnsi="arial" w:cs="arial"/>
          <w:color w:val="000000"/>
          <w:sz w:val="20"/>
          <w:lang w:val="en-US" w:eastAsia="en-US" w:bidi="ar-SA"/>
        </w:rPr>
        <w:t xml:space="preserve"> jurisdictional dispute and not an </w:t>
      </w:r>
      <w:r>
        <w:rPr>
          <w:rFonts w:ascii="arial" w:eastAsia="arial" w:hAnsi="arial" w:cs="arial"/>
          <w:color w:val="000000"/>
          <w:sz w:val="20"/>
          <w:u w:val="single"/>
          <w:lang w:val="en-US" w:eastAsia="en-US" w:bidi="ar-SA"/>
        </w:rPr>
        <w:t>international</w:t>
      </w:r>
      <w:r>
        <w:rPr>
          <w:rFonts w:ascii="arial" w:eastAsia="arial" w:hAnsi="arial" w:cs="arial"/>
          <w:color w:val="000000"/>
          <w:sz w:val="20"/>
          <w:lang w:val="en-US" w:eastAsia="en-US" w:bidi="ar-SA"/>
        </w:rPr>
        <w:t xml:space="preserve"> jurisdictional dispute. In </w:t>
      </w:r>
      <w:r>
        <w:rPr>
          <w:rFonts w:ascii="arial" w:eastAsia="arial" w:hAnsi="arial" w:cs="arial"/>
          <w:i/>
          <w:color w:val="000000"/>
          <w:sz w:val="20"/>
          <w:lang w:val="en-US" w:eastAsia="en-US" w:bidi="ar-SA"/>
        </w:rPr>
        <w:t>Spar Aerospace Ltd. v. American Mobile Satellite Corp.</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2002 SCC 78</w:t>
        </w:r>
      </w:hyperlink>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[2002] 4 S.C.R. 205</w:t>
        </w:r>
      </w:hyperlink>
      <w:r>
        <w:rPr>
          <w:rFonts w:ascii="arial" w:eastAsia="arial" w:hAnsi="arial" w:cs="arial"/>
          <w:color w:val="000000"/>
          <w:sz w:val="20"/>
          <w:lang w:val="en-US" w:eastAsia="en-US" w:bidi="ar-SA"/>
        </w:rPr>
        <w:t xml:space="preserve">, LeBel J. writing for the Court, referring to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Hunt v. T&amp;N PLC</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[1993] 4 S.C.R. 289</w:t>
        </w:r>
      </w:hyperlink>
      <w:r>
        <w:rPr>
          <w:rFonts w:ascii="arial" w:eastAsia="arial" w:hAnsi="arial" w:cs="arial"/>
          <w:color w:val="000000"/>
          <w:sz w:val="20"/>
          <w:lang w:val="en-US" w:eastAsia="en-US" w:bidi="ar-SA"/>
        </w:rPr>
        <w: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have been cited by this Court in a number of cases which seem to confirm that the "real and substantial connection" was specially crafted to address the challenges posed by multiple jurisdictions within a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applicants contend that comity requires this court to consider the approaches to jurisdiction, recognition and enforcement that prevail in Idaho. They rely on the expert report of Steven J. Hippler, an Idaho attorney. Mr. Hippler was admitted into practise in the State of Idaho in 1991. His primary area of practice is health care law, including the defence of medical malpractice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Clark relies on the expert report of Michael G. Brady, an attorney who was admitted to the Idaho Bar in 1970 and is also admitted to the Utah, Washington, and Oregon State Bars. Mr. Brady has also acted as the Chair of the Idaho medical malpractice pre-litigation screening panel on at least ten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Mr. Hippler opines that a judgment obtained in British Columbia arising from the third party notice will not be enforceable in Idaho against the Idaho doctors on the basis that British Columbia does not have personal jurisdiction over them. The circumstances necessary to find that the a foreign court had personal jurisdiction over a defendant who is an Idaho resident include the following: the defendant being served personally in the foreign country, appearing voluntarily in the proceeding before or after the commencement of the proceeding, being domiciled in the foreign jurisdiction when the proceeding was instituted, having a business office in the foreign jurisdiction, or operating a motor vehicle or airplane in the foreign country (where the proceeding involves a claim for relief arising out of that operation). None of those circumstances exist here. Both experts agree that these circumstances are not exhaustive and that an Idaho court may enforce a foreign money judgment if it determines that the defendants had sufficient "minimum contacts" with the foreign jurisdiction (see also </w:t>
      </w:r>
      <w:r>
        <w:rPr>
          <w:rFonts w:ascii="arial" w:eastAsia="arial" w:hAnsi="arial" w:cs="arial"/>
          <w:i/>
          <w:color w:val="000000"/>
          <w:sz w:val="20"/>
          <w:lang w:val="en-US" w:eastAsia="en-US" w:bidi="ar-SA"/>
        </w:rPr>
        <w:t>MTU Maintenance Canada Ltd. v. Keuhne &amp; Nagel International Ltd.</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2007 BCCA 552</w:t>
        </w:r>
      </w:hyperlink>
      <w:r>
        <w:rPr>
          <w:rFonts w:ascii="arial" w:eastAsia="arial" w:hAnsi="arial" w:cs="arial"/>
          <w:color w:val="000000"/>
          <w:sz w:val="20"/>
          <w:lang w:val="en-US" w:eastAsia="en-US" w:bidi="ar-SA"/>
        </w:rPr>
        <w:t xml:space="preserve"> at para. 30, </w:t>
      </w:r>
      <w:hyperlink r:id="rId546" w:history="1">
        <w:r>
          <w:rPr>
            <w:rFonts w:ascii="arial" w:eastAsia="arial" w:hAnsi="arial" w:cs="arial"/>
            <w:i/>
            <w:color w:val="0077CC"/>
            <w:sz w:val="20"/>
            <w:u w:val="single"/>
            <w:shd w:val="clear" w:color="auto" w:fill="FFFFFF"/>
            <w:lang w:val="en-US" w:eastAsia="en-US" w:bidi="ar-SA"/>
          </w:rPr>
          <w:t>287 D.L.R. (4th) 215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Brady opines that a United States court would enforce a British Columbia judgment. As Mr. Clark is only seeking to hold the Idaho physicians and Kootenai Medical Center severally liable (as opposed to jointly liable), his third party claim is consistent with Idaho law and may not be repugnant to Idaho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More importantly, both experts agree on the accuracy of the following descriptions, statements and provisions of Idaho law:</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pre-litigation screening panel process is a condition precedent to pursuing any medical malpractice litigation in Idaho;</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plaintiffs who claim that Idaho physicians and hospitals are liable for medical malpractice must file a request with the Idaho Board of Medicine for a hearing by a pre-litigation screening panel, which renders a confidential and non-binding opinion on the merits of the claim as a condition precedent to proceeding with the litigation;</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medical malpractice is limited to persons with whom the physician had a physician-patient or hospital-patient relationship, and is subject to a two-year limitation period;</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a defendant who was not the patient to bring an action for contribution or indemnity from a physician or hospital is not recognized by Idaho law; and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Idaho has abolished joint and several liability in most tort actions, including medical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 only has Mr. Clark not filed a request for a pre-litigation screening panel, he is out of time, and his claim for contribution and indemnity from the Idaho hospital and doctors would not be recognized by an Idaho court because he was not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will return to these points on which the experts agree later in these reasons when dealing with s.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Clark's strongest argument to support a real and substantial connection is that he did not choose the forum. He is an Idaho resident who has been sued in British Columbia by another Idaho resident. The Idaho applicants treated Mr. Josephson for injuries arising out of an incident in British Columbia. The Kootenai Medical Center clinical record written by Dr. McDonald on May 17, 2007, the date of Mr. Josephson's admission, discloses that the physician was aware that Mr. Josephson reportedly struck his head while golfing in British Columbia. Mr. Clark's claim for contribution and indemnity from the Idaho applicants cannot be brought against them in Idaho.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are connections between British Columbia and the facts on which the third party proceeding for contribution and indemnity arising out of alleged medical malpractice in Idaho is based, but I cannot conclude that the connections constitute a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It would not be unusual for a doctor or hospital anywhere in the world to treat a patient who sustained an injury or contracted an illness during his travels throughout the world, whether in British Columbia or elsewhere. I do not think it was the intention of the drafters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that a real and substantial connection could be found on that basis alone, and that doctors or hospitals from foreign states would be required to litigate or defend their conduct in Canada simply because a patient was injured or became ill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the real and substantial connection test has been described as "flexible" -- which suggests an ability to bend without breaking, or adaptability -- there is still a requirement to prevent overreaching. Flexibility does not equate to reaching to find a real and substantial connection where none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Mr. Clark relies on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where Sharpe J.A. addresses this point succinctly at para.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the overriding concern for access to justice that motivates the assumption of jurisdiction despite inadequate connection with the forum should be accommodated by explicit recognition of the forum of necessity exception rather than by distorting the real and substantial connection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real and substantial connection test requires that there be a significant or substantial connection: </w:t>
      </w:r>
      <w:r>
        <w:rPr>
          <w:rFonts w:ascii="arial" w:eastAsia="arial" w:hAnsi="arial" w:cs="arial"/>
          <w:i/>
          <w:color w:val="000000"/>
          <w:sz w:val="20"/>
          <w:lang w:val="en-US" w:eastAsia="en-US" w:bidi="ar-SA"/>
        </w:rPr>
        <w:t>Beals v. Saldanha</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[2003] 3 S.C.R. 416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UniNet Technologies Inc. v. Communication Services Inc.</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2005 BCCA 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3. Should this court exercise its discretion under s. 6 of the CJPTA?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Section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Residual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 court that under section 3 lacks territorial competence in a proceeding may hear the proceeding despite that section if it considers that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court outside British Columbia in which the plaintiff can commence the proceeding, or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commencement of the proceeding in a court outside British Columbia cannot reasonably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comments of the ULCC on s. 6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Comments to section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section creates a residual discretion to act, notwithstanding the lack of jurisdiction under normal rules, provided that the conditions in (a) or (b) are met. Residual discretion permits the court to Act as a "forum of last resort" where there is no other forum in which the plaintiff could reasonably seek relief. The language tracks that of Article 3136 of the Québec Civil Code.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Comments to section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[6].1, residual discretion, also provides a basis upon which jurisdiction can be exercised over a necessary and proper party who cannot be caught under the normal rules. A plaintiff seeking to bring in such a party would argue first, that there is a real and substantial connection between the territory and the party, or secondly that there is no other forum in which the plaintiff can or can reasonably be required to seek relief against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 have been three decisions of this court that have considered s. 6: </w:t>
      </w:r>
      <w:r>
        <w:rPr>
          <w:rFonts w:ascii="arial" w:eastAsia="arial" w:hAnsi="arial" w:cs="arial"/>
          <w:i/>
          <w:color w:val="000000"/>
          <w:sz w:val="20"/>
          <w:lang w:val="en-US" w:eastAsia="en-US" w:bidi="ar-SA"/>
        </w:rPr>
        <w:t>Lailey v. International Student Volunteers, Inc.</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2008 BCSC 1344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Olney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Sooparayachetty</w:t>
      </w:r>
      <w:r>
        <w:rPr>
          <w:rFonts w:ascii="arial" w:eastAsia="arial" w:hAnsi="arial" w:cs="arial"/>
          <w:color w:val="000000"/>
          <w:sz w:val="20"/>
          <w:lang w:val="en-US" w:eastAsia="en-US" w:bidi="ar-SA"/>
        </w:rPr>
        <w:t>. Section 6 was not applied in any of those cases because there was another more appropriate forum where the party could commence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Lailey</w:t>
      </w:r>
      <w:r>
        <w:rPr>
          <w:rFonts w:ascii="arial" w:eastAsia="arial" w:hAnsi="arial" w:cs="arial"/>
          <w:color w:val="000000"/>
          <w:sz w:val="20"/>
          <w:lang w:val="en-US" w:eastAsia="en-US" w:bidi="ar-SA"/>
        </w:rPr>
        <w:t>, Grauer J. found that this court had jurisdiction over two of the three plaintiffs, but that the court had no territorial competence over the third plaintiff who could commence her action in California, Ecuador, or Ontario (where she was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Olney</w:t>
      </w:r>
      <w:r>
        <w:rPr>
          <w:rFonts w:ascii="arial" w:eastAsia="arial" w:hAnsi="arial" w:cs="arial"/>
          <w:color w:val="000000"/>
          <w:sz w:val="20"/>
          <w:lang w:val="en-US" w:eastAsia="en-US" w:bidi="ar-SA"/>
        </w:rPr>
        <w:t xml:space="preserve">, Kelleher J. had dismissed the petition on the ground that that the court lacked territorial jurisdiction (his reasons can be found at </w:t>
      </w:r>
      <w:hyperlink r:id="rId550" w:history="1">
        <w:r>
          <w:rPr>
            <w:rFonts w:ascii="arial" w:eastAsia="arial" w:hAnsi="arial" w:cs="arial"/>
            <w:i/>
            <w:color w:val="0077CC"/>
            <w:sz w:val="20"/>
            <w:u w:val="single"/>
            <w:shd w:val="clear" w:color="auto" w:fill="FFFFFF"/>
            <w:lang w:val="en-US" w:eastAsia="en-US" w:bidi="ar-SA"/>
          </w:rPr>
          <w:t>2008 BCSC 753</w:t>
        </w:r>
      </w:hyperlink>
      <w:r>
        <w:rPr>
          <w:rFonts w:ascii="arial" w:eastAsia="arial" w:hAnsi="arial" w:cs="arial"/>
          <w:color w:val="000000"/>
          <w:sz w:val="20"/>
          <w:lang w:val="en-US" w:eastAsia="en-US" w:bidi="ar-SA"/>
        </w:rPr>
        <w:t>). In arriving at his decision, he considered s. 6 and noted that the petitioner was entitled to commence her action in Québec, even though there were substantive and evidentiary rules that would make it difficult for her to succeed. The Court of Appeal allowed the appeal and on the issue of her ability to commence the action in Québec, Groberman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this case, the juridical advantage of proceeding in British Columbia is said to lie in a section of the </w:t>
      </w:r>
      <w:r>
        <w:rPr>
          <w:rFonts w:ascii="arial" w:eastAsia="arial" w:hAnsi="arial" w:cs="arial"/>
          <w:i/>
          <w:color w:val="000000"/>
          <w:sz w:val="20"/>
          <w:lang w:val="en-US" w:eastAsia="en-US" w:bidi="ar-SA"/>
        </w:rPr>
        <w:t>Civil Code of Québec</w:t>
      </w:r>
      <w:r>
        <w:rPr>
          <w:rFonts w:ascii="arial" w:eastAsia="arial" w:hAnsi="arial" w:cs="arial"/>
          <w:color w:val="000000"/>
          <w:sz w:val="20"/>
          <w:lang w:val="en-US" w:eastAsia="en-US" w:bidi="ar-SA"/>
        </w:rPr>
        <w:t xml:space="preserve">. The evidence establishes that s. 530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prohibits a person from seeking a declaration of paternity that is contrary to that shown on a person's birth certificate if the person shown as the father has acted as and been reputed to be the father for a period of 18 months (a recent case applying s. 530 is </w:t>
      </w:r>
      <w:r>
        <w:rPr>
          <w:rFonts w:ascii="arial" w:eastAsia="arial" w:hAnsi="arial" w:cs="arial"/>
          <w:i/>
          <w:color w:val="000000"/>
          <w:sz w:val="20"/>
          <w:lang w:val="en-US" w:eastAsia="en-US" w:bidi="ar-SA"/>
        </w:rPr>
        <w:t>G.R. v. I.B.</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2009 QCCA 332</w:t>
        </w:r>
      </w:hyperlink>
      <w:r>
        <w:rPr>
          <w:rFonts w:ascii="arial" w:eastAsia="arial" w:hAnsi="arial" w:cs="arial"/>
          <w:color w:val="000000"/>
          <w:sz w:val="20"/>
          <w:lang w:val="en-US" w:eastAsia="en-US" w:bidi="ar-SA"/>
        </w:rPr>
        <w:t xml:space="preserve">, leave to appeal denied </w:t>
      </w:r>
      <w:hyperlink r:id="rId552" w:history="1">
        <w:r>
          <w:rPr>
            <w:rFonts w:ascii="arial" w:eastAsia="arial" w:hAnsi="arial" w:cs="arial"/>
            <w:i/>
            <w:color w:val="0077CC"/>
            <w:sz w:val="20"/>
            <w:u w:val="single"/>
            <w:shd w:val="clear" w:color="auto" w:fill="FFFFFF"/>
            <w:lang w:val="en-US" w:eastAsia="en-US" w:bidi="ar-SA"/>
          </w:rPr>
          <w:t>[2009] S.C.C.A. No. 166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There are a number of reasons to reject Ms. Olney's argument. First,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provision is substantive rather than procedural. It will apply if Québec law governs this case, whether the case is tried in British Columbia or Québec. Equally, it will be inapplicable if British Columbia law governs this case, whichever forum the case proceeds in. It is, therefore, not clear that Ms. Olney will suffer a juridical disadvantage if the case proceeds in Québec.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Soopararayachetty</w:t>
      </w:r>
      <w:r>
        <w:rPr>
          <w:rFonts w:ascii="arial" w:eastAsia="arial" w:hAnsi="arial" w:cs="arial"/>
          <w:color w:val="000000"/>
          <w:sz w:val="20"/>
          <w:lang w:val="en-US" w:eastAsia="en-US" w:bidi="ar-SA"/>
        </w:rPr>
        <w:t>, Master Scarth considered s. 6 and found that as the plaintiffs had commenced actions in Alberta, this court was not a forum of last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forum of necessity concept was drawn from article 3 of the Swiss Federal Code on Private International Law, and is included in both article 3136 of the </w:t>
      </w:r>
      <w:r>
        <w:rPr>
          <w:rFonts w:ascii="arial" w:eastAsia="arial" w:hAnsi="arial" w:cs="arial"/>
          <w:i/>
          <w:color w:val="000000"/>
          <w:sz w:val="20"/>
          <w:lang w:val="en-US" w:eastAsia="en-US" w:bidi="ar-SA"/>
        </w:rPr>
        <w:t>Civil Code</w:t>
      </w:r>
      <w:r>
        <w:rPr>
          <w:rFonts w:ascii="arial" w:eastAsia="arial" w:hAnsi="arial" w:cs="arial"/>
          <w:color w:val="000000"/>
          <w:sz w:val="20"/>
          <w:lang w:val="en-US" w:eastAsia="en-US" w:bidi="ar-SA"/>
        </w:rPr>
        <w:t xml:space="preserve"> of Québec, S.Q. 1991, c. 64, and s.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The forum of necessity or residual discretion concept is also found in article 6 of the European Convention on Human Rights: see the article by Janet Walker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Misplaced: The Future of Forum of Necessity Jurisdiction in Canada" (2009) 48 C.B.L.J. 135 at 136-37. A court may take jurisdiction as a forum of necessity when jurisdiction does not otherwise exist, and when proceedings outside the jurisdiction cannot possibly be commenced or the commencement of the proceedings cannot reasonably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Article 3136 of the </w:t>
      </w:r>
      <w:r>
        <w:rPr>
          <w:rFonts w:ascii="arial" w:eastAsia="arial" w:hAnsi="arial" w:cs="arial"/>
          <w:i/>
          <w:color w:val="000000"/>
          <w:sz w:val="20"/>
          <w:lang w:val="en-US" w:eastAsia="en-US" w:bidi="ar-SA"/>
        </w:rPr>
        <w:t>Québec Civil Code</w:t>
      </w:r>
      <w:r>
        <w:rPr>
          <w:rFonts w:ascii="arial" w:eastAsia="arial" w:hAnsi="arial" w:cs="arial"/>
          <w:color w:val="000000"/>
          <w:sz w:val="20"/>
          <w:lang w:val="en-US" w:eastAsia="en-US" w:bidi="ar-SA"/>
        </w:rPr>
        <w:t xml:space="preserv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a Québec authority has no jurisdiction to hear a dispute, it may hear it, if the dispute has a sufficient connection with Québec, where proceedings cannot possibly be instituted outside Québec or where the institution of such proceedings outside Québec cannot reasonably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Article 3136 was considered in </w:t>
      </w:r>
      <w:r>
        <w:rPr>
          <w:rFonts w:ascii="arial" w:eastAsia="arial" w:hAnsi="arial" w:cs="arial"/>
          <w:i/>
          <w:color w:val="000000"/>
          <w:sz w:val="20"/>
          <w:lang w:val="en-US" w:eastAsia="en-US" w:bidi="ar-SA"/>
        </w:rPr>
        <w:t>Lamborghini (Canada) Inc. c. Automobili Lamborghini S.p.A.</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[1997] R.J.Q. 58</w:t>
        </w:r>
      </w:hyperlink>
      <w:r>
        <w:rPr>
          <w:rFonts w:ascii="arial" w:eastAsia="arial" w:hAnsi="arial" w:cs="arial"/>
          <w:color w:val="000000"/>
          <w:sz w:val="20"/>
          <w:lang w:val="en-US" w:eastAsia="en-US" w:bidi="ar-SA"/>
        </w:rPr>
        <w:t xml:space="preserve"> (C.A.). In that case, Lamborghini Canada ("LC") had an agency agreement with Lamborghini Italy ("LI") for the right to market Lamborghini automobiles in Canada. Chrysler purchased LI and as part of its reorganization efforts sent LC a termination notice. LC objected to the notice and when negotiations failed, served LI with proceedings before the Superior Court in Québec seeking an injunction and damages. The court allowed LI's application and dismissed the proceeding on the ground that the agency agreement contained a choice of law clause and jurisdiction clause agreeing that the courts of Bologna had exclusive jurisdiction. The Québec Court of Appeal dismissed the appeal: a Québec authority has no jurisdiction where the parties have agreed to submit all existing or future disputes between them to a foreign authority or to an arbitrator, unless the defendant submits to the jurisdiction of the Québec authority. The Court of Appeal considered articles 3135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and 3136 (residual discretion) of the </w:t>
      </w:r>
      <w:r>
        <w:rPr>
          <w:rFonts w:ascii="arial" w:eastAsia="arial" w:hAnsi="arial" w:cs="arial"/>
          <w:i/>
          <w:color w:val="000000"/>
          <w:sz w:val="20"/>
          <w:lang w:val="en-US" w:eastAsia="en-US" w:bidi="ar-SA"/>
        </w:rPr>
        <w:t>Québec Civil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Québec Court of Appeal's decision has not been officially translated but the parties have agreed on the following English translation of paras. 43-48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It is not, therefore, on Article 3135 of Civil Code of Québec [CCQ] that the appellant may rely. She is not submitting as such before the Court. She maintains rather that her application is based on Article 3136 of the CCQ and would like to see here a more flexible method for determining jurisdiction than Article 3135, of the CCQ pursuant to which a Québec court could seize itself of a matter over which it does not, in principle, have jurisdiction, according to the connecting factors prescribed by law, such as Article 3148 of the CCQ.</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As with the defendant, under Article 3135 of the CCQ, the plaintiff has the burden of proving that Québec would be the most appropriate forum, by reason of a certain number of factors. Thus, the appellant invokes the very nature of the proceedings, which would have arisen in Québec: the additional costs, the uselessness of the expenses already incurred, the requirement to engage Italian lawyers and interpreters, if she has to start proceedings in Italy, the difficulty with respect to the protective measures in Québec, etc. All these factors would justify the Québec Courts to recognize jurisdiction, even if Article 3148 of the CCQ provides for remand to Italy by reason of the recognition of the validity of the clause regarding the choice of venue. The appellant thus rejects the doctrine expressed in Article 3136 of the CCQ, which she believes is too restrictive. She relies on Article 3135 of the CCQ, the conjunction of which would allow the search for a more appropriate venue both for the petitioner and the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According to legislative sources, this provision represents a very narrow exception to the normal rules regarding jurisdiction. It does not allow the Québec Court to take jurisdiction that it would not otherwise have. It seeks to regulate certain problems regarding access to justice for a petitioner who finds himself in the territory of Québec when the foreign forum normally competent in the matter is not accessible for exceptional reasons, such as a legal or practical impossibility, which are almost absolute. In this regard, one could think that the results from the rupture of diplomatic or business relations with a foreign state or the need for protection of a political refugee, or the existence of serious physical danger if one initiated proceedings before a foreign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Based on Swiss law regarding conflict of laws, according to the Ministry of Justice and certain analyses of legal doctrine, this rule of attributing judicial competence maintains an exceptional character. It corresponds precisely to the very concept of the forum of necessity. The comments of the Ministry of Justice, regarding Article n 3136 L.A.R.C. incidentally say:</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This article of new law is inspired by the Federal Law regarding Swiss private international law of 1987.</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The provision of Title Three intending to foresee in an exhaustive manner, the international competence of the authorities in Quebec, it would be proper to establish a new competence for Quebec in order to anticipate the case where a proceeding abroad would be impossible or the case where it would be unreasonable to expect it to be initiated. Therefore, it would be necessary that the issue to be litigated would find a sufficient link with Quebec.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This interpretation has been adopted in the doctrine. Thus, P. Glenn sees within the rule on jurisdiction in Article 3136 of the CCQ, the creation of a forum of necessity.</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74. The forum of necessity. By following the Swiss model one more time, notably Article 3 of the Swiss private international law, Article 3136 creates a forum "of necessity" in Quebec, in the case where initiating proceedings abroad would be impossible, or if it cannot be required that they be introduced there. This jurisdiction would exist when there is no court of competent jurisdiction to hear the matter in Quebec, but it would require, nonetheless, that the litigation find "a sufficient link" with Quebec (Article 3136). The court thus created is a subsidiary court, but it is a question of preventing a denial of justice, not just accommodating one of the parties. The examples given in Swiss law: the refugee who cannot bring legal proceedings in the country where he is persecuted, or the urgent application that it would not be heard in a timely manner abroad. The Court of Appeal has also acknowledged that the jurisdiction of the courts in Quebec in cases of child custody can be heard based on just the child being in Quebec, or in cases of imminent, manifest and serious danger. (op. cit., p. 744; see also J.A. Talpis et G. Castel, "Interpretation of the rules of international private law", in La réforme du Code civil, Barreau du Québec et Chambre des Notaires du Québec, P. UL., Sainte-Foy, 1993, pp. 900-901).</w:t>
      </w:r>
      <w:r>
        <w:rPr>
          <w:rFonts w:ascii="arial" w:eastAsia="arial" w:hAnsi="arial" w:cs="arial"/>
          <w:color w:val="000000"/>
          <w:sz w:val="20"/>
          <w:lang w:val="en-US" w:eastAsia="en-US" w:bidi="ar-SA"/>
        </w:rPr>
        <w:t xml:space="preserve"> [Reform of the Civil Code, Quebec Bar and the Chamber of Notaries of Québec]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Article 3136 of CCQ expresses an exception rule based on the impossibility of having access to a foreign court in a litigation that has a sufficient link with Québec. The costs and relative inconvenience of an Italian trial do not justify its application. Italy has, just as Canada, a judicial system associated with the Western tradition. There has been no argument that such forum would not allow for a hearing conforming to the fundamental rules of law or procedure. Such a thing would shock those who are cognizant of the long juridical tradition in Italy, and its role as a source of many of the elements of Western law. We find, in reality, the concern of a litigant, who justifiably believes his tactical position will be weakened if required to plead before an Italian court. This concern is not sufficient to ground the application of Article 3136 CCQ and the first judge rightly rejected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Sharpe J.A. discussed the forum of necessity doctrine and stated the following at para.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forum of necessity doctrine recognizes that there will be exceptional cases where, despite the absence of a real and substantial connection, the need to ensure access to justice will justify the assumption of jurisdiction. The forum of necessity doctrine does not redefine real and substantial connection to embrace "forum of last resort" cases; it operates as an exception to the real and substantial connection test. </w:t>
      </w:r>
      <w:r>
        <w:rPr>
          <w:rFonts w:ascii="arial" w:eastAsia="arial" w:hAnsi="arial" w:cs="arial"/>
          <w:color w:val="000000"/>
          <w:sz w:val="20"/>
          <w:u w:val="single"/>
          <w:lang w:val="en-US" w:eastAsia="en-US" w:bidi="ar-SA"/>
        </w:rPr>
        <w:t>Where there is no other forum in which the plaintiff can reasonably seek relief, there is a residual discretion to assume jurisdiction.</w:t>
      </w:r>
      <w:r>
        <w:rPr>
          <w:rFonts w:ascii="arial" w:eastAsia="arial" w:hAnsi="arial" w:cs="arial"/>
          <w:color w:val="000000"/>
          <w:sz w:val="20"/>
          <w:lang w:val="en-US" w:eastAsia="en-US" w:bidi="ar-SA"/>
        </w:rPr>
        <w:t xml:space="preserve"> In my view, the overriding concern for access to justice that motivates the assumption of jurisdiction despite inadequate connection with the forum should be accommodated by explicit recognition of the forum of necessity exception rather than by distorting the real and substantial connection test.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Clark was not in a physician-patient or hospital-patient relationship. He therefore cannot engage in the pre-litigation screening process which is a condition precedent to proceeding with litigation in Idaho. Even if he was able to overcome that obstacle, and apart from the fact that he is now out of time by reason of the two-year limitation period for an injured patient to bring a cause of action against a physician in that state, Mr. Clark faces another insurmountable obstacle: he cannot bring an action or proceeding in Idaho against Kootenai Medical Center or the Idaho medical practitioners for contribution or indemnity, because in Mr. Hippler's words "the ability for a defendant who was not the patient to bring a cause of action for contribution or indemnity is not recognized in Idaho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 Mersey on behalf of Mr. Clark contends that requiring him to commence proceedings in Idaho "cannot reasonably be required" under s.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and that British Columbia is the only forum in which he can proceed with his claim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Mr. Clark did not choose British Columbia as the forum. He is forced by Mr. Josephson's choice of forum to bring his third party proceedings in British Columbia. Because he is a defendant in British Columbia he will be "on the hook for 100% of the damages" suffered by Mr. Josephson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If Mr. Josephson had commenced his action in Idaho, like the Idaho hospital and doctors, Mr. Clark would only be "on the hook" for his proportionate share of liability. Mr. Clark claims that it is unfair to deny him the ability to adjudicate the liability of the Idaho applicants in British Columbia because there is no other court in which he can commence his proceeding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Counsel for Drs. Manteuffel, Osmanski, McDonald, and Ganz argue that Mr. Hippler does not say Mr. Clark cannot commence proceedings in Idaho. They contend that "Mr. Clark can commence an action in Idaho. He just will not be successful". Any barriers to success, he says, are the equivalent to the limitation period faced in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He argues that s. 6 applies only in those situations where a party is in peril, or in situations that are particularly egregious. In support of that proposition, he refers to para. 45 of the </w:t>
      </w:r>
      <w:r>
        <w:rPr>
          <w:rFonts w:ascii="arial" w:eastAsia="arial" w:hAnsi="arial" w:cs="arial"/>
          <w:i/>
          <w:color w:val="000000"/>
          <w:sz w:val="20"/>
          <w:lang w:val="en-US" w:eastAsia="en-US" w:bidi="ar-SA"/>
        </w:rPr>
        <w:t>Lamborghini</w:t>
      </w:r>
      <w:r>
        <w:rPr>
          <w:rFonts w:ascii="arial" w:eastAsia="arial" w:hAnsi="arial" w:cs="arial"/>
          <w:color w:val="000000"/>
          <w:sz w:val="20"/>
          <w:lang w:val="en-US" w:eastAsia="en-US" w:bidi="ar-SA"/>
        </w:rPr>
        <w:t xml:space="preserve"> decision, which suggests there must be exceptional reasons for exercising discretion to take jurisdiction, such as a legal or practical impossibility; for example, "the rupture of diplomatic or business relations with a foreign state or the need for protection of a political refugee, or the existence of serious physical danger if one initiated proceedings before a foreign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do not see how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assists the Idaho doctors. In that case, Ms. Jordan clearly could have commenced her action in Alberta or Saskatchewan but was out of time. The Court of Appeal found that the British Columbia court did not have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over the action simply due to the fact that the limitation periods in the other two provinces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There is no dispute that Mr. Clark cannot bring an action in Idaho against the applicants for contribution and indemnity because he was not the patient and therefore his claim is not one that is recognized under Idaho law. To argue that s. 6 does not apply because Mr. Clark can commence his action and not be successful, does not reflect a fair, large, and liberal construction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or an interpretation that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Castel and Walker's text, </w:t>
      </w:r>
      <w:r>
        <w:rPr>
          <w:rFonts w:ascii="arial" w:eastAsia="arial" w:hAnsi="arial" w:cs="arial"/>
          <w:i/>
          <w:color w:val="000000"/>
          <w:sz w:val="20"/>
          <w:lang w:val="en-US" w:eastAsia="en-US" w:bidi="ar-SA"/>
        </w:rPr>
        <w:t>Canadian Conflict of Laws</w:t>
      </w:r>
      <w:r>
        <w:rPr>
          <w:rFonts w:ascii="arial" w:eastAsia="arial" w:hAnsi="arial" w:cs="arial"/>
          <w:color w:val="000000"/>
          <w:sz w:val="20"/>
          <w:lang w:val="en-US" w:eastAsia="en-US" w:bidi="ar-SA"/>
        </w:rPr>
        <w:t>, looseleaf, 6th ed. (Markham, Ont.: LexisNexis Canada, 2005), the authors explain that the principles of order and fairness may be served by hearing claims that do not meet the standard of a real and substantial connection but are closely connected with the main action or factual matrix of a case (at 11.12.e.i):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a claim against a foreign defendant would fail the real and substantial connection test if it were constituted as a separate action, it may serve the requirements of order and fairness to try the foreign claim together with the claims that are clearly rooted in the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Petrolio Brasilio S.A. v. Mellitus Shipping Inc. (The "Baltic Flame")</w:t>
      </w:r>
      <w:r>
        <w:rPr>
          <w:rFonts w:ascii="arial" w:eastAsia="arial" w:hAnsi="arial" w:cs="arial"/>
          <w:color w:val="000000"/>
          <w:sz w:val="20"/>
          <w:lang w:val="en-US" w:eastAsia="en-US" w:bidi="ar-SA"/>
        </w:rPr>
        <w:t xml:space="preserve">, [2001] 2 Lloyd's L.R. 203 (C.A.), the English Court of Appeal upheld the trial judge's refusal to set aside a third party notice served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xml:space="preserve"> with leave of the court. In that case, the recipient of two shipments of propane had suffered loss because the propane was not up to standard (it had to be carried to other facilities and sold at a discount). In addition, the tanks on the ship had to be cleaned. The plaintiff Petrobras (holder of the bills of lading) sued Mellitus (the owners of the vessel); Mellitus in turn served a third party notice on Fortum (the charterers of the vessel); Fortum obtained leave and served a third party notice on Saudi Aramco (the shipper and original holder of the bills of lading). Saudi Aramco disputed the jurisdiction of the English court and applied to have the service upon it set aside. Saudi Aramco was engaged in arbitration with Mellitus in England at the time. However, even if Saudi Aramco was found liable to Mellitus in the arbitration proceedings, that result would not allow Fortum to claim contribution and indemnity from Saudi Aramco for its liability (if any) with regard to the claims against Fortum in the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Lord Justice Potter, writing for the Court of Appeal, considered (among others) the following factors: the fact that the English courts were "already the venue for the trial of disputes which arise out of the same subject matter and affect other parties who proceed [t]here" (para. 19), that if Fortum was found liable but Saudi Aramco was not added as a third party to the litigation, Fortum would be unable to claim contribution or indemnity from Saudi Aramco (para. 30), and the fact that the remedy of contribution or indemnity was not available in Saudi Arabian law (para. 35). Lord Justice Potter said that Fortum's claim against Saudi Aramco would be "appropriate to be tried in the course of proceedings already afoot" (para. 36), Saudi Aramco would not be unfairly prejudiced, and the interests of practical justice would be served by its inclusion in the English proceedings. At para. 38 he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should similarly be guided by the interests of the parties and the considerations of practical justice. This is a case where plainly Fortum are acting reasonably in seeking to issue contribution proceedings against Saudi Aramco in proceedings in which Fortum have themselves been sued and require to protect their position. So far as practical justice is concerned, while Saudi Aramco would be under no liability if sued in Saudi Arabia, it will only be held liable to contribute in this country if it is in truth directly liable to Mellitus pursuant to a claim for damage already asserted and required to be determined in England under English law (albeit in arbitration proceedings). In such circumstances, as it seems to me, the demands of practical justice plainly favour joinder of Saudi Aramco.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Similarly, in the case at bar, the factual matrix of the third party claims is very closely connected to the claim initiated by Mr. Josephson. The only practical approach is for one court to hear all of the matters relating to the cause of Mr. Josephson's injuries. If Mr. Josephson established liability on the part of the applicants in a court in Idaho, the defendants and the third parties would pay damages based on the several liabilities attributed to each of them. If they are added to the present proceedings, they will not be substantively prejudiced: they will only be liable to pay for their proportionate share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Dr. Chang argues that once Mr. Clark has been found liable in this action in British Columbia and satisfied the judgment, he can claim contribution from the Idaho doctors. On the other hand, counsel agree that if that should occur, the doctors would then argue that they ought to have been able to have been heard on the issues of liability and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conclude that it cannot reasonably be required that Mr. Clark commence his proceedings in Idaho and that he is entitled to succeed on his application on the basis of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the basis for Mr. Clark's service of the Idaho applicants -- alleged torts committed in Idaho -- does not fall within the circumstances contemplated by s. 10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he required an order from the court before he could properly serve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UniNet Technologies Inc.</w:t>
      </w:r>
      <w:r>
        <w:rPr>
          <w:rFonts w:ascii="arial" w:eastAsia="arial" w:hAnsi="arial" w:cs="arial"/>
          <w:color w:val="000000"/>
          <w:sz w:val="20"/>
          <w:lang w:val="en-US" w:eastAsia="en-US" w:bidi="ar-SA"/>
        </w:rPr>
        <w:t xml:space="preserve">, the Court of Appeal upheld an order made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 xml:space="preserve"> validating service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xml:space="preserve"> where leave should have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That is the appropriate order to be made in this case. There will be an order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 xml:space="preserve"> validating service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xml:space="preserve"> of the amended third party notices served in Idaho on the third party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Kaila v. Sekhon, [2006] B.C.J. No. 2899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M013348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M.V.R. (5th) 299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490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2726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Suvina Kaila, Plaintiff, and Satvinder Singh Sekhon,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3" w:name="Keywords_24"/>
      <w:bookmarkEnd w:id="17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Action by pedestrian injured when struck by taxi dismissed — Pedestrian negligent for stepping from behind stopped vehicle into road without looking both ways — Taxi driver entitled to assume pedestrian would yield right of way to taxi — Driver exercised due care by decelerating and covering brakes when seeing stopped vehicle.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 Traffic regulation — Rights of way — Action by pedestrian injured when struck by taxi dismissed — Pedestrian negligent for stepping from behind stopped vehicle into road without looking both ways — Taxi driver entitled to assume pedestrian would yield right of way to taxi — Driver exercised due care by decelerating and covering brakes when seeing stopped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4" w:name="Case Summary_24"/>
            <w:bookmarkEnd w:id="1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Kaila for damages for injuries sustained as pedestrian injured in collision with Sekhon's taxi -- Kaila embarked from father's vehicle, walked to back of vehicle which was taller than her, looked to left and proceeded to cross street in mid-block -- Kaila struck by Sekhon's vehicle, approaching from right -- Kaila could not remember other details of accident -- Sekhon, taxi driver with twenty years' experience, testified he saw father's vehicle heading towards him -- Saw vehicle stop without signaling, so Sekhon decelerated, covered but did not apply brakes -- Did not anticipate passenger embarking from vehicle -- Had difficulty seeing past vehicle because its headlights were on -- Glanced toward vehicle as he passed -- Denied seeing Kaila in front of his taxi -- Photos of taxi showed no damage to front, shattered windshield -- Sekhon hit brakes and stopped partway past father's vehicle -- HELD: Action dismissed -- Kaila did not look for traffic approaching from west prior to crossing street -- Kaila stepped from behind father's vehicle, not into path but into side of taxi -- Kaila negligent in crossing street from behind vehicle without looking both ways -- No reason for Sekhon to anticipate passenger embarking from vehicle -- Sekhon entitled to assume pedestrian would yield right of way to his taxi -- Sekhon did not fail to exercise due care -- Exercised reasonable caution by decelerating and covering brakes.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5" w:name="Legislation Cited_21"/>
      <w:bookmarkEnd w:id="1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37(24)(a)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61" w:history="1">
        <w:r>
          <w:rPr>
            <w:rFonts w:ascii="arial" w:eastAsia="arial" w:hAnsi="arial" w:cs="arial"/>
            <w:i/>
            <w:color w:val="0077CC"/>
            <w:sz w:val="20"/>
            <w:u w:val="single"/>
            <w:shd w:val="clear" w:color="auto" w:fill="FFFFFF"/>
            <w:lang w:val="en-US" w:eastAsia="en-US" w:bidi="ar-SA"/>
          </w:rPr>
          <w:t>R.S.B.C. 1996, c. 318, s. 180</w:t>
        </w:r>
      </w:hyperlink>
      <w:r>
        <w:rPr>
          <w:rFonts w:ascii="arial" w:eastAsia="arial" w:hAnsi="arial" w:cs="arial"/>
          <w:color w:val="000000"/>
          <w:sz w:val="20"/>
          <w:lang w:val="en-US" w:eastAsia="en-US" w:bidi="ar-SA"/>
        </w:rPr>
        <w:t>, s.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6" w:name="Counsel_25"/>
      <w:bookmarkEnd w:id="1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S.P. Grey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C.M. Wilsher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7" w:name="Judgment_25"/>
      <w:bookmarkEnd w:id="177"/>
      <w:r>
        <w:pict>
          <v:line id="_x0000_s1155"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8" w:name="E.R.A. EDWARDS J."/>
            <w:bookmarkEnd w:id="178"/>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then age 17, was a pedestrian injured by a collision with the defendant's Honda Civic on Boxing Day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issue before the court is whether blame for the collision should be apportioned to the defendant under the provisions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Only the plaintiff and defendant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about 17:45, the plaintiff's father stopped his Isuzu Trooper SUV in the middle of the westbound lane of Rumble Street, a residential street in Burnaby, in front of her then boyfriend's house, which was on the south side of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was dark and drizzling. Traffic in the area was light. The plaintiff was clad in dark clothing. She alit from the front passenger seat, closed the door, had a brief conversation with her father and went to the rear of the Isuzu, a vehicle taller than she was. She looked to her left, in the direction of traffic approaching the rear of the Isuzu. She then stepped out from behind the Isuzu to cross the street. She remembers no other details of the accident. She collided with the defendant's Honda, which was proceeding east. She was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Asked in chief if she had looked west for oncoming traffic before alighting from the Isuzu, the plaintiff answered "There was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Her testimony at examination for discovery on this point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132 "Now, before you got out of the vehicle, did you look for any traffic coming eastbound or westbound on Rumble?"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"Before I got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133 "Yes, while you're sitting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"Not that I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Asked on cross examination if her memory was better at the time of the 2003 discovery, the plaintiff answered to the effect that "bits and pieces come back to me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stated on cross examination that she did not remember looking to her right (towards eastbound traffic) before she stepped out from behind the Isuzu.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that the plaintiff did not look for eastbound traffic before she alit from the Isuzu. Had she done so the defendant's Honda was there to be seen approaching from some two and a half blocks west on Rumble.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also find that the plaintiff did not look west into the eastbound lane before she stepped out from behind the Isuzu into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common ground that the plaintiff attempted to cross the street in mid-block, not at an intersection, that there was no crosswalk at that location and that the speed limit was 50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 taxi driver with twenty years experience,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driving his Honda, he noticed the Isuzu heading towards him as he drove, at about 40 kph, east on Rumble from the intersection of Sussex, two to three blocks west of the point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realized the Isuzu had stopped in the middle of the westbound lane. The Isuzu showed no flashing lights or signal. As he approached it, the defendant lifted his foot from the accelerator and "covered" but did not apply the brakes. He estimated that his Honda began to slow, perhaps to 38 kph. He slowed because he anticipated the Isuzu might turn into a driveway or make a U-turn. The defendant testified that he did not anticipate passengers might be leaving the Isuzu.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does not disclose how far the defendant was from the Isuzu when it stopped and he began to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Isuzu's headlights were on low beam, making it difficult for the defendant to see past it. He did not see the plaintiff or any other pedestrians as he drove east on Rumble.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testified that as he passed the Isuzu, he quickly glanced towards it to see if there was someone in the driver's seat and then, as he looked forward, "something struck my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denied he saw the plaintiff in front of his Honda, and stated there was no damage to the front of his Honda, only to the hood and windshield. My note of his evidence is "she came from near the front fender near the tires and then hit my windshield".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Photos of the Honda disclose no damage to the front of the car. The windshield in front of the driver's seat was shattered.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responded to the collision by hitting his brakes. He testified that the Honda stopped with its rear about four feet east of the rear of the Isuzu.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the Honda was part way past the Isuzu at the time of the collision and travelled no more than a car length from the point of impact with the plaintiff to the point it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the plaintiff stepped from behind the Isuzu, not into the path but into the side of the defendant's Honda, near its left front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180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doubt the plaintiff was in breach of s. 180 and negligent in attempting to cross the street from behind the stopped Isuzu without looking to see if there was traffic coming from the west in the eastbound lane she was about to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Honda was there for the plaintiff to see. She did not look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support of his submissions, plaintiff's counsel cited s. 181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sections 178, 179 and 180, a driver of a vehicle must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plaintiff argued that the defendant, having appreciated the potential hazard from the Isuzu stopped in the middle of the westbound lane and having begun to slow in response to that hazard, was negligent in not anticipating that a passenger might be alighting from the Isuzu and not slowing considerably more than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Normally a driver stopping to disgorge a passenger would pull to the curb or to the right edge of the road to do so. There is no evidence of any parked cars which prevented the driver of the Isuzu from doing this. There was no reason in this case for the defendant to anticipate the Isuzu was stopped to disgorge a passenger, as might have been the case if the Isuzu was double parked beside a row of parked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plaintiff further argued the defendant was negligent for glancing to see if there was anyone in the driver's seat of the Isuzu, rather than "having his eyes peeled straight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light of his anticipation that the Isuzu might turn into a driveway or U-turn, since it displayed no signal it was prudent of the defendant to look to see if there was a driver in the Isuzu to determine if the driver was aware of the Honda's approach or perhaps distracted. It was the Isuzu's peculiar position, stopped in the westbound lane, which signalled a potential hazard. A possible change in that position into the eastbound lane was the primary risk the defendant would naturally anticipate.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was entitled to assume that any pedestrian who attempted to cross the eastbound lane in mid-block would yield the right of way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unable to conclude that the defendant failed to exercise due care to avoid colliding with the plaintiff. While she was a "pedestrian on the highway", she was behind the Isuzu in a position where she could not be seen by the defendant. By choosing to cross the eastbound lane from behind the Isuzu, she had effectively concealed herself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Two cases cited by counsel for the plaintiff are readily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Wilson v. Potter</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 140 A.C.W.S. (3d) 594</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 BCSC 807</w:t>
        </w:r>
      </w:hyperlink>
      <w:r>
        <w:rPr>
          <w:rFonts w:ascii="arial" w:eastAsia="arial" w:hAnsi="arial" w:cs="arial"/>
          <w:color w:val="000000"/>
          <w:sz w:val="20"/>
          <w:lang w:val="en-US" w:eastAsia="en-US" w:bidi="ar-SA"/>
        </w:rPr>
        <w:t>, the plaintiff, a drunken pedestrian, was in the middle of the highway, in a position where he could be seen by the defendant driver who was aware that drunks frequently crossed the highway at that location. Here, the plaintiff was concealed behind the Isuzu and there was no reason for the defendant to anticipate there would be a pedestrian crossing in midblock.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McKay v. British Columbia</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[1996] B.C.J. No. 1779</w:t>
        </w:r>
      </w:hyperlink>
      <w:r>
        <w:rPr>
          <w:rFonts w:ascii="arial" w:eastAsia="arial" w:hAnsi="arial" w:cs="arial"/>
          <w:color w:val="000000"/>
          <w:sz w:val="20"/>
          <w:lang w:val="en-US" w:eastAsia="en-US" w:bidi="ar-SA"/>
        </w:rPr>
        <w:t xml:space="preserve"> (B.C.S.C.), the defendant police officer was driving north in a southbound lane when his vehicle collided with the plaintiff pedestrian. The key issue was whether the defendant's siren was activated soon enough to give the plaintiff sufficient warning. In the present case, the defendant was not driving the wrong way or otherwise in an inherently dangerous manner which required him to take extraordinary precaution, such as sounding his horn or slowing to a crawl.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present case is much more similar to </w:t>
      </w:r>
      <w:r>
        <w:rPr>
          <w:rFonts w:ascii="arial" w:eastAsia="arial" w:hAnsi="arial" w:cs="arial"/>
          <w:b/>
          <w:i/>
          <w:color w:val="000000"/>
          <w:sz w:val="20"/>
          <w:lang w:val="en-US" w:eastAsia="en-US" w:bidi="ar-SA"/>
        </w:rPr>
        <w:t>Loh v. Becir</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[1999] B.C.J. No. 461</w:t>
        </w:r>
      </w:hyperlink>
      <w:r>
        <w:rPr>
          <w:rFonts w:ascii="arial" w:eastAsia="arial" w:hAnsi="arial" w:cs="arial"/>
          <w:color w:val="000000"/>
          <w:sz w:val="20"/>
          <w:lang w:val="en-US" w:eastAsia="en-US" w:bidi="ar-SA"/>
        </w:rPr>
        <w:t xml:space="preserve"> (Nanaimo Reg. No. S13566 January 23, 1999, Grist J.). In that case the plaintiff pedestrian stepped from in front of a parked van into the side of a car passing at 40 kph in a 50 kph zone. The action was dismissed against the drivers of the van and the passing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general principle applicable in this case is that a driver has a duty to take extra precaution in respect of a crossing pedestrian only when the driver sees or is in a position to see the pedestrian. See </w:t>
      </w:r>
      <w:r>
        <w:rPr>
          <w:rFonts w:ascii="arial" w:eastAsia="arial" w:hAnsi="arial" w:cs="arial"/>
          <w:b/>
          <w:i/>
          <w:color w:val="000000"/>
          <w:sz w:val="20"/>
          <w:lang w:val="en-US" w:eastAsia="en-US" w:bidi="ar-SA"/>
        </w:rPr>
        <w:t>Gibb and Gibb v. Ellis and Ellis</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(1959), 17 D.L.R. (2d) 262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Here, the defendant took the reasonable precautions of decelerating and covering his brakes when he became aware the Isuzu was stopped in the middle of the oncoming lane and glancing to see if there was reason to anticipate its driver might turn into his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no pedestrian in sight or in a position to be seen, the defendant was entitled to proceed normally, without exercising extraordinary caution, on the assumption that any pedestrian he did not and could not see would yield the right of way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whole of the evidence I find the defendant did not fail to meet the applicable standard of care, that is, to take the steps that a reasonably careful person would fairly be expected to take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action is accordingly dismissed with costs on scale 3 to the defendant, subject to the application of Rule 37(24)(a) if there has been an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Kandag v. Di Vora, [2007] I.L.R. para. G-2078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May 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M051671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[2007] I.L.R. para. G-2078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[2007] B.C.J. No. 1080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2007 BCSC 717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Kandag v. Di Vora</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25"/>
      <w:bookmarkEnd w:id="179"/>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accident — Soft tissue injuries - - The plaintiff was injured when the motor vehicle he was driving was rear-ended by the vehicle driven by the defendant — The defendant admitted liability for the accident but disputed the plaintiff's claims regarding injury — The action was successful — The "thin skull principle" of torts applies in situations where a victim is somehow more susceptible to injury than the average individual.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0" w:name="Case Summary_25"/>
            <w:bookmarkEnd w:id="18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("Kandag") was rear-ended by the defendant ("Di Vora") while both were travelling in the same direction in their respective vehicles in July 2004. Di Vora admitted liability for the accident insofar as he acknowledged his failure to stop his own vehicle before he struck Kandag's vehicle from behind. As a result of the accident, Kandag suffered injuries to his left arm, hand, and shoulder, and also to the left side of his neck. He brought an action against Di Vora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for the above noted injuries. Di Vora claimed that some of the injuries were exaggerated or had arisen from pre-existing injuries, rather than being caused by this incident.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1" w:name="Holdings of Court_18"/>
            <w:bookmarkEnd w:id="181"/>
            <w:r>
              <w:rPr>
                <w:rFonts w:ascii="arial" w:eastAsia="arial" w:hAnsi="arial" w:cs="arial"/>
                <w:color w:val="000000"/>
                <w:sz w:val="20"/>
                <w:lang w:val="en-US" w:eastAsia="en-US" w:bidi="ar-SA"/>
              </w:rPr>
              <w:t>HELD: The action was successful.</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Di Vora had already admitted liability for the accident, the Court found it necessary to begin by making a formal finding as to that fact, in particular, because Di Vora was self-represented. Having determined that Di Vora was 100 per cent responsible for the accident, the Court then continued to find, upon examination of the testimony and medical records, that Kandag had a pre-existing shoulder injury that was unrelated to this accident, and that he also suffered from pre-existing cervical spine degeneration, a condition that was exacerbated by this accident. The Court considered this evidence to cause the "thin skull principle" to be applicable, resulting in an award of non-pecuniary damages in the amount of $22,000. The claims for past lost income, loss of future income, and permanent disability and diminished capacity were dismissed for lack of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182" w:name="Judgment_26"/>
      <w:bookmarkEnd w:id="182"/>
      <w:r>
        <w:pict>
          <v:line id="_x0000_s1158" style="position:absolute;z-index:2517370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3" w:name="ARNOLD-BAILEY J."/>
            <w:bookmarkEnd w:id="183"/>
            <w:r>
              <w:rPr>
                <w:rFonts w:ascii="arial" w:eastAsia="arial" w:hAnsi="arial" w:cs="arial"/>
                <w:b/>
                <w:color w:val="000000"/>
                <w:sz w:val="30"/>
                <w:lang w:val="en-US" w:eastAsia="en-US" w:bidi="ar-SA"/>
              </w:rPr>
              <w:t>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Zafer Kandag ("the plaintiff") is suing Mr. Marco Di Vora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a motor vehicle accident, which occurred on July 12, 2004, when the defendant rear-ended the vehicle owned and operated by the plaintiff as both were travelling eastbound on West 6th Avenue, near Oak Street, in Vancouver, British Columbia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accident the plaintiff claims to have sustained certain physical injuries to his left arm, hand, and shoulder and the left side of his neck, and to continue to have related ongoing problems and chronic pain. As a result of these injuries the plaintiff claims that he has suffered loss of past and future earnings, loss of earning capacity and permanent disability, in addition to loss and expenses for medical care and treatment. In relation to these losses he claims general and special damages, in addition to court-ordered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his testimony, the defendant admitted that he failed to stop his vehicle in time as traffic stopped and he struck the plaintiff's vehicle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behalf of the defendant it is submitted that some injuries sustained by the plaintiff were caused by the collision, but that other symptoms complained of by the plaintiff are unrelated, having arisen from pre-existing injuries, or are exaggerated. Furthermore, the defendant submits that the plaintiff has failed to prove loss of income from employment arising from the injuries he alleges were caused by the accident, or any loss of future income. It is also submitted that the plaintiff has failed to prove loss of earning capacity or permanent disability, and any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to be decided are:</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accident;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The nature, extent and severity of the injuries sustained by the plaintiff in the accident;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the plaintiff had unrelated, unresolved physical injuries or conditions that pre-existed the accident, and the role any such injuries or conditions played in his post-accident symptoms;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damages, if any, payable to the plaintiff for injury or other loss that he sustained that may properly be attributed to the accident, namely:</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loss of income from employment;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and/or permanent disability; and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trial the plaintiff, who represented himself throughout, testified in direct and cross-examination. He also agreed to the admission of a joint book of documents and medical reports (Exhibit 1), which includes his 2004 tax return, and a Summary of Notice to Admit Facts. The plaintiff did not call any other witnesses or place before the court any additional documentary or medical evidence. Specifically, he did not file any pay stubs or other documents such as a contract of employment pertaining to the restaurant manager position he claims to have obtained about a month prior to the accident. He also did not present any information regarding his claim for special expenses relating to the accident or his medical care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case called by the defendant consisted of the defendant himself, who was the driver of the vehicle that struck the plaintiff's vehicle from behind, and the plaintiff's former common-law spouse, Ms. Ellwood. In his submissions, counsel for the defendant referred to the medical reports relating to the plaintiff, namely: the report of his family physician, Dr. Thomas Martin, dated January 24, 2005 (Exhibit 1, Tab 4); the expert report and update of Dr. Schweigel, an orthopaedic surgeon, who conducted an independent medical examination of the plaintiff on February 17, 2005, and provided an update to his opinion, dated January 3, 2007 (Exhibit 1, Tabs 5 and 9); and a medical legal report by Dr. Peter Wing, an orthopaedic and spinal surgeon, dated July 15, 2005 (Exhibit 1, Tab 6). In addition, Dr. Pankaj Dhawan, a specialist in physical medicine and rehabilitation, provided two follow-up letters about the plaintiff's progress (Exhibit 1, Tab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submits that the accident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insofar as the defendant hit him from behind when he was stopped for traffic. He submits that the injuries he sustained in the accident to his neck, left shoulder, arm and hand were serious and caused him significant physical pain and suffering, and that they continue to do so. He also submits that those injuries and their aftermath have disrupted his life, diminished his enjoyment of many activities that he enjoyed earlier, and reduced his ability to work, which in turn has reduced his income. The plaintiff says he took various prescribed medications for pain and depression and became further depressed, and that he was still in pain. In an effort to dull the pain for a time he drank too much alcohol. The plaintiff claims that to the date of the trial he continues to suffer pain and disability arising from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defendant admits liability for the accident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counsel for the defendant submits that the plaintiff's left shoulder, arm and finger symptoms of pain, numbness and tingling are unrelated to the accident, and are more likely to have arisen from the incident in the summer of 2003 when the plaintiff was playing with Ms. Ellwood's children in a swimming pool and hurt his left arm. He submits that the soft tissue injuries sustained by the plaintiff in the accident should be limited to and may be classified as mild to moderate soft tissue injuries warranting an award of non-pecuniary damages in the range of $15,000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Furthermore, counsel for the defendant submits that the plaintiff has failed to prove any loss of employment income attributable to the accident as a result of his loss of employment as a restaurant manager at the Cotton Club if, in fact, that employment existed at all. If it did exist, counsel for the defendant submits that it was short-term employment for friends, for which no records or pay stubs exist, and was more likely to have been in the nature of volunteer hours. Further, during the period in which the plaintiff claims this loss, counsel for the defendant submits the plaintiff was pursuing a career as a real estate agent, at which he was largely unsuccessful. He submits that the plaintiff was an extremely unreliable witness in relation to this aspect of his claim and failed to produce any witnesses or any documentation to support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defendant also submits that the plaintiff has failed to prove loss of future income, loss of future capacity, or any special damages related to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Evidence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he was driving his Plymouth Voyager van on July 12, 2004, in the late afternoon, eastbound on West 6th Avenue, approaching Oak Street, in Vancouver, British Columbia. He said he was in the right lane and stopped fairly suddenly due to the traffic in front of him stopping. He said that the vehicle behind him, driven by the defendant, did not stop and struck the back of his van. When this occurred the plaintiff said he heard "a smash bang" and the back window of his van shattered as his van went up and down once. He said that his van was struck by a raised "4 by 4" with big 4 inch pipes, like water pipes, protruding from the front that looked like "big horns on a wild boar". He said that ambulance and fire crews attended, and he was taken to St. Joseph's Hospital, where he was examined, an x-ray of his neck was taken and he went home in a taxi. He said his van was towed and subsequently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testified that he had just left work in his 1984 GMC 4-wheel drive pickup and the traffic was crawling along slowly. He said that because of the sunlight coming from behind him visibility in front was momentarily obscured such that he failed to perceive the plaintiff's vehicle directly in front of him had stopped, and he struck it. He said that he was going less than 5 miles per hour and could not recall if he applied his brakes before the impact. The defendant said that he was shocked by what had occurred when he saw that the back window of the van was shattered by the grill guard on his pickup. He pulled out of traffic to exchange information with the other driver. He recalled that the driver of the van seemed a little distraught but was not unreasonable. The defendant said his vehicle did not sustain any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#1: Finding as to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Liability for the accident is admitted on behalf of the defendant, but as the plaintiff is self-represented it is necessary to make a formal finding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find, based on the foregoing evidence, that the defendant caused the accident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keep a sufficient and proper lookout in relation to the traffic directly in front of him, and by failing to stop his vehicle in time to avoid a collision with the plaintiff's vehicle, which was already stopped in traffic. This finding is entirely consistent with the testimony of both the plaintiff and the defendant and the physical damage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Testimony of the Plaintiff, Mr. Kandag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is 46 years old, single, and lives in New Westminster. As the plaintiff in this matter, he testified as to his medical history, and personal and employment circumstances prior to and since the accident. For the last six months he has been working part-time as a sales estimator for a window blind company. He indicated that he is unable to do installations of blinds because of his physical problems stemming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born in Turkey and came to Canada with his family in 1967. After living in London, Ontario and Calgary, Alberta, and having worked as a waiter and bartender, he moved back to Turkey in 1983. He stayed there for several years and then moved to the U.S., where he married, had a daughter in 1989, and worked in real estate and food products marketing in Portland. He then divorced and moved to Seattle, where he owned and managed a small restaurant. The plaintiff returned briefly to Turkey to marry a young woman he met over the Internet. He worked at the Hilton in Istanbul, and then for an electronic company. After 9/11 that business was shut down and he moved to Miami, and then in 2002 he moved to Vancouver where he has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said that upon moving to Vancouver he worked as a manager for a Pizza Hut restaurant and in another restaurant in Tsawwassen, before starting work at the Cotton Club on Granville Island as restaurant manager about a month before the accident. The plaintiff said that he worked half-time at the Cotton Club and the owner worked the other half, and his duties included purchasing and picking up liquor and provisions for the kitchen, and being very physically active, helping with whatever task or role in the restaurant needed his help. He said that the owner sought him out because he was of Turkish descent and knew the food, as well as how to speak Turkish. The plaintiff said that his annual salary at the Cotton Club was to be $48,000 plus bonuses, but that there was nothing in writing to reflect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described living with Ms. Ellwood and her three children in Tsawwassen, in 2003/2004. He was very active in school events at the children's school and physically active playing with the children, coaching baseball, and cycling with them. He also played baseball on an adult team. During this time he was studying for his real estate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said that he had a day off and had been downtown on July 12, 2004, the day of the accident. He stopped in at the Cotton Club to see if everything was alright, and was on his way home to Tsawwassen. He described the accident as previously outlined and said he took a taxi home after being released from St. Joseph's Hospital. He described his left side being sore up his left arm to his neck, with tingling in three fingers on his left hand. He attended at ICBC on July 15, 2004, and then saw his doctor, Dr. Martin within a week. Because of the pain, the plaintiff reported that Dr. Martin prescribed anti-inflammatory medication and painkillers, and sleeping pills because the pain was preventing him from sleeping. Dr. Martin suggested physiotherapy, which the plaintiff said he tried but found that it only aggravated his injuries more. The plaintiff also said that he tried acupuncture and various stretching exercises. This continued for three or four months. The plaintiff reported that when he complained that the medications made him feel groggy and clumsy, Dr. Martin said that he would just have to live with the pain until it got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said that several days after the accident he tried to go back to work at the Cotton Club but he was physically unable to do the work, and the owner, "Dursan", and his financial partner did not want to risk an increase in their WCB rates by having him work when he was injured. The plaintiff said that he had made about $3,200 at the Cotton Club for between 25 and 35 days work, but he did not have any receipts. Then the plaintiff said he was unemployed for eight months and looking for work. About a year after the accident he almost had a job at Staples, but could not lift more than 10 pounds, which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terms of working as a realtor, the plaintiff said he was certified in 2004 before the accident. He was first with Sutton Group in White Rock before the accident, and then took the restaurant position with the Cotton Club. He said after the accident he signed up with Royal Pacific Realty on Kingsway, but found that he did not have the patience to sit at a computer. He worked there for a couple of months and made "zero" in terms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first six months after the accident the plaintiff said he did all the things that his doctor recommended, but he was not doing that well. Once off painkillers and sleeping pills, he took a few drinks per night to help him sleep, and then alcohol became somewhat of a problem. He said that his relationship with Ms. Ellwood did not work out. He said during this time he was agitated and impatient, suffered from anxiety, and the chronic pain made him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said that about six months after the accident he had another accident, when a Toyota Camry he was driving rolled into a van with a propane tank on the back. The plaintiff said he was not hurt in this accident and did not make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said that in 2005 he worked for about two months at Budget Rent-a-Car as a manager-in-training. The work days were about 12 hours and he had to start at 5:15 in the morning. He said that his neck could not take it, that most of the work was standing, and he could not hold his head up that long. At the end of 2005, he took a job search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said that in 2006 he continued to look for work and even took some jobs through Labour Ready. One job involved taping boxes and after four hours he said that he could not continue. He did some telephone soliciting and now has a part-time position with a blind company working 16 to 24 hours per week, from which he makes $400 to $500 per week, depending on the number of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described his present physical condition as follows. He said that he does not carry anything with his left arm and that once when he picked up a jug of milk he pulled his shoulder. The pain was such that he could not sleep and he took pills for a few days. Otherwise he uses alcohol as a sleeping tool. The plaintiff said that if he has a good day he can hold his head up for seven or eight hours, but sometimes he has to take the weight of his head off his shoulders. He said that he is in chronic pain all the time. When he feels good he can go for walks, but he said that he cannot cycle, which he liked to do, because of the position it requires for his neck and arm. He also swims as he does not have to use his left arm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said that anxiety and sleeplessness feed his pain. He finds it hard to sleep. If he takes sleeping pills he cannot wake up, and he has tried wine and whiskey. He finds that he wakes up early in pain because his whole shoulder is sore. He showers for half and hour under hot water, microwaves a hot pack to use, and then goes back to bed. He said that he wants to stay healthy and is looking for a cure. He said that now he spends a couple of hours per day driving and has to stop and put his head back. He uses a blow-up head rest and takes two extra-strength Tylenol which, he says, "takes the edge off" his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said that about a year after the accident, the doctors found out that he had a bulging disc between C4 and C5. The last doctor he saw was giving him cortisone shots along his neck and shoulder, but he understands that it is chronic, and has been told that he will have to live differently and do things in moderation. The plaintiff said that his injuries prevent him from doing many of the things that he used to enjoy, and have affected his mood and ability to socialize. He said that he is less cheerful, less fun to be with, and this has affected his important relationships, including with his sister and Ms. Ellwood and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commenting on the medical reports, the plaintiff said that he agreed with Dr. Martin that he had none of the symptoms prior to the accident, and that he agreed with Dr. Wing's report, as well as the comments of Dr. Dhawan in his July 24, 2006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number of significant points emerged during the plaintiff's cross-examination:</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injured his right ankle in 1979 in a motorcycle accident and experiences stiffness and soreness in it, particularly when he gets up in the morning, but he indicated that it had not kept him from working over the years. He said in 2006 he saw a Dr. Belle, an orthopaedic surgeon, to find out about getting the metal screws in his ankle removed, and in order to get the referral, he had to tell his doctor that it was aching. When certain statements in the Summary of Notice to Admit Facts were put to the plaintiff, he said that he might have told Dr. Belle about experiencing discomfort standing, but did not recall telling him anything about his right ankle failing to hold him up or swelling, although he said a spot in his ankle does swell. He said he did tell Dr. Belle that his ankle was aching but could not recall if he told him that it was worsening over the last 12 months;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denied injuring his left arm and shoulder in an incident in 2003 while playing in a swimming pool in Utah with Ms. Ellwood's three children. He also denied complaining to her of pain in his left shoulder and arm thereafter and experiencing numbness and tingling in some fingers on his left hand. When it was put to him that he saw Dr. Martin on September 8, 2003 for tennis elbow, having received the name from Ms. Ellwood, the plaintiff said that he did not know what "tennis elbow" was, and he did not get the doctor's name from her, but said that Dr. Martin was his doctor. He then admitted to seeing Dr. Martin and agreed that the symptoms of "tennis elbow" in his left elbow did not resolve, that he wore a tensor bandage for awhile and then the symptoms went away and he was playing baseball again. He denied experiencing pain in his left arm and elbow from September to December 2003, saying the problems resolved in a week or two, and specifically denied having trouble holding a platter of food with his left hand at Thanksgiving that year. The plaintiff agreed that he did not mention this problem with his left elbow to Dr. Wing or to Dr. Dhawan because it was not a concern, but he did tell Dr. Schweigel in February 2005 that he still had pain in his left arm, particularly over his left elbow.</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was asked about his subsequent motor vehicle accident on March 14, 2005, for which he was apparently responsible for rear-ending another vehicle, he said he did not make a claim. The plaintiff said that at most he was going 10 kilometres per hour or there would have been damage to the other vehicle he hit. The photographs of the Toyota Camry he was driving show considerable front-end damage to it.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met with "Dursan Ay" of the Cotton Club and his three partners, he could not recall when the offer of employment was made to him and agreed that he did not sign an employment contract and that there was nothing in writing about his employment at the Cotton Club. He said he was not on probation. When it was put to him that he told the ICBC adjuster that he had only been working there two weeks and was on probation, the plaintiff said he guessed that he should have said "about two weeks" (as opposed to the 25 to 35 days he claims he worked prior to the accident), and "yes" he was on probation.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first denied and then admitted to helping Mr. Ay write a letter dated July 15, 2004 in relation to the plaintiff's employment at the Cotton Club.</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admitted that various people helped out at the Cotton Club on an informal volunteer basis, he said that he was not volunteering, but working there at the time of the accident. The plaintiff also indicated that as of the date of the accident he thought that he had been receiving Employment Insurance benefits for about ten months. He also indicated that he told Ms. Ellwood about his job at the Cotton Club and that the first time he heard it was out of business was through a lawyer.</w:t>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he took the real estate licensing course through UBC and had completed it by 2004, but he was not sure in which month, and said that he did discuss this course with Ms. Ellwood. After the Real Estate Council document was shown to him, the plaintiff agreed that he did hang up his license after the accident, from August 16 to December 30, 2004, but that he just manned a kiosk in a mall for four-hour shifts and checked the office for leads to perhaps acquire a customer (as opposed to actually working as a real estate agent). He said real estate was not his career at that time, just something he did for "a side income" and he only indicated real estate as his business on his 2004 tax return "for tax purposes" in order to claim expenses. He said that he did not include his income from the Cotton Club because the tax man said not to worry about it as it was not even for a month.</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said that when he told Dr. Dhawan that he was working seven to eight hours per day measuring for blinds it was a busy time, not full-time work, and that when he measures for blinds over his head his left hand stays down.</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agreed that he had gone to Cuba for a week in December 2006 for a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Testimony of Ms. Ellwood, called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Kathleen Ellwood testified that she met the plaintiff on a blind date on August 19, 2002. Their relationship grew over time. In May/June 2003 they agreed that he would move into her house and live with her and her three children. He lived there until August 19, 2004 when she helped him pack his things and move out, although their relationship was over from her point of view several months earlier. She saw him several times after that and tried to keep their separation amicable. However, ultimately she called the police after he phoned her and allegedly threatened her in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her testimony she provided the court with a number of facts and dates relevant to the plaintiff's claim and past employment. She was accurate and factual in her evidence and did not appear to bear him any ill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terms of the plaintiff's physical health, Ms. Ellwood recalled that the plaintiff hurt his left arm playing with her children in the Spanish Fork City Pool in Utah while they were all on vacation in July 2003. It was not immediately obvious to her that he had done so, but she said that he started to complain a few days later that his left arm became very stiff and sore. As time went on it got worse and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Ellwood provided the plaintiff with the name of Dr. Thomas Martin, who was her family doctor, and noted the plaintiff's appointment with Dr. Martin for September 8, 2003 on the family calendar. After Dr. Martin diagnosed "tennis elbow" Ms. Ellwood went with the plaintiff to buy a brace with padding to support his left elbow, which the plaintiff wore to rest his elbow. She recalled that from September to December 2003 he complained of aching in his arm and shooting pains and tingling in his fingers, such that he could not lift a turkey platter and pass it to the next person at Thanksgiving. She recalled that quite often he would rub his arm and complain of pain and the tingling feeling in his fingers. During this time he did not use his left arm much and his activities were limited. Any kind of lifting up or sideways was difficult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Ellwood said that between January and June 2004 the movement in the plaintiff's left arm gradually got better. He started to do exercises to strengthen his arm, which he found painful but knew he had to do. Ms. Ellwood said that during this period he was generally pretty healthy but had a bad neck which he would shake and crack, he needed a firmer bed for his back, and he complained that his bad ankle with the screws in it would ache when it was cloudy. She recalled that he would hobble when he first got out of bed in the morning and could not jog because of his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Ellwood recalled that as of July 2004 the mobility in the plaintiff's left arm was better, but based on what he told her before she went again to Utah, this time leaving him to look after the house until she returned and helped him move out, the tingling in his fingers and the shooting pain in his left arm had not gone away. It appears that he told her about the accident on the telephone after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Ellwood recalled that when the plaintiff first started living with her he was employed, working at a Pizza Hut restaurant in downtown Vancouver for his brother-in-law, and then in June 2003 he went to work as a restaurant manager at Johnny O's in Tsawwassen. He was there for several weeks and then they let him go. After that he was receiving Employment Insurance. They had just started living together in June 2003. Unable to find restaurant employment, the plaintiff decided to pursue real estate and applied to take the real estate licensing course at UBC. She paid for this on her Visa, in the amount of $875, on November 25, 2003, and he paid her back. He started in January 2004 and had to do extra work on his English and pass an English test, which he took on May 8, 2004, at 1:30 p.m., according to her calendar. Then in June 2004 he wrote and passed the real estate exam. She recalled that he was hired by Sutton Realty in White Rock and worked at a kiosk in a mall on weekends. She said the Cotton Club was owned by some mutual friends of hers and the plaintiff's, Dursan Ay and Murat Kayalak, who were in partnership. She said that she and the plaintiff went there for New Year's Eve, December 31, 2003, as patrons and that she had been there another time with friends and family for lunch. In June 2003 she recalled that as his Employment Insurance was going to run out, the plaintiff indicated that he was going to help out at the Cotton Club, in whatever capacity they needed him, for pocket money while getting his real estate going, and that he did not have a regular salaried position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Other Admitted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Summary of Notice to Admit Facts is found in Exhibit 1, at Tab 8. It includes references to the plaintiff's employment in 2005 and his dealings with Dr. Belle about his right ankle; the fact that the Cotton Club Grill Inc. ceased operating on September 28, 2005; and that the three photos of a damaged Toyota pertained to his subsequent motor vehicle accident on March 3, 2005, for which he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terms of employment in 2005 the plaintiff entered into an agreement with Royal Pacific Realty to sell real estate on June 21, 2005, which terminated on December 19, 2005. He commenced full-time employment with Budget Rent-a-Car on October 14, 2005, which terminated on December 11,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October 18, 2006 the plaintiff attended Dr. Belle, an orthopaedic surgeon, on referral from Dr. Martin, for right ankle discomfort and reported that he felt discomfort in his ankle while standing and at times it failed to hold him up. He also reported that in the preceding year his ankle seemed worse, felt achy, and was occasionally swollen. His right ankle had been fractured about 30 years earlier in a motorcycle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Dr. Thomas Martin, The Plaintiff's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went to see his family doctor on July 15, 2004, the day after the accident, and then for follow up on July 21, 2004. Dr. Martin made the following observations on those occasions, as set out in his report dated January 24,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first saw Mr. Kandag regarding this accident on July 15, 2004. He stated he had been rear ended on July 12, 2004. At the time had [sic] had been taken to Mt. St. Joseph's Hospital, where apparently he was told that X-rays were negative. He had had X-rays of his neck because of pain at that time. When I saw him he stated that he was unable to lift anything greater than five pounds, that his neck was aching, especially on the left hand side. He described a cracking noise in his neck when he moved it, which he never had before. On examination he had very significant spasm and tenderness in his left neck and trapezius down to his shoulder. He had full range of movement, although the extremes of movement were very painful and restricted because of the pain. At this time I recommended resting and stretching with putting ice and heat on this area and I gave him an anti-inflammatory called as Vioxx, as well as a muscle relaxant called Diazepam.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next saw him July 21, 2004 where he was complaining of ongoing pain in his neck and back, especially in the area of his left shoulder and scapula. This pain he described as radiating down his left arm, occasional tingling, as well he complained of ongoing weakness in his left arm and unable to carry anything greater than ten pounds. He had been going to physiotherapy at this time, which he found only marginally beneficial. He was unable to work at this time and having significant pain, including waking himself at night because of pain when he would move. After waking he was unable to get back to sleep. At this time I prescribed a strong analgesic called Percocet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Martin then described his continuing treatment of the plaintiff from July 2004 through to January 4, 2005, during which the plaintiff suffered from continuing pain and tingling in his neck, left arm and into his left hand. He complained of insomnia and on September 15, 2004, Dr. Martin prescribed Paxil, an anti-depressant, due to the fact that "[h]e was still having disturbed sleep because of the pain and was frustrated with the chronicity of his symptoms and was expecting to be back to work." On September 29, 2004, the plaintiff complained of ongoing tingling and pain in his left fourth and fifth fingers, which was worse when doing any activity. Dr. Martin referred him to a neurologist and prescribed a medication for nerve pain. The plaintiff continued to complain of worsening pain and numbness and Dr. Martin prescribed, and then altered, his prescriptions for a number of medications. As of the last documented visit on January 4, 2005, the plaintiff complained of "increased pain in his left neck over the previous few days with no obvious trigger ... ongoing weakness in his left arm and again any repetitive activity caused his pain to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Martin set out a summary of his diagnosis, treatment and prognosis (at p.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Kandag has had a soft tissue injury of his neck and shoulder girdle. There was no indication of any symptoms of this prior to his motor vehicle accident. I believe that his pain and disability are strictly due to his motor vehicle accident. He does have CT findings of a small posterocentral C4-5 disc herniation, which could be resulting in some of the paresthesia symptoms, although this would normally be at a C7 level. Mr. Kandag's sleep disturbance and frustration due to the chronic pain are a significant part in prolonging his disability. I believe that it would be of benefit to see a psychologist who specializes in pain management to help with dealing with the frustration of dealing with this pain. With regards to prognosis, I expect that Mr. Kandag's recovery will be relatively slow, likely in the neighbourhood of one to two years to come back. This will likely be characterized by ups and downs where he can have exacerbations of his pain and would have to back off his activities. He is very keen at returning to work, but at this time is not able to because of his pain and disability. I believe that ongoing physiotherapy and more likely one on one physical training would be of benefit to Mr. Kandag. Massage therapy could be of benefit as well, try to help tone his muscles. At this point he is restricted in the abilities that he has to work. He is not able to lift significant weight, more than ten or fifteen pounds, with his left arm. In particular he is not able to do any over shoulder lifting, nor is he able to do any repetitive lifting, more than ten repetitions, without causing exacerbation of his pain. I would anticipate that this will slowly improve over the next year or two as he gets more conditioned, although it is possible he could have some ongoing residual pain and sensitivity in this area because of 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Dr. Peter Wing's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Wing is an expert in orthopaedic and spinal surgery. Dr. Wing examined the plaintiff on July 15, 2005 and his medical legal report bears the same date. In his report Dr. Wing set out his assumptions, which included that prior to the accident the plaintiff was "a generally healthy man without previous related symptoms in his neck or arms" and "was working effectively in the restaurant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Wing's expert opinion (Exhibit 1, Tab 6, pp. 2-3)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Kandag likely had minor degenerative changes in his neck prior to the motor vehicle crash that were completely normal for a man of his age. I have no evidence that these were causing him any significant symptoms requiring medical attention.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to the motor vehicle crash, there were symptoms of discomfort in the neck and left shoulder possibly related, as Dr. Schweigel suggests, to exacerbation of the degenerative changes or rendering them symptomatic. Specifically, the mild degenerative change in the C5-6 facet could cause these symptoms. This patient did not evince clear non-organic physical findings on my examination. He does however have a number of potential sources of nocioception (physical reasons for pain): the C3-4 with its degenerative changes marginally, the left C5-6 facet which may be somewhat arthritic, and he also seems to have subacromial sensitivity. Any of these may be the source of his ongoing symptoms. The complaint of altered sensation in the left side of the face can be encountered after rear-end motor vehicle crashes.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sensory symptoms in the trigeminal nerve in the left part of the face have been described in the medical literature, as being occasionally associated with "whiplash" soft tissue-type injuries. The course of the trigerminal nerve from the base of the brain suggests that it may be somewhat vulnerable to contusion in these injuries. In addition, it seems that Mr. Kandag has likely had a contusion to the left C7 nerve, either as it passes through the C6-7 interspace, or as it traverses the muscles in the left side of the neck, suggested by Dr. Schweigel. According to his pain drawing, this continues to cause him some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Kandag's work in a restaurant did involve some physical work. While some of the work would be managerial, his view and interpretation of the work is that the manager must be able to fill in for a number of different jobs and that the work can be quite physical. He has found himself unable to do the heavier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Kandag has not fully recovered at this time and still experiences discomfort. He is considering modifications to his work that may minimize the physical demands upon him and this may make it more possible for him to return to productive employment, hopefully within a few months.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agree with Dr. Schweigel that the bulging disc on CT is likely a degenerative process and not the result of the motor vehicle crash. I also agree that the numbness and tingling do not correlate with the C4-5 disc problem.</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offered the following clarification in relation to certain questions posed to him by the plaintiff's former counsel in a letter dated November 14, 2005:</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Mr. Kandag's degenerative changes were minor and entirely normal for age. The chances are that they would have remained asymptomatic but for the accident. I believe his risk of developing symptoms in his neck was the same as any other member of the general population. It would indeed be fair to say that the likelihood of his developing these symptoms was minimal.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now has symptoms, which do not permit specific and accurate diagnosis. His symptoms are reasonable, focal, and likely occasioned by pressure or traction in two nerves: the trigeminal nerve to the face and the C7 nerve root to the arm. While symptoms may gradually fade, his arm symptoms in particular can be provoked by more demanding physical activity and can probably best be managed by restricting to some degree his physical exertion.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see no indication for surgical intervention at this time.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ability to pursue his occupation of bar and restaurant manager will be dependent to some degree upon the demands of the particular position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Dr. J.F. Schweigel's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Schweigel conducted an independent medical examination of the plaintiff on February 17, 2005 and prepared his report (Exhibit 1, Tab 5) on the same day. After examining the plaintiff, receiving a history from him, and reviewing x-rays and a CT scan, as well as other related materials, Dr. Schweigel offered the following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sustained some soft tissue injuries or a strain of muscles and ligaments to his neck. He also aggravated a pre-existing underlying degenerative arthritic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regards to causation of the plaintiff's injuries Dr. Schweigel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 of the soft tissue injuries was the MVA of July 12/04. The degenerative arthritis is an aging process and/or a degenerative process. It was not caused by the MVA of July 12/04. The bulging disc at C4-5 is part of the degenerative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stated his opinion as follows at pp. 5-6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examination of this gentleman in my opinion was normal. There were elements of pain behaviour, which was reflected by his grimacing and groaning while the neck examination took place. These facial expressions were not present when he nodded his head during the history, nor when I did the distraction tests and asked him to look at his arms both right and left. There was no evidence of spasm, no evidence of any neurological deficit, and no evidence of thoracic outlet syndrome. There is also supporting evidence that the patient has no serious abnormalities physically ... Therefore, based on my examination together with the neurologist's, Dr. Gibson, he has no serious abnormality.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Based on this gentleman's testimony that he had no neck pain prior to the above MVA, together with the testimony of the family doctor in his medical legal letter of January 24/05, I would have to conclude that the MVA of July 12/04 caused a soft tissue injury to this gentleman's neck or strain of muscles and ligaments. These soft tissue injuries would have settled down within one to six months. He also has underlying degeneration and arthritis of the cervical spine. This degenerative arthritis is unrelated to the MVA of July 12/04, but has become symptomatic because of that MVA.</w:t>
      </w:r>
      <w:r>
        <w:rPr>
          <w:rFonts w:ascii="arial" w:eastAsia="arial" w:hAnsi="arial" w:cs="arial"/>
          <w:color w:val="000000"/>
          <w:sz w:val="20"/>
          <w:lang w:val="en-US" w:eastAsia="en-US" w:bidi="ar-SA"/>
        </w:rPr>
        <w:t xml:space="preserve"> Based on his testimony that he had no neck pain prior to the above MVA, the current pain he is having is more likely than not coming from the underlying degenerative arthritis ... In my opinion, this patient has had a degenerating neck for years, presumably asymptomatic and it became symptomatic because of the MVA ... He stated to me, that his pain was only slight in his neck, therefore it is highly unlikely that he herniated a disc at the time of the MVA and it is more likely than not, that he had a bulging and herniated disc prior to the MVA and it became symptomatic because of this MVA.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numbness and tingling this gentleman had in his left hand into the 4th and 5th fingers does not correlate with the C4-5 disc herniation. The C4-5 disc herniation would not have caused numbness and tingling in the 4th and 5th fingers. The C7-T1 disc and possibly the C6-7 disc, if herniated, would cause radiating pain, numbness and tingling in the 4th/5th fingers. He had no disc herniation at C6-7 and/or C7-T1. Therefore, his symptoms do not correlate with the physical examination or with the CT scan ... In this patient's case, the C4-5 disc herniation does not correlate with his symptoms or with the clinical findings. Therefore, one cannot conclude that the C4-5 disc herniation is causing the numbness and tingling in the 4th/5th fingers. The numbness and tingling in the 4th/5th fingers is probably due to muscle spasm, which can irritate the nerves as they pass from the neck into the arm.</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letter, dated January 3, 2007, Dr. Schweigel commented on aspects of Dr. Wing's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an addendum letter and is based on review of the two letters mentioned above by Dr. Peter 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 Would the plaintiff have remained asymptomatic without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a possibility. However, with the degeneration he has in the cervical spine, involving several levels, he was predisposed to having problems regardless of the MVA of July 12/04. One has to appreciate that 90% of men, by the age of 50 will have a degenerative arthritic spine, similar to what this gentleman has. The fact that 90% of men have a degenerating cervical spine does not mean that they are all symptomatic. However, the commonest reason people, similar to Mr. Kandag, with an arthritic cervical spine, become symptomatic are events that occur on a daily basis. These events are: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slip,</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fall,</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twisting episode,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jolt,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painting a house,</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lifting,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gardening, etc.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other words, one of these events, more likely than not, regardless of the MVA of July 12/04 would have caused his asymptomatic spine to become symptomatic, similar to the symptoms he had after the July 12/04 MVA.</w:t>
      </w:r>
      <w:r>
        <w:rPr>
          <w:rFonts w:ascii="arial" w:eastAsia="arial" w:hAnsi="arial" w:cs="arial"/>
          <w:color w:val="000000"/>
          <w:sz w:val="20"/>
          <w:lang w:val="en-US" w:eastAsia="en-US" w:bidi="ar-SA"/>
        </w:rPr>
        <w:t xml:space="preserve"> By the same token, he may not have become symptomatic from one of these events in the foreseeable future. However, more likely than not, he would have become symptomatic regardless of this MVA because of the arthritic spine that he has.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2. Was the plaintiff able to work without limitation in July 2005, based on Dr. Wing's exam?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answer to this is yes. Dr. Wing, in his letter of July 15/05 did not demonstrate any physical abnormalities that would stop him from working, similar to the work he was doing prior to the MVA of July 12/04. For Dr. Wing to justify this patient not being able to work at his restaurant type job, lifting objects up to 50 to 60 lbs, Dr. Wing should have demonstrated: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Markedly decreased neck motion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Spasm</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neurological weakness of the muscles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Reflex changes that correlate with the motor or muscle weakness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Wing did not demonstrate any of these abnormalities. His neck motion was slightly decreased but the neck motion that he had was consistent with the amount of degeneration of the cervical spine. Dr. Wing demonstrated some sensory abnormalities, but did comment that some of the sensory abnormalities did not correlate with the CT scan. </w:t>
      </w:r>
      <w:r>
        <w:rPr>
          <w:rFonts w:ascii="arial" w:eastAsia="arial" w:hAnsi="arial" w:cs="arial"/>
          <w:b/>
          <w:color w:val="000000"/>
          <w:sz w:val="20"/>
          <w:lang w:val="en-US" w:eastAsia="en-US" w:bidi="ar-SA"/>
        </w:rPr>
        <w:t>Therefore, in my opinion, there were no objective abnormalities that Dr. Wing demonstrated that would stop this gentleman from returning back to work by July/05.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my conclusions as expressed in my letter of February 17/05 remain the same. [Bold removed from portions of original text and my bold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also saw Dr. Dhawan, a specialist in physical medicine and rehabilitation, on several occasions. Most recently, Dr. Dhawan saw the plaintiff on May 10 and July 24, 2006. On May 10, 2006 Dr. Dhawan considered that the plaintiff "may have some long term muscular pain but he should be able to get back to the work force", whereas on July 24, 2006 Dr. Dhawan expressed that the plaintiff had "plateaued in his recovery" and was "at risk for chronic long term pain". He hoped that a regime of muscles relaxants, anti-inflammatories, painkillers and periodic injections would keep him functional in a work setting, but considered that the plaintiff would have long-term pain, and not be able to do work that requires him to keep his neck in one position or do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position is that, at most, the plaintiff sustained a soft tissue injury superimposed on a previously existing degeneration in his neck at C4 and C5, and that both Dr. Wing and Dr. Schweigel agree that the accident exacerbated that condition. Further, the defendant submits that a significant portion of the plaintiff's ongoing complaint of pain in his left shoulder, arm and tingling in the fingers on his left hand arises not from the accident but from the injury the plaintiff sustained in August 2003 playing in the pool with Ms. Ellwood's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#2(a): What is the nature, extent and severity of the injuries sustained by the plaintiff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Having carefully considered all the evidence heard during the trial I make the following findings of fact based on my assessment of the reliability and credibility of the evidence presented, including the evidence contained in the 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Generally speaking the plaintiff is not a reliable or credible witness when it comes to the exact details of events relating to his claim or their timing. This is particularly so in relation to his alleged loss of income from employment, any future income loss, or loss of future capacity that he seeks to link with the accident and his injuries. He is also not a reliable witness about the extent of his injuries, what pre-existed the accident and how his injuries progressed in recovery and did or did not prevent him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had the distinct sense in listening to the plaintiff's testimony that he is quite content to tell half of the story, the half most favourable to him and his claim, and conveniently forget or obscure the other half. In contrast, Ms. Ellwood impressed the court as an accurate and organized witness, who is also a careful observer of matters in her own life, who keeps a detailed calendar of events for herself and her family, which in 2003 through to August 2004 included the plaintiff. Despite the difficult end to her relationship with him and the fact that she had to call the police due to his alleged threatening of her, Ms. Ellwood did not seem to bear him any particular ill will. In the main, she limited her responses to the questions put to her and to factual matters as she recalled them. I am, however, of the view, that the plaintiff sustained legitimate injuries in the accident. Therefore, where the plaintiff's testimony conflicts with either the testimony of Ms. Ellwood or the medical evidence and the logical inferences to be drawn from it, I do not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terms of the injuries that the plaintiff sustained in the accident, or that I find were contributed to or aggravated by the accident, I make the following findings based primarily on the medical opinions of Dr. Martin, Dr. Wing, and Dr. Schweigel:</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a soft tissue whiplash injury in the area of his left neck and trapezius down to his shoulder;</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aggravated a pre-existing area of degeneration and arthritis of his cervical spine represented by a disc herniation at the level of C4-5, which caused the plaintiff additional pain and discomfort and has prolonged his period of pain and discomfort;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assumptions by Dr. Wing and Dr. Schweigel that the plaintiff was a generally healthy man with no related symptoms prior to the accident and was committed to returning to physical work as soon as possible after the accident are not borne out by the evidence; and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plaintiff was not recovered when he saw Dr. Wing on July 15, 2005, although Dr. Wing anticipated that with some modifications to his work, the plaintiff could return to work "hopefully within a few months." Where the evidence of Dr. Schweigel and that of Dr. Martin and Dr. Wing diverge as to the degree of the plaintiff's incapacity to work I accept the evidence of the latter two. I find that the plaintiff was fully incapacitated for approximately one year from the date of the accident, and continued to suffer from related pain and discomfort for approximately one further year, to July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#2(b): To what extent did the plaintiff have unrelated, unresolved physical injuries or conditions that pre-existed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the plaintiff had a pre-existing injury to his left shoulder, pain down his left arm, and numbness and tingling in the fingers of his left hand, that continues to be symptomatic after the accident to the present. Based on the expert opinions of Dr. Schweigel and Dr. Wing, and the testimony of Ms. Ellwood, I do not find his continuing experience of these symptoms to be related to the accident, as it arose as a result of his injury while swimming with Ms. Ellwood's children in the summer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 #3(a): What amount of non-pecuniary damages is appropriate given the plaintiff's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has provided the court with several authorities that he considers have similarity to his case, and counsel for the defendant has provided me with several authorities to assist in the quantification of non-pecuniary losses in the range of $15,000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cases referred to by the plaintiff are:</w:t>
      </w:r>
      <w:r>
        <w:rPr>
          <w:rFonts w:ascii="arial" w:eastAsia="arial" w:hAnsi="arial" w:cs="arial"/>
          <w:sz w:val="20"/>
          <w:lang w:val="en-US" w:eastAsia="en-US" w:bidi="ar-SA"/>
        </w:rPr>
        <w:cr/>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Dawson v. Dagg et al.</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[1987] B.C.J. No. 1805</w:t>
        </w:r>
      </w:hyperlink>
      <w:r>
        <w:rPr>
          <w:rFonts w:ascii="arial" w:eastAsia="arial" w:hAnsi="arial" w:cs="arial"/>
          <w:color w:val="000000"/>
          <w:sz w:val="20"/>
          <w:lang w:val="en-US" w:eastAsia="en-US" w:bidi="ar-SA"/>
        </w:rPr>
        <w:t>, [1987] B.C.D. Civ. 3399-70 (S.C.);</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Tardiff v. Toews</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[2004] B.C.J. No. 1601</w:t>
        </w:r>
      </w:hyperlink>
      <w:r>
        <w:rPr>
          <w:rFonts w:ascii="arial" w:eastAsia="arial" w:hAnsi="arial" w:cs="arial"/>
          <w:color w:val="000000"/>
          <w:sz w:val="20"/>
          <w:lang w:val="en-US" w:eastAsia="en-US" w:bidi="ar-SA"/>
        </w:rPr>
        <w:t>, [2004] B.C.D. Civ. 730.70.90.60-11 (S.C.);</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Wiebe v. Neal</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[2004] B.C.J. No. 1582</w:t>
        </w:r>
      </w:hyperlink>
      <w:r>
        <w:rPr>
          <w:rFonts w:ascii="arial" w:eastAsia="arial" w:hAnsi="arial" w:cs="arial"/>
          <w:color w:val="000000"/>
          <w:sz w:val="20"/>
          <w:lang w:val="en-US" w:eastAsia="en-US" w:bidi="ar-SA"/>
        </w:rPr>
        <w:t>, [2004] B.C.D. Civ. 730.70.15.00-09 (S.C.);</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Schweighardt v. Palamara</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[2003] B.C.J. No. 1761</w:t>
        </w:r>
      </w:hyperlink>
      <w:r>
        <w:rPr>
          <w:rFonts w:ascii="arial" w:eastAsia="arial" w:hAnsi="arial" w:cs="arial"/>
          <w:color w:val="000000"/>
          <w:sz w:val="20"/>
          <w:lang w:val="en-US" w:eastAsia="en-US" w:bidi="ar-SA"/>
        </w:rPr>
        <w:t>, [2003] B.C.D. Civ. 730.70.90.90-04 (S.C.);</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Sheoratan v. Stolz</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[1999] B.C.J. No. 1612</w:t>
        </w:r>
      </w:hyperlink>
      <w:r>
        <w:rPr>
          <w:rFonts w:ascii="arial" w:eastAsia="arial" w:hAnsi="arial" w:cs="arial"/>
          <w:color w:val="000000"/>
          <w:sz w:val="20"/>
          <w:lang w:val="en-US" w:eastAsia="en-US" w:bidi="ar-SA"/>
        </w:rPr>
        <w:t>, [1999] B.C.D. Civ. 730.70.90.60-18 (S.C.);</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Xu v. Insurance Corp. of British Columbia</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[2001] B.C.J. No. 1221</w:t>
        </w:r>
      </w:hyperlink>
      <w:r>
        <w:rPr>
          <w:rFonts w:ascii="arial" w:eastAsia="arial" w:hAnsi="arial" w:cs="arial"/>
          <w:color w:val="000000"/>
          <w:sz w:val="20"/>
          <w:lang w:val="en-US" w:eastAsia="en-US" w:bidi="ar-SA"/>
        </w:rPr>
        <w:t>, [2001] B.C.D. Civ. 730.70.90.60-04 (S.C.);</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Sedor v. Snider</w:t>
      </w:r>
      <w:r>
        <w:rPr>
          <w:rFonts w:ascii="arial" w:eastAsia="arial" w:hAnsi="arial" w:cs="arial"/>
          <w:color w:val="000000"/>
          <w:sz w:val="20"/>
          <w:lang w:val="en-US" w:eastAsia="en-US" w:bidi="ar-SA"/>
        </w:rPr>
        <w:t>, [2000] B.C.D. Civ. 730.70.90.60-03 (S.C.);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Coleman v. Lee</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[1999] B.C.J. No. 2189</w:t>
        </w:r>
      </w:hyperlink>
      <w:r>
        <w:rPr>
          <w:rFonts w:ascii="arial" w:eastAsia="arial" w:hAnsi="arial" w:cs="arial"/>
          <w:color w:val="000000"/>
          <w:sz w:val="20"/>
          <w:lang w:val="en-US" w:eastAsia="en-US" w:bidi="ar-SA"/>
        </w:rPr>
        <w:t>, [1999] B.C.D. Civ. 730.70.90.60-22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cases referred to by counsel for the defendant are:</w:t>
      </w:r>
      <w:r>
        <w:rPr>
          <w:rFonts w:ascii="arial" w:eastAsia="arial" w:hAnsi="arial" w:cs="arial"/>
          <w:sz w:val="20"/>
          <w:lang w:val="en-US" w:eastAsia="en-US" w:bidi="ar-SA"/>
        </w:rPr>
        <w:cr/>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Shum v. Viveiros et al.</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2006 BCSC 158</w:t>
        </w:r>
      </w:hyperlink>
      <w:r>
        <w:rPr>
          <w:rFonts w:ascii="arial" w:eastAsia="arial" w:hAnsi="arial" w:cs="arial"/>
          <w:color w:val="000000"/>
          <w:sz w:val="20"/>
          <w:lang w:val="en-US" w:eastAsia="en-US" w:bidi="ar-SA"/>
        </w:rPr>
        <w:t>;</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Darji v. Regimbald</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2006 BCSC 834</w:t>
        </w:r>
      </w:hyperlink>
      <w:r>
        <w:rPr>
          <w:rFonts w:ascii="arial" w:eastAsia="arial" w:hAnsi="arial" w:cs="arial"/>
          <w:color w:val="000000"/>
          <w:sz w:val="20"/>
          <w:lang w:val="en-US" w:eastAsia="en-US" w:bidi="ar-SA"/>
        </w:rPr>
        <w:t>;</w:t>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Edstrom v. Polson</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2006 BCSC 614</w:t>
        </w:r>
      </w:hyperlink>
      <w:r>
        <w:rPr>
          <w:rFonts w:ascii="arial" w:eastAsia="arial" w:hAnsi="arial" w:cs="arial"/>
          <w:color w:val="000000"/>
          <w:sz w:val="20"/>
          <w:lang w:val="en-US" w:eastAsia="en-US" w:bidi="ar-SA"/>
        </w:rPr>
        <w:t>; and</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Gale v. Knapp</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2006 BCSC 1225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the nature of the inquiry is such that these cases can serve only to provide guidelines as to the range of damages awarded in cases with some similarities to the case at bar. In this case, as in all others of this kind, the inquiry is highly fact dependant and thus the quantum of any award will turn to a very large degree on its unique circumstances, having regard to what is fair and just in light of the nature, extent and duration of the plaintiff's injuries and the impact these have had on his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pause here to note that the plaintiff had pre-existing degeneration in his cervical spine that I have found was aggravated by this accident. Relevant to this is the "thin-skull" rule, which is a well-established principle of tort law. It is described the following way by Professor Osborne in </w:t>
      </w:r>
      <w:r>
        <w:rPr>
          <w:rFonts w:ascii="arial" w:eastAsia="arial" w:hAnsi="arial" w:cs="arial"/>
          <w:b/>
          <w:i/>
          <w:color w:val="000000"/>
          <w:sz w:val="20"/>
          <w:lang w:val="en-US" w:eastAsia="en-US" w:bidi="ar-SA"/>
        </w:rPr>
        <w:t>The Law of Torts</w:t>
      </w:r>
      <w:r>
        <w:rPr>
          <w:rFonts w:ascii="arial" w:eastAsia="arial" w:hAnsi="arial" w:cs="arial"/>
          <w:color w:val="000000"/>
          <w:sz w:val="20"/>
          <w:lang w:val="en-US" w:eastAsia="en-US" w:bidi="ar-SA"/>
        </w:rPr>
        <w:t xml:space="preserve"> (Toronto: Irwin Law Inc., 2003) at p. 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thin-skull rule] states that, as long as some physical injury to the plaintiff was foreseeable, the defendant is liable for all the consequences of the injury arising from the plaintiff's unique physical or psychological make-up whether or not those consequences were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also must be mindful of the oft cited authority of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wherein McEachern C.J.S.C. states at para.6: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should be exceedingly careful when there is little or no objective evidence of continuing injury when complaints of pain persist for long periods extending beyond the normal or usual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Of the cases referred to by the plaintiff I find </w:t>
      </w:r>
      <w:r>
        <w:rPr>
          <w:rFonts w:ascii="arial" w:eastAsia="arial" w:hAnsi="arial" w:cs="arial"/>
          <w:b/>
          <w:i/>
          <w:color w:val="000000"/>
          <w:sz w:val="20"/>
          <w:lang w:val="en-US" w:eastAsia="en-US" w:bidi="ar-SA"/>
        </w:rPr>
        <w:t>Dawson v. Dagg et al.</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Xu v. Insurance Corp. of British Columbia</w:t>
      </w:r>
      <w:r>
        <w:rPr>
          <w:rFonts w:ascii="arial" w:eastAsia="arial" w:hAnsi="arial" w:cs="arial"/>
          <w:color w:val="000000"/>
          <w:sz w:val="20"/>
          <w:lang w:val="en-US" w:eastAsia="en-US" w:bidi="ar-SA"/>
        </w:rPr>
        <w:t xml:space="preserve"> to be the most similar to the circumstances of this case. In </w:t>
      </w:r>
      <w:r>
        <w:rPr>
          <w:rFonts w:ascii="arial" w:eastAsia="arial" w:hAnsi="arial" w:cs="arial"/>
          <w:b/>
          <w:i/>
          <w:color w:val="000000"/>
          <w:sz w:val="20"/>
          <w:lang w:val="en-US" w:eastAsia="en-US" w:bidi="ar-SA"/>
        </w:rPr>
        <w:t>Dawson</w:t>
      </w:r>
      <w:r>
        <w:rPr>
          <w:rFonts w:ascii="arial" w:eastAsia="arial" w:hAnsi="arial" w:cs="arial"/>
          <w:color w:val="000000"/>
          <w:sz w:val="20"/>
          <w:lang w:val="en-US" w:eastAsia="en-US" w:bidi="ar-SA"/>
        </w:rPr>
        <w:t>the plaintiff received a soft tissue injury to her neck as a result of a rear-end collision. She continued to work intermittently in the next six months and then full-time for the following two years. During this time she suffered from intermittent neck pain, usually triggered by activity at work or play. She had to give up various forms of physical activity that she had previously enjoyed due to the pain in her neck and she became more short-tempered and moody. The court considered that she had suffered a moderate to severe whiplash injury which became chronic leaving her with a persistent disability necessitating an unwelcome change in her lifestyle and awarded her $20,000 in non-pecuniary damages as well as amounts for past and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Xu</w:t>
      </w:r>
      <w:r>
        <w:rPr>
          <w:rFonts w:ascii="arial" w:eastAsia="arial" w:hAnsi="arial" w:cs="arial"/>
          <w:color w:val="000000"/>
          <w:sz w:val="20"/>
          <w:lang w:val="en-US" w:eastAsia="en-US" w:bidi="ar-SA"/>
        </w:rPr>
        <w:t xml:space="preserve"> the plaintiff suffered soft tissue injuries to his neck, back and left shoulder when his vehicle was rear-ended. His injuries caused headaches, dizziness and an earache. At the time of the accident the plaintiff was a retired engineer and had recently opened a hot dog stand. The court found by prematurely stopping physiotherapy, that he had not taken appropriate steps to rehabilitate himself. He was awarded $20,000 in non-pecuniary damages and an amount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relation to the cases relied upon by the defendant I find cases of </w:t>
      </w:r>
      <w:r>
        <w:rPr>
          <w:rFonts w:ascii="arial" w:eastAsia="arial" w:hAnsi="arial" w:cs="arial"/>
          <w:b/>
          <w:i/>
          <w:color w:val="000000"/>
          <w:sz w:val="20"/>
          <w:lang w:val="en-US" w:eastAsia="en-US" w:bidi="ar-SA"/>
        </w:rPr>
        <w:t>Edstrom</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Gale</w:t>
      </w:r>
      <w:r>
        <w:rPr>
          <w:rFonts w:ascii="arial" w:eastAsia="arial" w:hAnsi="arial" w:cs="arial"/>
          <w:color w:val="000000"/>
          <w:sz w:val="20"/>
          <w:lang w:val="en-US" w:eastAsia="en-US" w:bidi="ar-SA"/>
        </w:rPr>
        <w:t xml:space="preserve"> to be of assistance. In </w:t>
      </w:r>
      <w:r>
        <w:rPr>
          <w:rFonts w:ascii="arial" w:eastAsia="arial" w:hAnsi="arial" w:cs="arial"/>
          <w:b/>
          <w:i/>
          <w:color w:val="000000"/>
          <w:sz w:val="20"/>
          <w:lang w:val="en-US" w:eastAsia="en-US" w:bidi="ar-SA"/>
        </w:rPr>
        <w:t>Edstrom</w:t>
      </w:r>
      <w:r>
        <w:rPr>
          <w:rFonts w:ascii="arial" w:eastAsia="arial" w:hAnsi="arial" w:cs="arial"/>
          <w:color w:val="000000"/>
          <w:sz w:val="20"/>
          <w:lang w:val="en-US" w:eastAsia="en-US" w:bidi="ar-SA"/>
        </w:rPr>
        <w:t xml:space="preserve"> the court found that the plaintiff suffered soft tissue injuries described as being in the high/moderate range in a rear-end collision that the defendant described as a low-velocity impact. She was awarded $22,000 in non-pecuniary damages as it was expected her injury would bother her for up to approximately three years, and therefore could not be described as "in the minor range." In </w:t>
      </w:r>
      <w:r>
        <w:rPr>
          <w:rFonts w:ascii="arial" w:eastAsia="arial" w:hAnsi="arial" w:cs="arial"/>
          <w:b/>
          <w:i/>
          <w:color w:val="000000"/>
          <w:sz w:val="20"/>
          <w:lang w:val="en-US" w:eastAsia="en-US" w:bidi="ar-SA"/>
        </w:rPr>
        <w:t>Gale</w:t>
      </w:r>
      <w:r>
        <w:rPr>
          <w:rFonts w:ascii="arial" w:eastAsia="arial" w:hAnsi="arial" w:cs="arial"/>
          <w:color w:val="000000"/>
          <w:sz w:val="20"/>
          <w:lang w:val="en-US" w:eastAsia="en-US" w:bidi="ar-SA"/>
        </w:rPr>
        <w:t xml:space="preserve"> the plaintiff was awarded $25,000 in non-pecuniary damages for a whiplash injury that caused the previously extremely healthy male discomfort and deprivation for about six months. He was an elite athlete and a police officer who earned extra income by "call out"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After a careful consideration of the above authorities, I find that an appropriate quantum of non-pecuniary damages in the circumstances of this case is $22,000. This represents a fair and just amount in light of my findings in relation to the nature and extent of the plaintiff's physical injuries, related complaints, and conditions that I find were contributed to or caused by the accident and its impact on his quality of life from July 2004 until approximately July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Issues #3(b), (c) and (d): What is the plaintiff's proven loss of past or future income from employment, loss of future earning capacity, permanent disability or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of the view that the plaintiff's commitment to income-producing work at this time in his life is suspect and that to a considerable degree he is quite willing to use his physical infirmities such as his ankle, and his chronic soreness and tingling in his left arm and hand, in addition to the injuries he legitimately attributes to the accident, as an excuse not to pursue the kinds of employment that are generally available to him, given his background and his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For the reasons I have previously set out I find the plaintiff to be an unreliable witness on this point, and there is no independent or other evidence to support his claim. In fact, his 2004 tax return does not include the approximately $3,200 income he claims to have earned at the Cotton Club prior to the accident, and shows his only income in that year to be from Employment Insurance, with expenses only being incurred as a real estate agent. He has produced no witnesses, documentation, pay slips, bank records or T4 slips to support his claim that he had this employment, at the rate of remuneration he claims, that he then lost as a result of being unable to perform his duties due to injuries sustained in the accident. While the owners were apparently friends of the plaintiff and Ms. Ellwood, his former common-law spouse, and their full names were recalled by her, the plaintiff himself put no evidence before the court to endeavour to prove his contract with employment for $48,000 per year and a bonus of 10 to 15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Therefore, he has failed to establish his claim for loss of employment income from the Cotton Club, where he says he was hired as manager just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evidence before the court indicates that he sought to pursue employment as a realtor after the accident, albeit unsuccessfully. Specifically, the certificate from the Real Estate Council of British Columbia indicates that the plaintiff was licensed from August 16, 2004 to December 30, 2004, and June 21, 2005 to December 22, 2005, with two different real estate companies. He has not produced a filed tax return for 2005 or any other documentation in relation to income loss for 2005 or 2006 to support his claim for lost past or future income from employment. Indeed, from what I can discern he continues to make a very modest income from an assortment of sources at about the same level as he did, as disclosed in his 2004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Therefore, I dismiss his claims for loss of past and future employment income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also find that the plaintiff has failed to prove any permanent disability to himself arising from the injuries he sustained in the accident; nor has he established a loss of future capacity. This is particularly so as I have found that the pain in his left shoulder with tingling in three fingers on his left hand, if it continues to the present, is attributable to the injury to his left arm that he sustained in August 2003, for which he saw Dr. Martin on September 3, 2003, in the context of "tennis elbow" in his left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Lastly, the plaintiff has not tendered any receipts nor provided any reliable evidence in relation to his claim for the expenses usually included in an award for special damages. This is unfortunate as he must have incurred some for medication and transportation. However, I do not have any information before me that would permit me to estimate the same, and therefore must dismiss his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summarize the findings made above and order that:</w:t>
      </w:r>
      <w:r>
        <w:rPr>
          <w:rFonts w:ascii="arial" w:eastAsia="arial" w:hAnsi="arial" w:cs="arial"/>
          <w:sz w:val="20"/>
          <w:lang w:val="en-US" w:eastAsia="en-US" w:bidi="ar-SA"/>
        </w:rPr>
        <w:cr/>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100 percent liable for the motor vehicle accident;</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non-pecuniary damages in the amount of $22,000 for soft tissue injures sustained in the accident;</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entitled to any amount representing special damages;</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entitled to any amount representing past wage loss, loss of future earnings, permanent disability or diminished capacity;</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entitled to interest pursuant to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make no order as to costs pending further submissions to be made when the parties attend court on May 22, 2007, to receive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7882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King v. Horth, [2010] B.C.J. No. 486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17, 2009; February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07-5070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367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652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Harold King, Plaintiff, and Genevieve Brigitte Horth, Janis Lynn Thomas and Gary Terrence Thomas,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4" w:name="Keywords_26"/>
      <w:bookmarkEnd w:id="184"/>
      <w:r>
        <w:rPr>
          <w:rFonts w:ascii="arial" w:eastAsia="arial" w:hAnsi="arial" w:cs="arial"/>
          <w:b/>
          <w:color w:val="000000"/>
          <w:sz w:val="20"/>
          <w:lang w:val="en-US" w:eastAsia="en-US" w:bidi="ar-SA"/>
        </w:rPr>
        <w:t>Civil litigation — Civil procedure — Trials — Simplified procedure actions — Costs — Assessment or fixing of costs — Considerations — Bullock or Sanderson order — Discretion — Application by parties for determination of costs allowed — Parties estimate of two day trial expanded to four days for personal injury litigation conducted under Rule 66 — Actual trial took 11 days — Plaintiff succeeded against T but not against H — Court awarded plaintiff's costs against T capped under Rule 66 plus $1,600 per day for additional three days, as plaintiff bore responsibility for increased length of trial — H's costs payable by T under Sanderson order, capped under Rule 66 for four day trial plus $1,600 for additional two days — British Columbia Supreme Court Rules, Rule 66, Rule 66(29).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5" w:name="Case Summary_26"/>
            <w:bookmarkEnd w:id="1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parties for determination of costs. The parties were involved in personal injury litigation related to an automobile accident. Thomas was struck by Horth in an intersection. Both vehicles spun into the plaintiff's vehicle. Both defendants denied liability. Horth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proceedings were conducted under Rule 66 and initially the matter was set for a two day trial. At the pre-trial conference, the parties consented that the trial could take up to four days. None of the parties ever applied to remove the case from Rule 66. The trial took 11 days to complete. The Thomas defendants were ordered to pay damages to the plaintiff and the action against the defendant Horth was dismissed. The plaintiff's damages exceeded an offer to settle made by the Thomas defendants. Neither the plaintiff nor Horth delivered a formal offer to settle. The plaintiff sought his costs on Scale B under Rule 57. The plaintiff submitted that the Thomas defendants should be ordered to pay Horth's costs directly under a Sanderson order, or alternatively, that he should be entitled to recover Horth's costs from the Thomas defendants under a Bullock order. In support, the plaintiff argued that the length of the trial was unnecessarily extended by the defendants' denial of liability and the failure by Thomas to disclose the existence of an inculpatory statement. The Thomas defendants submitted that the plaintiff's costs were capped at $6,600 by operation of Rule 66(29) and that they were not directly or indirectly responsible for Horth's costs. Horth sought recovery of her costs payable by the plaintiff plus an award of special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6" w:name="Holdings of Court_19"/>
            <w:bookmarkEnd w:id="18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substantially successful at trial. However, the plaintiff bore responsibility for the trial running on past the estimated time by not making more effective use of pre-trial procedures. It was fair and just to limit the plaintiff's recovery in costs to the Rule 66 maximum plus $1,600 per day for three further days. The defendants were not willing to give up the apparent security of the cap on costs offered by Rule 66 until they knew the outcome of the trial. It was reasonable for the plaintiff to join Horth in the action and to continue that claim in the face of the position taken by the Thomas defendants. It was not apparent that the claim against Horth had no prospect of success until during the trial. Under the circumstances, it was appropriate for the Thomas defendants to pay Horth's costs pursuant to a Sanderson order. Horth was entitled to her costs based on a four day trial under Rule 66 plus $1,600 per day for an additional two days. No award of special costs was warranted.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7" w:name="Legislation Cited_22"/>
      <w:bookmarkEnd w:id="1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37, Rule 57, Rule 66, Rule 66(1), Rule 66(8)(b), Rule 66(29), Rule 66(29.1), Rule 66(29.2), Rule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8" w:name="Counsel_26"/>
      <w:bookmarkEnd w:id="1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 Acheson, Q.C. and K.D.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Genevieve Brigitte Horth: S. Finn.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Janis Lynn Thomas and Gary Terrence Thomas: S.J. Harper.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9" w:name="Judgment_27"/>
      <w:bookmarkEnd w:id="189"/>
      <w:r>
        <w:pict>
          <v:line id="_x0000_s1163"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0" w:name="R. JOHNSTON J."/>
            <w:bookmarkEnd w:id="190"/>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concerns costs following the trial of this matter in which I ordered that the Thomas defendants pay damages to the plaintiff and that the action against the defendant Horth be dismissed. The plaintiff's damages exceeded an offer to settle made by the Thomas defendants. Neither the plaintiff nor the defendant Horth had delivered a formal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Because the action was styled under Rule 66 and the trial took place over 11 days, the parties have widely divergent positions on the costs that should be ordered. I should note here that four of the days were half days, so in total nine full days were taken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matter began under the ordinary rules in December 2007. In July 2008 the plaintiff amended his statement of claim to add this endorsement: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hereby estimates that a trial of this action will be completed within two days and elects to have this action proceed in accordance with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claims throughout have been against the defendant Horth as owner and driver of one motor vehicle and the defendants Thomas as operator and owner respectively of a second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action arose out of an accident in which Ms. Thomas drove her car away from a stop sign, travelled across an intersecting through road, and was struck by the defendant Horth, who was driving unremarkably on the through road. One or both of the defendant vehicles then spun into the plaintiff's vehicle where the plaintiff was stopped at the stop sign opposite the point from which Ms. Thomas had launched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Both defendants denied liability to the plaintiff. The defendant Horth pleaded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 and his injuries. The Thomas defendants did not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says he should have his costs on Scale B, under Rule 57, from the Thomas defendants and that the Thomas defendants should be ordered to pay the costs of the defendant Horth directly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based on </w:t>
      </w:r>
      <w:r>
        <w:rPr>
          <w:rFonts w:ascii="arial" w:eastAsia="arial" w:hAnsi="arial" w:cs="arial"/>
          <w:i/>
          <w:color w:val="000000"/>
          <w:sz w:val="20"/>
          <w:lang w:val="en-US" w:eastAsia="en-US" w:bidi="ar-SA"/>
        </w:rPr>
        <w:t>Sanderson v. Blyth Theatre Co.</w:t>
      </w:r>
      <w:r>
        <w:rPr>
          <w:rFonts w:ascii="arial" w:eastAsia="arial" w:hAnsi="arial" w:cs="arial"/>
          <w:color w:val="000000"/>
          <w:sz w:val="20"/>
          <w:lang w:val="en-US" w:eastAsia="en-US" w:bidi="ar-SA"/>
        </w:rPr>
        <w:t xml:space="preserve"> [1903] 2 K.B. 533 (C.A.)). The plaintiff says in the alternative, if he is ordered to pay the costs of the defendant Horth, he should be able to recover those costs from the Thomas defendants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based on </w:t>
      </w:r>
      <w:r>
        <w:rPr>
          <w:rFonts w:ascii="arial" w:eastAsia="arial" w:hAnsi="arial" w:cs="arial"/>
          <w:i/>
          <w:color w:val="000000"/>
          <w:sz w:val="20"/>
          <w:lang w:val="en-US" w:eastAsia="en-US" w:bidi="ar-SA"/>
        </w:rPr>
        <w:t>Bullock v. The London General Omnibus Company,</w:t>
      </w:r>
      <w:r>
        <w:rPr>
          <w:rFonts w:ascii="arial" w:eastAsia="arial" w:hAnsi="arial" w:cs="arial"/>
          <w:color w:val="000000"/>
          <w:sz w:val="20"/>
          <w:lang w:val="en-US" w:eastAsia="en-US" w:bidi="ar-SA"/>
        </w:rPr>
        <w:t xml:space="preserve"> [1907] 1 K.B. 264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support, the plaintiff argues that the length of the trial was unnecessarily extended by the defendants' denial of liability, which was exacerbated by the failure of the Thomas defendants to disclose the existence of an inculpatory statement made by the defendant Janis Lynn Thomas to an ICBC adjuster immediately after the accident. The plaintiff says the situation was worsened because the defendants had not only a common insurer in ICBC, but a common adjuster instructing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Thomas defendants say that the fees portion of the plaintiff's costs should be confined to $6,600 pursuant to Rule 66(29). In the alternative, they argue that the plaintiff should recover costs for only parts of the proceeding or on some issues or, in the further alternative, that the Thomas defendants should be awarded costs on some issues. Finally, the Thomas defendants argue that they should not be ordered to pay the costs of the defendant Horth, either directly or at the instance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Horth argues that she should have her costs of this action throughout, payable by the plaintiff and not recoverable from the Thomas defendants. In the alternative, the defendant Horth says that the plaintiff should be denied any costs of prosecuting this action or, in the further alternative, the defendant Horth says there should be no costs following discoveries because it ought to have been apparent then that this action did not qualify under Rule 66 and that there was no liability on the defendant Horth. Finally, the defendant Horth submits she should be awarded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trial was set for two days to begin February 9, 2009. On January 19, 2009, all counsel attended a pre-trial conference before a Master. At the pre-trial conference, counsel for the Thomas defendants expressed some reservation over whether the trial could be completed in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Plaintiff's counsel said that the plaintiff's case would complete in 5.3 hours, with the plaintiff's evidence taking about half a day and the rest of the plaintiff's case - the plaintiff's wife, his employer and three doctors for cross-examination - would take the balance of the first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Thomas defendants estimated that she would need 10.3 hours to put her clients' case in, and counsel for the defendant Horth estimated his client's case would require about 1.5 hours. Counsel for the defendants also agreed that perhaps one-half hour would be needed to argue the admissibility of parts of each of the plaintiff's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Plaintiff's counsel advised that the plaintiff was no longer relying upon the opinion of one of the experts, Dr. Vincent, because, as counsel put it, his report was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Based on this information, the Master concluded that the trial would likely require four days for hearing. Counsel for the Thomas defendants agreed, and asked counsel for the plaintiff what her position was with respect to continuing under Rule 66, given the new trial length estimate. Counsel for the Thomas defendants suggested continuing under Rule 68 as an alternative. Plaintiff's counsel did not favour proceeding under Rule 68 because she said she still had three experts after dropping Dr. Vincent from her arsenal, and Rule 68 would limit her to one expert, unless the court ordered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Master raised the cost implications of leaving this matter under Rule 66 given the increased trial length estimate, and plaintiff's counsel confirmed that the plaintiff wished to continue under Rule 66, with liberty to go up to four days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Rather than remove the action from Rule 66, under subrule (8)(b), the Master summarized the discussion to that point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it was probably never likely to get - to be in the ambit of Rule 66, that is could be completed by properly motivated to counsel in two days. But it's hard to see now where the downside of all of this is, is (sic) the plaintiff is content with the cost recovery, assuming he's going to win, then who would object, and if the defendants, if they think they might lose, in other words that liability isn't so serious that there's going to be an award and they're going to pay and they probably have their cost liability restricted and probably be a good thing for the defendants too. So I don't know whose ox is being gored here. But for sure at the way it sits right now, it's not a two-day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Master's assessment of the situation was that three weeks before trial all parties understood and accepted that the trial would likely take four days and that each, for his or her own reasons, wished to retain what comfort might remain from the ability to seek the protection of the maximum costs recovery or exposure available under Rule 66. None of the parties quarrelled with this assessment at the pre-trial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pre-trial discussion digressed into the impact of offers to settle on the costs of a four-day trial under Rule 66. The Master reaffirmed his understanding from counsel for the plaintiff that she could lead the plaintiff's case, at least in chief, in a day. The Master concluded by saying, somewhat prophetically as it turned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 I don't know where we're going to go except that, as I say, trial division, they probably will now just acquiesce in the timing, 'cause your three weeks out that'll - the schedule will accommodate that for - in terms of what we have booked already, but it'll - it'll be interesting for the trial judge to decide what to do about costs when this is all said and done. Very interesting. I like it. We need more law on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shortly thereafter: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maybe the defendants will apply to get out in the meantime,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None of the parties applied to remove the case from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 plaintiff recover costs under Rule 66 or Rule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Rule 66(1) reads:</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this rule is to provide a speedier and less expensive determination of certain actions the trial of which can be completed within 2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Rule 66 contains its own cost provisions in subrules (29), (29.1) and (29.2).</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orders otherwise or the parties consent, and subject to Rule 57(10), the amount of costs, exclusive of disbursements, to which a party is entitled is as follows: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spent on the hearing of the trial is one day or less, $5 000;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spent on the hearing of the trial is more than one day, $6,600.</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its discretion under subrule (29), the court may consider a settlement offer delivered in accordance with Rule 37, 37A or 37B whether or not other special circumstances exist.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tax is payable by a party in respect of legal services, an additional amount to compensate for that tax must be added to the amount of costs to which the party is entitled under subrule (29), which additional amount must be determined by multiplying the amount of costs to which the part is entitled under subrule (29) by the percentage rate of the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Ryan v. Welch</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[1999] B.C.J. No. 2524</w:t>
        </w:r>
      </w:hyperlink>
      <w:r>
        <w:rPr>
          <w:rFonts w:ascii="arial" w:eastAsia="arial" w:hAnsi="arial" w:cs="arial"/>
          <w:color w:val="000000"/>
          <w:sz w:val="20"/>
          <w:lang w:val="en-US" w:eastAsia="en-US" w:bidi="ar-SA"/>
        </w:rPr>
        <w:t>, 1999 CarswellBC 2548 (S.C.), at para. 8, Curtis J. said about Rule 66 when it was still a pilot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contemplates trials that can be completed within two days. I would interpret that provision to mean can, with the best efforts of counsel to litigate the case efficiently having regard to the amount in issue and the issues involved, be tried within two days.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take this to refer to all counsel acting at the trial, using best efforts to litigate efficiently.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cost provisions of Rule 66 exist to keep the cost of litigating under the rule relatively low: </w:t>
      </w:r>
      <w:r>
        <w:rPr>
          <w:rFonts w:ascii="arial" w:eastAsia="arial" w:hAnsi="arial" w:cs="arial"/>
          <w:i/>
          <w:color w:val="000000"/>
          <w:sz w:val="20"/>
          <w:lang w:val="en-US" w:eastAsia="en-US" w:bidi="ar-SA"/>
        </w:rPr>
        <w:t>Reid v. Insurance Corporation of British Columbia</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2000 BCSC 1334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Van Bregt</w:t>
      </w:r>
      <w:r>
        <w:rPr>
          <w:rFonts w:ascii="arial" w:eastAsia="arial" w:hAnsi="arial" w:cs="arial"/>
          <w:color w:val="000000"/>
          <w:sz w:val="20"/>
          <w:lang w:val="en-US" w:eastAsia="en-US" w:bidi="ar-SA"/>
        </w:rPr>
        <w:t>, 12 May 2004, Victoria 02-2387 (S.C.), Dorgan J. noted near the end of the first day of a two-day trial under Rule 66 that the matter had no prospect of completing in two days, granted a defence motion to remove it from Rule 66, and declared a mistrial. In her oral reasons, Dorgan J. said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endorsement of her pleadings, the plaintiff opted for the Rule 66 trial process. That signals that the case is suitable to be tried within 2 days. It is then incumbent upon the plaintiff to tailor its case to fit into the 2 day estimate. The defendant has relied on the endorsement. So has the administration in that the endorsement impacts the timing of other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later,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interests of justice and fairness to the parties require that a plaintiff, who elects to proceed pursuant to Rule 66, must put its case in within 2 days, barring consent of the parties or reasonably unforeseeable circumstances arising since the trial agenda was filed and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Here, it is fair to say that the parties consented at the pre-trial conference that this trial could take up to four days and remain under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Duong v. Howarth,</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2005 BCSC 128</w:t>
        </w:r>
      </w:hyperlink>
      <w:r>
        <w:rPr>
          <w:rFonts w:ascii="arial" w:eastAsia="arial" w:hAnsi="arial" w:cs="arial"/>
          <w:color w:val="000000"/>
          <w:sz w:val="20"/>
          <w:lang w:val="en-US" w:eastAsia="en-US" w:bidi="ar-SA"/>
        </w:rPr>
        <w:t>, Macaulay J. dealt with the impact of an offer to settle on costs under Rule 66. At para. 4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enactment of Rule 66, a line of authority established that the court should only order costs "otherwise" where justified by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Rule 66(29), the costs of a one day trial are capped at $3,600, exactly $1,200 below the cap for a two day trial. If one assumes that average pre-trial costs remain constant for a one or two day case, it is evident that the cap is not designed to deprive a successful litigant of costs available outside of the rule. Instead, the rule seeks to displace the need for unnecessary and expensive taxations in the relatively modest cases that proceed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caps referred to have now been increased to $5,000 for a one day trial and $6,600 for a two day trial. The reference to not depriving a successful litigant of costs available outside the rule has not been directly pursued in subsequent decisions, although several have departed from the Rule 66 cap, as will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 v. Routbard</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2007 BCCA 193</w:t>
        </w:r>
      </w:hyperlink>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67 B.C.L.R. (4th) 66</w:t>
        </w:r>
      </w:hyperlink>
      <w:r>
        <w:rPr>
          <w:rFonts w:ascii="arial" w:eastAsia="arial" w:hAnsi="arial" w:cs="arial"/>
          <w:color w:val="000000"/>
          <w:sz w:val="20"/>
          <w:lang w:val="en-US" w:eastAsia="en-US" w:bidi="ar-SA"/>
        </w:rPr>
        <w:t>, the Court of Appeal said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a plain reading of subrules 66(29) and (29.1) makes it clear that the court can exercise a discretion to depart from the fixed costs set forth in subrule (29) if there are special circumstances, and an offer under Rule 37 is simply one of the circumstances in which it may do so. Rule 37 is not given elite status as a special circumstance and, in some cases, it may be only one of many special circumstances which the court may consider in determining whether the fixed costs under subrule (29) should apply.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While a court that finds special circumstances to exist has a discretion to depart from the fixed costs under subrule 66(29), how that discretion is to be exercised is not so clear. On that question, I consider the words of Lambert J.A. in </w:t>
      </w:r>
      <w:r>
        <w:rPr>
          <w:rFonts w:ascii="arial" w:eastAsia="arial" w:hAnsi="arial" w:cs="arial"/>
          <w:i/>
          <w:color w:val="000000"/>
          <w:sz w:val="20"/>
          <w:lang w:val="en-US" w:eastAsia="en-US" w:bidi="ar-SA"/>
        </w:rPr>
        <w:t>Robertson v. North Island College Technical and Vocational Institute</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(1980), 119 D.L.R. (3d) 17</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26 B.C.L.R. 225</w:t>
        </w:r>
      </w:hyperlink>
      <w:r>
        <w:rPr>
          <w:rFonts w:ascii="arial" w:eastAsia="arial" w:hAnsi="arial" w:cs="arial"/>
          <w:color w:val="000000"/>
          <w:sz w:val="20"/>
          <w:lang w:val="en-US" w:eastAsia="en-US" w:bidi="ar-SA"/>
        </w:rPr>
        <w:t xml:space="preserve"> (C.A.), at para. 24, to be particularly useful: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threshold question is answered affirmatively then the discretion of the trial judge arises. Of course, he may exercise it either way. It is a true discretion. Whether he grants a Bullock order, or not, must depend on his assessment of the circumstances of the case. In my opinion it is inappropriate to trammel that discretion by endeavouring to extract principles from those cases where the discretion was exercised and from those cases where it was refused. The threshold question must be answered affirmatively; the discretion must be exercised judicially; and that is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reference to threshold question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relates to the issue then being considered, whether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should have been made at trial. In spite of the difference in issues, I consider the principle stated to be applicable here, and bear in mind as I canvass the authorities cited by the parties that, in this case, if special circumstances are found to exist, the discretion such a finding confers must be exercised judicially, "... and that is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Trial length has been found to be a special circumstance in many decisions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Manuel v. Johnstone,</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2007 BCSC 2008</w:t>
        </w:r>
      </w:hyperlink>
      <w:r>
        <w:rPr>
          <w:rFonts w:ascii="arial" w:eastAsia="arial" w:hAnsi="arial" w:cs="arial"/>
          <w:color w:val="000000"/>
          <w:sz w:val="20"/>
          <w:lang w:val="en-US" w:eastAsia="en-US" w:bidi="ar-SA"/>
        </w:rPr>
        <w:t>, a trial under Rule 66 lasted five and one-half days, and would have gone longer had the trial judge not intervened. The plaintiff's action was dismissed and her counsel sought to cap her liability for costs at the maximum under Rule 66. After characterizing the trial length estimate as "ridiculously low", and noting the argument that previous decisions of this court had held that trial length could be a special circumstance permitting departure from the costs cap under Rule 66, the trial judge said at paras. 25-26: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 in my view it would be unjust for the court to limit the defendant to the costs set out in Rule 66(29)(b) in this case. I say this for the following reasons. Firstly, the matter did not qualify to be brought under Rule 66 and it ought to have been clear from the outset that two days would be insufficient for the trial. Secondly, the case greatly exceeded the two-day time estimate. Thirdly, the defendant did apply to take the case out of Rule 66 but did not proceed with that application because the plaintiff assured her that the case could be completed in two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To award costs at a level above that set out in Rule 66(29) is not punitive. It is merely a recognition that the rule was never intended to apply to a case such as the present. That said, I am also of the view that simply applying the rule of thumb that each day represents $1,200 in fees would also be unjust. The defendant could and ought to have moved to remove this matter from Rule 66 when it became apparent that a two-day time estimate was far too low. The plaintiff has undoubtedly relied to some extent on Rule 66(29) in measuring her downside exposure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Kailey v. Kellner,</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2008 BCSC 224</w:t>
        </w:r>
      </w:hyperlink>
      <w:r>
        <w:rPr>
          <w:rFonts w:ascii="arial" w:eastAsia="arial" w:hAnsi="arial" w:cs="arial"/>
          <w:color w:val="000000"/>
          <w:sz w:val="20"/>
          <w:lang w:val="en-US" w:eastAsia="en-US" w:bidi="ar-SA"/>
        </w:rPr>
        <w:t>, 56 C.P.C. (6th) 40, two actions, one commenced under Rule 66 and one under Rule 68, were before the same judge on a pre-trial conference. Counsel for the defendant in each action applied to remove each from the respective rule so as to set the two trials for five days. The presiding judge ordered both actions heard at the same time under Rule 66 and set three days for trial. The trial took four days, and the plaintiff's damages did not exceed a formal offer to settle in each of the two actions. When the question of costs came before the trial judge, he said at paras.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is not a case where there were simply two, two day trials heard together under the provisions of R. 66. This was a four day trial in which procedures mandated under R. 68 were imposed.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length of the trial itself constitutes, in this case, a special circumstance. The four days, however, were not necessary solely because there were two actions. There were significant issues in this case involving an overall assessment of the evidence as to pre-existing condition, whether there was an injury at all and the effect if any of multiple events on the plaintiff's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Reid v. Insurance Corporation of British Columbia,</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2000 BCSC 1334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Marine Industry Standard Welfare Plan (Trustees of) v. Dizdarevich,</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2004 BCSC 1024</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34 B.C.L.R. (4th) 350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Duong</w:t>
      </w:r>
      <w:r>
        <w:rPr>
          <w:rFonts w:ascii="arial" w:eastAsia="arial" w:hAnsi="arial" w:cs="arial"/>
          <w:color w:val="000000"/>
          <w:sz w:val="20"/>
          <w:lang w:val="en-US" w:eastAsia="en-US" w:bidi="ar-SA"/>
        </w:rPr>
        <w:t xml:space="preserve"> were cited to the trial judge in </w:t>
      </w:r>
      <w:r>
        <w:rPr>
          <w:rFonts w:ascii="arial" w:eastAsia="arial" w:hAnsi="arial" w:cs="arial"/>
          <w:i/>
          <w:color w:val="000000"/>
          <w:sz w:val="20"/>
          <w:lang w:val="en-US" w:eastAsia="en-US" w:bidi="ar-SA"/>
        </w:rPr>
        <w:t>Kailey.</w:t>
      </w:r>
      <w:r>
        <w:rPr>
          <w:rFonts w:ascii="arial" w:eastAsia="arial" w:hAnsi="arial" w:cs="arial"/>
          <w:color w:val="000000"/>
          <w:sz w:val="20"/>
          <w:lang w:val="en-US" w:eastAsia="en-US" w:bidi="ar-SA"/>
        </w:rPr>
        <w:t xml:space="preserve"> Like </w:t>
      </w:r>
      <w:r>
        <w:rPr>
          <w:rFonts w:ascii="arial" w:eastAsia="arial" w:hAnsi="arial" w:cs="arial"/>
          <w:i/>
          <w:color w:val="000000"/>
          <w:sz w:val="20"/>
          <w:lang w:val="en-US" w:eastAsia="en-US" w:bidi="ar-SA"/>
        </w:rPr>
        <w:t>Duong,</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B.C. Marine Industry</w:t>
      </w:r>
      <w:r>
        <w:rPr>
          <w:rFonts w:ascii="arial" w:eastAsia="arial" w:hAnsi="arial" w:cs="arial"/>
          <w:color w:val="000000"/>
          <w:sz w:val="20"/>
          <w:lang w:val="en-US" w:eastAsia="en-US" w:bidi="ar-SA"/>
        </w:rPr>
        <w:t xml:space="preserve"> case was concerned with the relationship between Rule 66 and Rule 37. The statement in </w:t>
      </w:r>
      <w:r>
        <w:rPr>
          <w:rFonts w:ascii="arial" w:eastAsia="arial" w:hAnsi="arial" w:cs="arial"/>
          <w:i/>
          <w:color w:val="000000"/>
          <w:sz w:val="20"/>
          <w:lang w:val="en-US" w:eastAsia="en-US" w:bidi="ar-SA"/>
        </w:rPr>
        <w:t>Kailey</w:t>
      </w:r>
      <w:r>
        <w:rPr>
          <w:rFonts w:ascii="arial" w:eastAsia="arial" w:hAnsi="arial" w:cs="arial"/>
          <w:color w:val="000000"/>
          <w:sz w:val="20"/>
          <w:lang w:val="en-US" w:eastAsia="en-US" w:bidi="ar-SA"/>
        </w:rPr>
        <w:t xml:space="preserve"> that trial length was a "special circumstance" permitting deviation from the maximum costs under Rule 66(29) was consistent with the result in </w:t>
      </w:r>
      <w:r>
        <w:rPr>
          <w:rFonts w:ascii="arial" w:eastAsia="arial" w:hAnsi="arial" w:cs="arial"/>
          <w:i/>
          <w:color w:val="000000"/>
          <w:sz w:val="20"/>
          <w:lang w:val="en-US" w:eastAsia="en-US" w:bidi="ar-SA"/>
        </w:rPr>
        <w:t>Manuel</w:t>
      </w:r>
      <w:r>
        <w:rPr>
          <w:rFonts w:ascii="arial" w:eastAsia="arial" w:hAnsi="arial" w:cs="arial"/>
          <w:color w:val="000000"/>
          <w:sz w:val="20"/>
          <w:lang w:val="en-US" w:eastAsia="en-US" w:bidi="ar-SA"/>
        </w:rPr>
        <w:t xml:space="preserve"> and has been applied in authorities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Majewska v. Partyka and Obelikpyha</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2009 BCSC 175</w:t>
        </w:r>
      </w:hyperlink>
      <w:r>
        <w:rPr>
          <w:rFonts w:ascii="arial" w:eastAsia="arial" w:hAnsi="arial" w:cs="arial"/>
          <w:color w:val="000000"/>
          <w:sz w:val="20"/>
          <w:lang w:val="en-US" w:eastAsia="en-US" w:bidi="ar-SA"/>
        </w:rPr>
        <w:t>, special circumstances were found in the complexity of issues, including pre-existing injuries, sufficient to warrant awarding costs on Scale B in a Rule 66 trial that took somewhat more than three days to complete. Leave to appeal has been granted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Length of trial was accepted as a "special circumstance", where the trial under Rule 66 lasted some four days, in </w:t>
      </w:r>
      <w:r>
        <w:rPr>
          <w:rFonts w:ascii="arial" w:eastAsia="arial" w:hAnsi="arial" w:cs="arial"/>
          <w:i/>
          <w:color w:val="000000"/>
          <w:sz w:val="20"/>
          <w:lang w:val="en-US" w:eastAsia="en-US" w:bidi="ar-SA"/>
        </w:rPr>
        <w:t>Schnare v. Roberts,</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2009 BCSC 656</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73 C.P.C. (6th) 173</w:t>
        </w:r>
      </w:hyperlink>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Kailey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Mariano v. Campbell</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2009 BCSC 1456</w:t>
        </w:r>
      </w:hyperlink>
      <w:r>
        <w:rPr>
          <w:rFonts w:ascii="arial" w:eastAsia="arial" w:hAnsi="arial" w:cs="arial"/>
          <w:color w:val="000000"/>
          <w:sz w:val="20"/>
          <w:lang w:val="en-US" w:eastAsia="en-US" w:bidi="ar-SA"/>
        </w:rPr>
        <w:t>, the defendant had tried unsuccessfully on three different occasions to have a case taken out of Rule 66 so that a jury notice might be delivered. The trial took four days, and at para. 19 the trial judge observed that it could have been shortened: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remained a Rule 66 trial. The trial could have been completed within two days or approximately two days had both counsel used their best efforts. I see no reason why Ms. Mariano should be deprived of her costs as a successful litigant. I find that the length of trial is a special circumstance for departing from the fixed costs of $6,600 and award her an additional $1,600 for each day of trial for a total of $9,800, exclusive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Henri v. Seo</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2009 BCSC 845</w:t>
        </w:r>
      </w:hyperlink>
      <w:r>
        <w:rPr>
          <w:rFonts w:ascii="arial" w:eastAsia="arial" w:hAnsi="arial" w:cs="arial"/>
          <w:color w:val="000000"/>
          <w:sz w:val="20"/>
          <w:lang w:val="en-US" w:eastAsia="en-US" w:bidi="ar-SA"/>
        </w:rPr>
        <w:t xml:space="preserve">, the evidence concluded in two days, but written submissions were required, which were not considered a "special circumstance" warranting costs beyond the cap under Rule 66. The trial judge there had little by way of authority cited to her, and referred to this passage in McLachlin &amp; Taylor's </w:t>
      </w:r>
      <w:r>
        <w:rPr>
          <w:rFonts w:ascii="arial" w:eastAsia="arial" w:hAnsi="arial" w:cs="arial"/>
          <w:i/>
          <w:color w:val="000000"/>
          <w:sz w:val="20"/>
          <w:lang w:val="en-US" w:eastAsia="en-US" w:bidi="ar-SA"/>
        </w:rPr>
        <w:t>British Columbia Practice</w:t>
      </w:r>
      <w:r>
        <w:rPr>
          <w:rFonts w:ascii="arial" w:eastAsia="arial" w:hAnsi="arial" w:cs="arial"/>
          <w:color w:val="000000"/>
          <w:sz w:val="20"/>
          <w:lang w:val="en-US" w:eastAsia="en-US" w:bidi="ar-SA"/>
        </w:rPr>
        <w:t>, 3rd ed. at p. 66-11: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66(29) ensures that the successful party will not receive any costs for the third or subsequent day of the trial, consistent with the object, stated in R. 66(1), to limit the Fast Track procedure to trials which can be completed in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authors' reference back to Rule 66(1) has much to commend it, but this passage seems not to have been brought to the court's attention in some of the decisions already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have been cases where trial length over two days was either not considered a special circumstance or, if it were, discretion to award costs beyond the cap was not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Bove v. Lauritzen</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2009 BCSC 1698</w:t>
        </w:r>
      </w:hyperlink>
      <w:r>
        <w:rPr>
          <w:rFonts w:ascii="arial" w:eastAsia="arial" w:hAnsi="arial" w:cs="arial"/>
          <w:color w:val="000000"/>
          <w:sz w:val="20"/>
          <w:lang w:val="en-US" w:eastAsia="en-US" w:bidi="ar-SA"/>
        </w:rPr>
        <w:t>, was a situation where the plaintiff moved at trial to take the case out of Rule 66, and the trial took a little longer than two days. The trial judge awarded the cap amount under Rule 66, observing that the trial could have been completed within the two days but for arguments over admissibility of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note as well that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the court said this about </w:t>
      </w:r>
      <w:r>
        <w:rPr>
          <w:rFonts w:ascii="arial" w:eastAsia="arial" w:hAnsi="arial" w:cs="arial"/>
          <w:i/>
          <w:color w:val="000000"/>
          <w:sz w:val="20"/>
          <w:lang w:val="en-US" w:eastAsia="en-US" w:bidi="ar-SA"/>
        </w:rPr>
        <w:t>Duong</w:t>
      </w:r>
      <w:r>
        <w:rPr>
          <w:rFonts w:ascii="arial" w:eastAsia="arial" w:hAnsi="arial" w:cs="arial"/>
          <w:color w:val="000000"/>
          <w:sz w:val="20"/>
          <w:lang w:val="en-US" w:eastAsia="en-US" w:bidi="ar-SA"/>
        </w:rPr>
        <w:t xml:space="preserve">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agree with Macaulay J. that the intent of the Rule was to avoid the necessity of a taxation and that it would frustrate that intent to order a taxation of costs under the Rule. For that reason, his approach to double costs makes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Several decisions cited by the parties were not particularly helpful, as the costs orders appear to have been made without the trial judge having had the benefit of argument or authorities. These include: </w:t>
      </w:r>
      <w:r>
        <w:rPr>
          <w:rFonts w:ascii="arial" w:eastAsia="arial" w:hAnsi="arial" w:cs="arial"/>
          <w:i/>
          <w:color w:val="000000"/>
          <w:sz w:val="20"/>
          <w:lang w:val="en-US" w:eastAsia="en-US" w:bidi="ar-SA"/>
        </w:rPr>
        <w:t>Holland v. Mrus,</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2007 BCSC 222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Laroche v. MacPhail,</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2007 BCSC 1451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Lopez v. VW Credit Canada Inc.</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2008 BCSC 320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Basi v. Buttar</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2010 BCSC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relevant to keep in mind the purposes of the costs rules generally. Those purposes have been described as:</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deter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or deter the conduct of litigants: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litigants to settle whenever possible so as to free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achieve some winnowing in the litigation process by requiring litigants to assess the merits of their cases, and by discouraging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From these decisions I take it that a successful party may not be limited to costs capped as if the trial took two days if it in fact took longer, but that what to do about costs should balance the obligations of all counsel to accurately assess trial length, and to take appropriate steps as soon as it becomes apparent that a trial will not complete in two days. It seems that failure to take the appropriate steps might be taken as having lulled the ultimately unsuccessful party into a false sense of security that the limited exposure to costs under Rule 66 might reasonably convey.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Rule 66 is like other rules in that it is open to manipulation and abuse. In my view, litigants ought to be discouraged from either or both in cases where it ought to be apparent at the outset, or it becomes apparent, that a trial cannot complete in two days. There will always be cases where, in spite of the best efforts of all counsel, they cannot "shoehorn" - to borrow the word used by Dorgan J. in </w:t>
      </w:r>
      <w:r>
        <w:rPr>
          <w:rFonts w:ascii="arial" w:eastAsia="arial" w:hAnsi="arial" w:cs="arial"/>
          <w:i/>
          <w:color w:val="000000"/>
          <w:sz w:val="20"/>
          <w:lang w:val="en-US" w:eastAsia="en-US" w:bidi="ar-SA"/>
        </w:rPr>
        <w:t>Smith v. Van Bregt</w:t>
      </w:r>
      <w:r>
        <w:rPr>
          <w:rFonts w:ascii="arial" w:eastAsia="arial" w:hAnsi="arial" w:cs="arial"/>
          <w:color w:val="000000"/>
          <w:sz w:val="20"/>
          <w:lang w:val="en-US" w:eastAsia="en-US" w:bidi="ar-SA"/>
        </w:rPr>
        <w:t xml:space="preserve"> - a case into the two days. There ought never to be a case such as this, where a Rule 66 trial, conceded to need four days at a pre-trial conference, takes either nine full days or, as this one did, seven full and four half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case at bar points up the difficulties that can result where a process such as that provided in Rule 66, intended to provide relatively quick, economical access to the courts for those cases that can be completed in two days, is viewed by litigants as having advantages other than those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One of those advantages is to permit litigants who are less than punctilious with their estimates of trial length to leapfrog litigants whose trials have been more accurately estimated. Litigants who are candid with their trial length estimates must wait until a suitably long trial window is available in the schedule. Two day matters can get a trial date far earlier than four day matters, and four day matters can get a trial date far earlier than 11 day matters. By estimating a two day trial length, and endorsing a case under Rule 66, a litigant can get his or her trial started sooner, and if the trial does not complete in two days, that litigant can hope that having started, his or her foot is in the court room door, and that might get him or her some priority for continuation in the contest for scarce judicial resources. Unfortunately, that often results in trial schedulers having to move other matters in order to accommodate the completion of the under-reserved trial, with corresponding inconvenience and cost to other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Additionally, in certain cases, a party may see a significant tactical advantage in endorsing a case as suitable to be tried under Rule 66 to avoid trial by jury. A party who seizes upon this advantage to avoid what appears to be an unacceptable risk if a case is tried by a jury should be discouraged from conducting a trial under Rule 66 as if the rule had no length limit and then, if successful, seeking more costs than permitted under the Rule 66 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costs cap may be itself an advantage of Rule 66, in that an unsuccessful party's exposure to costs is limited by the cap which is really no more than a stated fee maximum, assuming two days of trial, intended to avoid the further expense of taxation of costs. Although the authorities canvassed above have shown that if special circumstances are found in a case, the cap can be supplanted, the same authorities also indicate that if a trial lasts two days, or perhaps just slightly more, the cap under Rule 66 should not lightly be disregarded unless special circumstances arise through an offer to settle under Rule 37. See: </w:t>
      </w:r>
      <w:r>
        <w:rPr>
          <w:rFonts w:ascii="arial" w:eastAsia="arial" w:hAnsi="arial" w:cs="arial"/>
          <w:i/>
          <w:color w:val="000000"/>
          <w:sz w:val="20"/>
          <w:lang w:val="en-US" w:eastAsia="en-US" w:bidi="ar-SA"/>
        </w:rPr>
        <w:t>Laroche v. McPhail, Lopez v. VW Credit Canada Inc., Henri v. Seo, Bove v. Lauritzen.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this case, the exchange among counsel and the Master at the pre-trial conference shows that none of the parties were willing to give up the apparent security of the Rule 66 costs cap until, in the plaintiff's case at least, he knew the outcome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should not be necessary to say that counsel have a responsibility to accurately estimate the length of portions of a trial under their control, including which witnesses each needs to call, and the length of examination in chief. Each has a responsibility to predict as accurately as possible the length of cross-examination their witnesses might attract. Counsel intending to cross-examine have an equal responsibility to correct what he or she notices is an inaccurate prediction of the length of their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Aspects of the trial leading to the gross disparity between the four-day estimate and the actual trial length included the plaintiff's election to rely on the opinion of Dr. Vincent - considered "redundant" at the pre-trial conference - and counsel's decision to spend 40 minutes examining him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Plaintiff's counsel spent about an hour examining the plaintiff's chiropractor in chief before turning him over for cross-examination that lasted somewhere between one and one-half and two days, spread over four different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Some time was spent on proving the liability of the defendant Janis Lynn Thomas. The plaintiff literally did not see what hit him, so he was not of much assistance. Plaintiff's counsel apparently did not consider the discovery of each defendant to be sufficient to make the plaintiff's liability case, so she called a police officer who attended after the accident, as well as a supervising ICBC adjuster to bring file notes that included Ms. Thomas's report to ICBC after the accident. This led to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to inquire into the admissibility of portions of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had been convicted of attempted murder arising out of his operation of a motor vehicle. Counsel for the defendants wanted to use portions of the Court of Appeal file relating to the plaintiff's appeal from his conviction at trial, which resulted in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It is difficult to see how the existence of that material, or the trial time it would inevitably consume, would not have been known to counsel, at least to counsel for the defendants, at the time of the pre-trial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not my intention at this point to parse the trial in an effort to allocate responsibility for its excessive length, although I should note here that the defendants called no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bears sufficient responsibility for the trial running too long that it is fair and just that his recovery in costs be kept to the Rule 66 maximum, plus $1,600 per day for three further days. In making that award, I bear in mind that the defendants concurred in this trial remaining under Rule 66 in spite of the fact that the estimated length burgeoned to four days at the pre-trial conference, and I have added one further day to take into account what I considered to be time that was not used wisely in the cross-examination of Dr. Parenteau.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To keep the plaintiff to this level of fees recognizes that he could have avoided some of the trial length if he had used the pre-trial procedures more effectively on the issue of liability. As Hall J.A. said in </w:t>
      </w:r>
      <w:r>
        <w:rPr>
          <w:rFonts w:ascii="arial" w:eastAsia="arial" w:hAnsi="arial" w:cs="arial"/>
          <w:i/>
          <w:color w:val="000000"/>
          <w:sz w:val="20"/>
          <w:lang w:val="en-US" w:eastAsia="en-US" w:bidi="ar-SA"/>
        </w:rPr>
        <w:t>Catalyst Paper</w:t>
      </w:r>
      <w:r>
        <w:rPr>
          <w:rFonts w:ascii="arial" w:eastAsia="arial" w:hAnsi="arial" w:cs="arial"/>
          <w:color w:val="000000"/>
          <w:sz w:val="20"/>
          <w:lang w:val="en-US" w:eastAsia="en-US" w:bidi="ar-SA"/>
        </w:rPr>
        <w:t xml:space="preserve"> at para. 18: "The discovery process should have also placed this into sharper relief." In this case, closer examination of the list of documents of the Thomas defendants should have alerted plaintiff's counsel to the fact that the contents of the adjuster's file were not described with any particularity, and put her on her inquiry. If the inquiry were not triggered by the list of documents, it should have been triggered by the answers given by the defendant Ms. Thomas at her discovery. In this way, this case is distinguishable from </w:t>
      </w:r>
      <w:r>
        <w:rPr>
          <w:rFonts w:ascii="arial" w:eastAsia="arial" w:hAnsi="arial" w:cs="arial"/>
          <w:i/>
          <w:color w:val="000000"/>
          <w:sz w:val="20"/>
          <w:lang w:val="en-US" w:eastAsia="en-US" w:bidi="ar-SA"/>
        </w:rPr>
        <w:t>Forsyth v. Pender Harbour Golf Club Society,</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2006 BCSC 1108</w:t>
        </w:r>
      </w:hyperlink>
      <w:r>
        <w:rPr>
          <w:rFonts w:ascii="arial" w:eastAsia="arial" w:hAnsi="arial" w:cs="arial"/>
          <w:color w:val="000000"/>
          <w:sz w:val="20"/>
          <w:lang w:val="en-US" w:eastAsia="en-US" w:bidi="ar-SA"/>
        </w:rPr>
        <w:t>, where a defendant which succeeded at trial was deprived of costs because it had failed to produce clearly relevant documents until just before trial, in spite of requests made by opposing counsel well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Further, the plaintiff refused to attend a discovery scheduled by counsel for the defendant Horth to take place January 21, 2009, taking the position that such was an abuse of process. I infer that cross-examination of the plaintiff by counsel for the defendant Horth was made longer because defence counsel was deprived of his ability to focus his cross-examination through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well, a more focused examination for discovery of each of the defendants by plaintiff's counsel, or use of a notice to admit, might have made it more difficult for the Thomas defendants to maintain their denial of liability through trial, or might have allowed counsel to avoid calling a police officer or Mr. Burrows of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 plaintiff be deprived of costs of some issues, or some disbursements, and should the Thomas defendants recover costs of some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Thomas defendants point to the range of damages the plaintiff sought in final argument - between $255,000 and $355,000, and the damages awarded of $42,196.69, and say the plaintiff has not substantially succeeded at trial. These defendants rely on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2009 BCSC 1529</w:t>
        </w:r>
      </w:hyperlink>
      <w:r>
        <w:rPr>
          <w:rFonts w:ascii="arial" w:eastAsia="arial" w:hAnsi="arial" w:cs="arial"/>
          <w:color w:val="000000"/>
          <w:sz w:val="20"/>
          <w:lang w:val="en-US" w:eastAsia="en-US" w:bidi="ar-SA"/>
        </w:rPr>
        <w:t xml:space="preserve">, where the court said: "it is well-settled that substantial success is determined by measuring the trial outcome with the parties' position at trial." I note that in </w:t>
      </w:r>
      <w:r>
        <w:rPr>
          <w:rFonts w:ascii="arial" w:eastAsia="arial" w:hAnsi="arial" w:cs="arial"/>
          <w:i/>
          <w:color w:val="000000"/>
          <w:sz w:val="20"/>
          <w:lang w:val="en-US" w:eastAsia="en-US" w:bidi="ar-SA"/>
        </w:rPr>
        <w:t>Chohan v. Lawrence</w:t>
      </w:r>
      <w:r>
        <w:rPr>
          <w:rFonts w:ascii="arial" w:eastAsia="arial" w:hAnsi="arial" w:cs="arial"/>
          <w:color w:val="000000"/>
          <w:sz w:val="20"/>
          <w:lang w:val="en-US" w:eastAsia="en-US" w:bidi="ar-SA"/>
        </w:rPr>
        <w:t>, 28 January 2009, New Westminster M91719 (S.C.), the court says at para. 13: "It is my understanding of the law that apart from the effect of any offers to settle, the plaintiff should not be denied costs as a result of the court awarding a lesser sum of damages than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Rooney v. Chan</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(1992), 76 B.C.L.R. (2d) 186</w:t>
        </w:r>
      </w:hyperlink>
      <w:r>
        <w:rPr>
          <w:rFonts w:ascii="arial" w:eastAsia="arial" w:hAnsi="arial" w:cs="arial"/>
          <w:color w:val="000000"/>
          <w:sz w:val="20"/>
          <w:lang w:val="en-US" w:eastAsia="en-US" w:bidi="ar-SA"/>
        </w:rPr>
        <w:t xml:space="preserve">, cited by the Thomas defendants, was decided in circumstances similar to those in this case. In </w:t>
      </w:r>
      <w:r>
        <w:rPr>
          <w:rFonts w:ascii="arial" w:eastAsia="arial" w:hAnsi="arial" w:cs="arial"/>
          <w:i/>
          <w:color w:val="000000"/>
          <w:sz w:val="20"/>
          <w:lang w:val="en-US" w:eastAsia="en-US" w:bidi="ar-SA"/>
        </w:rPr>
        <w:t>Rooney</w:t>
      </w:r>
      <w:r>
        <w:rPr>
          <w:rFonts w:ascii="arial" w:eastAsia="arial" w:hAnsi="arial" w:cs="arial"/>
          <w:color w:val="000000"/>
          <w:sz w:val="20"/>
          <w:lang w:val="en-US" w:eastAsia="en-US" w:bidi="ar-SA"/>
        </w:rPr>
        <w:t>, the plaintiff had led evidence and argued for damages between $382,000 and $465,000. He recovered some $69,150.11 in damages, only $232.97 more than the defendants' final pre-trial settlement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comparative lack of success there was held to be a factor to be considered in the costs award, but not determinative of the issue. The court said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has the discretion to depart from the normal rule that costs follow the event. This discretion will often be exercised against the plaintiff where the plaintiff has exaggerated the extent of his injuries and his or her credibility has been questioned. However, irrespective of a finding of credibility against the plaintiff, the "degree of success" test may still be applicable. Its application may depend upon (a) the extent to which the claims advanced and the offers to settle on the plaintiff's behalf exceed the eventual award; (b) whether the amounts paid into Court approach the eventual award: (c) whether a discernible issue or head of damages has been decided against the plaintiff; (d) whether it was reasonable to raise the particular issue; and (e) where the predominant issue at trial is the quantification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claims advanced here for past loss of earnings and lost future earning capacity far exceeded the amounts awarded, for the reasons set out in paras. 64 to 73 of the reasons for judgment in </w:t>
      </w:r>
      <w:r>
        <w:rPr>
          <w:rFonts w:ascii="arial" w:eastAsia="arial" w:hAnsi="arial" w:cs="arial"/>
          <w:i/>
          <w:color w:val="000000"/>
          <w:sz w:val="20"/>
          <w:lang w:val="en-US" w:eastAsia="en-US" w:bidi="ar-SA"/>
        </w:rPr>
        <w:t>King v. Horth,</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2009 BCSC 1114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Thomas defendants offered $30,000 plus costs and disbursements before trial. Comparatively speaking, the plaintiff recovered damages that were closer to one-half than one-third more than the amount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only discernible issue on which the plaintiff did not succeed at all was his claim for cost of future care, and the amount claimed was relatively modest, at $17,600. As well, little time was spent on this head of damage at trial, beyond that which would have been spent in any event proving the special damages that were awarded the plaintiff, and upon which the future care claim was based. It was reasonable in my view for the plaintiff to raise this issue, notwithstanding his lack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most of the time at trial was taken up with damages, the liability problem faced by the plaintiff was significant, and remained so until the end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it would be unjust to deprive the plaintiff of any more fees than I have already taken away in my ruling on the Rule 66 costs issue, or to award costs of some issues to the Thomas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to disbursements, the Thomas defendants argue that I should disallow disbursements for Dr. Coburn's report and attendance, two of Dr. Parenteau's reports that were not produced in evidence, Dr. Vincent's report and attendance (referring to counsel's characterization of this evidence as "redundant" at the pre-trial conference), and the costs relating to the economist's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Registrars are skilled at assessing disbursements after a trial, and rarely need judges to tell them how to do their work. I see nothing in the submissions on this point that would cause me to consider telling a Registrar of this Court how to do his or her work, and decline to involve myself in questions of disbursements, unless such questions are referred back to me by a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Who should pay costs to the defendant Horth?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threshold question here is, "... was it a reasonable thing for the plaintiff in his action against a man who ultimately turns out to be in fact the wrong-doer to join the other defendant in order that the matter might be thoroughly threshed out?" See </w:t>
      </w:r>
      <w:r>
        <w:rPr>
          <w:rFonts w:ascii="arial" w:eastAsia="arial" w:hAnsi="arial" w:cs="arial"/>
          <w:i/>
          <w:color w:val="000000"/>
          <w:sz w:val="20"/>
          <w:lang w:val="en-US" w:eastAsia="en-US" w:bidi="ar-SA"/>
        </w:rPr>
        <w:t>Besterman v. British Motor Cab Company Ltd.,</w:t>
      </w:r>
      <w:r>
        <w:rPr>
          <w:rFonts w:ascii="arial" w:eastAsia="arial" w:hAnsi="arial" w:cs="arial"/>
          <w:color w:val="000000"/>
          <w:sz w:val="20"/>
          <w:lang w:val="en-US" w:eastAsia="en-US" w:bidi="ar-SA"/>
        </w:rPr>
        <w:t xml:space="preserve"> [1914] 3 K.B. 181 (C.A.), adopted in </w:t>
      </w:r>
      <w:r>
        <w:rPr>
          <w:rFonts w:ascii="arial" w:eastAsia="arial" w:hAnsi="arial" w:cs="arial"/>
          <w:i/>
          <w:color w:val="000000"/>
          <w:sz w:val="20"/>
          <w:lang w:val="en-US" w:eastAsia="en-US" w:bidi="ar-SA"/>
        </w:rPr>
        <w:t>Robertson v. North Island College</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(1980), 119 D.L.R. (3d) 17</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26 B.C.L.R. 225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Here, the plaintiff points to the pleading of the defendant Horth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collision, and to his injuries and losses, and says that pleading squarely raises the risk of partial recovery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as applied in </w:t>
      </w:r>
      <w:r>
        <w:rPr>
          <w:rFonts w:ascii="arial" w:eastAsia="arial" w:hAnsi="arial" w:cs="arial"/>
          <w:i/>
          <w:color w:val="000000"/>
          <w:sz w:val="20"/>
          <w:lang w:val="en-US" w:eastAsia="en-US" w:bidi="ar-SA"/>
        </w:rPr>
        <w:t>Leischner v. West Kootenay Power and Light Company Limited</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(1986), 24 D.L.R. (4th) 641</w:t>
        </w:r>
      </w:hyperlink>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70 B.C.L.R.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Thomas defendants say they pleaded a bare denial of liability, without pleading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if the claims against Horth had been discontinued, there would have remained no pleading on which liability could have been found against someone other than either the plaintiff or the Thomas defendants, and therefore there would have been no risk of partial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agree with counsel for the Thomas defendants. In </w:t>
      </w:r>
      <w:r>
        <w:rPr>
          <w:rFonts w:ascii="arial" w:eastAsia="arial" w:hAnsi="arial" w:cs="arial"/>
          <w:i/>
          <w:color w:val="000000"/>
          <w:sz w:val="20"/>
          <w:lang w:val="en-US" w:eastAsia="en-US" w:bidi="ar-SA"/>
        </w:rPr>
        <w:t>Wells v. McBrine</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(1989), 54 D.L.R. (4th) 708</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33 B.C.L.R. (2d) 86</w:t>
        </w:r>
      </w:hyperlink>
      <w:r>
        <w:rPr>
          <w:rFonts w:ascii="arial" w:eastAsia="arial" w:hAnsi="arial" w:cs="arial"/>
          <w:color w:val="000000"/>
          <w:sz w:val="20"/>
          <w:lang w:val="en-US" w:eastAsia="en-US" w:bidi="ar-SA"/>
        </w:rPr>
        <w:t xml:space="preserve"> (C.A.), the Court of Appeal makes it clear that, although a non-party to an action may be found partially at fault, and thus deprive a partially negligent plaintiff of a portion of his or her recovery, that can only occur if the issue of the non-party's potential fault is raised by the pleadings, so that the plaintiff is not caught by surprise, and the fault of the non-party can be canvassed in evidence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need not plumb the depths of the complexities that can arise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in this case, because I consider the answer to this point to lie in the circumstances. The plaintiff did not know what hit him. The only witnesses to the accident who did know how he came to be hit were the defendants Horth and Ms. Thomas, and neither of them were prepared to admit the facts required to give comfort to the plaintiff that liability could be established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those circumstances, it was reasonable for the plaintiff to join the defendant Horth in the action, and, in face of the continued refusal by the Thomas defendants to admit the facts necessary to assure the plaintiff that his case against them was solid, it was reasonable to continue the claims against the defendant Horth.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to whether the defendant Horth's costs should be paid by the Thomas defendants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or the plaintiff who can then claim those costs from the Thomas defendants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I have been referred to </w:t>
      </w:r>
      <w:r>
        <w:rPr>
          <w:rFonts w:ascii="arial" w:eastAsia="arial" w:hAnsi="arial" w:cs="arial"/>
          <w:i/>
          <w:color w:val="000000"/>
          <w:sz w:val="20"/>
          <w:lang w:val="en-US" w:eastAsia="en-US" w:bidi="ar-SA"/>
        </w:rPr>
        <w:t>Towson v. Bergman,</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2009 BCSC 978</w:t>
        </w:r>
      </w:hyperlink>
      <w:r>
        <w:rPr>
          <w:rFonts w:ascii="arial" w:eastAsia="arial" w:hAnsi="arial" w:cs="arial"/>
          <w:color w:val="000000"/>
          <w:sz w:val="20"/>
          <w:lang w:val="en-US" w:eastAsia="en-US" w:bidi="ar-SA"/>
        </w:rPr>
        <w:t>, where, at para. 85, Gray J.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for an order to be made which entitles the plaintiff to recover only some of the costs for which the plaintiff is liable to the successful defendant. For instance, the plaintiff may recover costs up to the point where he or she ought to have recognized that the case against the successful defendant could not succeed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 (Guardian ad litem of) v. Richmond Hospital Society (c.o.b. Richmond Hospital),</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2002 BCSC 862</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3 B.C.L.R. (4th) 91</w:t>
        </w:r>
      </w:hyperlink>
      <w:r>
        <w:rPr>
          <w:rFonts w:ascii="arial" w:eastAsia="arial" w:hAnsi="arial" w:cs="arial"/>
          <w:color w:val="000000"/>
          <w:sz w:val="20"/>
          <w:lang w:val="en-US" w:eastAsia="en-US" w:bidi="ar-SA"/>
        </w:rPr>
        <w:t>, Wong J. says at para.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further consideration for the Court when exercising its discretion is whether it was appropriate for a plaintiff to maintain his or her action against the successful defendant, where it becomes apparent during the course of litigation that the claims against that party have no reasonable prospect of success. An unsuccessful defendant ought not to bear the costs of a successful defendant where it was clear that the action against the latter had no reasonable prospect of success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Here, I find that it did not become apparent that the claims against the defendant Horth had no reasonable prospect of success, or that the plaintiff ought not reasonably to have recognized that, until during the trial. The Thomas defendants failed to properly describe the documents over which they were claiming privilege. A proper description might have alerted plaintiff's counsel that there was an admission worth pursuing, by way of application to compel production. Plaintiff's counsel took no objection before trial to the lack of proper description of documents over which privilege was asserted. Instead, Mr. Burrows was subpoenaed to trial, with the ICBC file, and it was only then that reasonably prudent counsel should have known the risk of discontinuing against the defendant Horth was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circumstances of this case, I order that the costs of the defendant Horth be paid by the Thomas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What costs should the defendant Horth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Horth, by her silence, acquiesced in the wholly inaccurate trial length estimate at the pre-trial conference, and did not apply to remove this trial from Rule 66 when it ought to have been obvious that even the expanded four day length was wholly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Horth shall have her costs based on a four day trial under Rule 66, that is $6,600 for the first two days, plus $1,600 for each of the next two days, plus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Should the plaintiff be denied all costs, or costs after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Counsel for the defendant Horth argued that his client ought not to have been sued in the first place, and that the plaintiff should have discontinued his claims against the defendant Horth long before final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written argument puts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Horth submits she is entitled to her costs throughout. However, in recovering those costs, the Plaintiff should not be rewarded for conduct that inappropriately lengthened the trial and required Ms. Horth to participate to the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One main complaint advanced by the defendant Horth is that the plaintiff was unwilling to discontinue against her unless the Thomas defendants admitted liability, a tactic the defendant Horth labels as "improper". Another argument advanced by the defendant Horth relates to the length of trial, and lack of effort on the part of plaintiff's counsel to trim the plaintiff's case to fit within the estimated trial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Horth has two legitimate concerns at the costs stage: the first is her entitlement to costs, which is not challenged by the plaintiff; the second is whether her costs should be based on Rule 57 or on Rule 66. Any other argument raised by Horth simply reinforces the plaintiff's complaint that the defendants are acting in concert when it suits them, and claiming to be separate when it suits them, all on the instructions of a common insurer/instructing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This complaint derives some force from the nature of the arguments made by the defendant Horth on this costs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the reasons I have given on the question of who should bear initial responsibility for Horth's costs, I do not accede to the first submission. In my view it was reasonable to have joined the defendant Horth. As to the rest of the submissions on this point, they appear to me to be intended more to assist the arguments of the Thomas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Is the defendant Horth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Horth has argued that she should be entitled to special costs because the plaintiff maintained his claims against her long after he should have known they would fail, and because the plaintiff disregarded Rule 66 trial length provisions, his obligation to disclose documents before trial, his counsel's failure to disclose correspondence with Dr. Parenteau, and the plaintiff's refusal to appear at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This submission has no merit. I have dealt with the trial length, and pointed to the shared responsibility for that. There is no reprehensible conduct warranting special costs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to the document issue, there is nothing here that would justify special costs. This issue, as well as the discovery controversy, while they may have provided good grounds for a pre-trial application to force the issue, are not the kind of conduct out of which special costs are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Lewis v. Fraser-Fort George (Regional District), [2017] B.C.J. No. 535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M.H. Church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 and 3, September 19-23,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S0934704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449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735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277 A.C.W.S. (3d) 409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65 M.P.L.R. (5th) 278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Katherine Joann Lewis, John Inman Orlowsky, Sarah Betty Urquhart, Rick Kenneth Urquhart and John Berkeley Ball, Plaintiffs, and Regional District of Fraser-Fort George,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1" w:name="Keywords_27"/>
      <w:bookmarkEnd w:id="191"/>
      <w:r>
        <w:rPr>
          <w:rFonts w:ascii="arial" w:eastAsia="arial" w:hAnsi="arial" w:cs="arial"/>
          <w:b/>
          <w:color w:val="000000"/>
          <w:sz w:val="20"/>
          <w:lang w:val="en-US" w:eastAsia="en-US" w:bidi="ar-SA"/>
        </w:rPr>
        <w:t>Civil litigation — Limitation of actions — Time — When time begins to run — Expiry of limitation periods — Effect of — Application by Regional District to dismiss claim allowed — In 1998, Ministry had engineers assess potential for erosion — Engineers' report was provided to plaintiffs — In 2007, erosion event impacted properties — Claim was barred by Limitations Act — Information contained in report was such that plaintiffs would have had reason to make inquiries of Regional District and could have discovered resolution — Plaintiffs knew that homes would be undermined, if they were not moved, because erosion event could recur — Limitation Act, s. 6(4).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and against — Actions against municipality — Bringing action — Limitation period — Application by Regional District to dismiss claim allowed — In 1998, Ministry had engineers assess potential for erosion — Engineers' report was provided to plaintiffs — In 2007, erosion event impacted properties — Claim was barred by Limitations Act — Information contained in report was such that plaintiffs would have had reason to make inquiries of Regional District and could have discovered resolution — Plaintiffs knew that homes would be undermined, if they were not moved, because erosion event could recur — Limitation Act, s. 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2" w:name="Case Summary_27"/>
            <w:bookmarkEnd w:id="1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Regional District of Fraser Fort-George to dismiss the claim. In 1977, the Regional District passed a resolution that building permits be withheld from the area of development where the plaintiffs' homes were eventually located unless the applicant provided a letter indicating that he was "informed of the hazards of erosion at that location and accepts responsibility for any result in damages". Between 1989 and 1992, the Regional District issued permits with respect to the homes without obtaining such letters. In 1997, a significant erosion event significantly impacted the plaintiffs' properties. In 1998, the Ministry of Environment, Lands and Parks had engineers assess the potential for future erosion. The engineers' report, which was provided to the plaintiffs, described the erosion event as "not unprecedented" and "not statistically unusual"; concluded that the sustained high flows of 1997 could recur in any year and that the homes would be undermined within 50 years; and recommended that the homes be moved away from the river bank. In 2007, another significant erosion event significantly impacted the properties. In 2009, the plaintiffs filed a statement of claim seeking damages from the Regional District on the grounds that it was negligent in failing to warn them of the risk of erosion and issuing the permits without the warning. The Regional District argued that the claim was barred by the Limitations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3" w:name="Holdings of Court_20"/>
            <w:bookmarkEnd w:id="19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was barred by the Limitations Act. The Regional District breached its duty of care to the plaintiffs when it issued the permits. The existence of the duty was not then a fact within the plaintiffs' means of knowledge. The plaintiffs were not advised that there was erosion or a risk of it. However, the situation changed when the plaintiffs received and considered the engineers' report. The information contained in the report was such that the plaintiffs would have had reason to make inquiries of the Regional District and could have discovered the existence of the resolution. The plaintiffs knew that the homes would be undermined within 50 years, if they were not moved, because a significant erosion event could recur in any year.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4" w:name="Legislation Cited_23"/>
      <w:bookmarkEnd w:id="1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3(5), s. 6, s. 6(4), s. 6(4)(b), s. 6(5)(a), s. 6(5)(b),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Local Government Act, </w:t>
      </w:r>
      <w:hyperlink r:id="rId629" w:history="1">
        <w:r>
          <w:rPr>
            <w:rFonts w:ascii="arial" w:eastAsia="arial" w:hAnsi="arial" w:cs="arial"/>
            <w:i/>
            <w:color w:val="0077CC"/>
            <w:sz w:val="20"/>
            <w:u w:val="single"/>
            <w:shd w:val="clear" w:color="auto" w:fill="FFFFFF"/>
            <w:lang w:val="en-US" w:eastAsia="en-US" w:bidi="ar-SA"/>
          </w:rPr>
          <w:t>R.S.B.C. 2015, c. 1, s. 286</w:t>
        </w:r>
      </w:hyperlink>
      <w:r>
        <w:rPr>
          <w:rFonts w:ascii="arial" w:eastAsia="arial" w:hAnsi="arial" w:cs="arial"/>
          <w:color w:val="000000"/>
          <w:sz w:val="20"/>
          <w:lang w:val="en-US" w:eastAsia="en-US" w:bidi="ar-SA"/>
        </w:rPr>
        <w:t>, s. 286(3)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(2), Rule 9-7(15), Rule 11-6(1), Rule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Zoning Bylaw No. 835, s. 49, s. 49.1, Note 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5" w:name="Counsel_27"/>
      <w:bookmarkEnd w:id="1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T.A.P. Matte.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S.H. Haakonson.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6" w:name="Judgment_28"/>
      <w:bookmarkEnd w:id="196"/>
      <w:r>
        <w:pict>
          <v:line id="_x0000_s1168"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7" w:name="M.H. CHURCH J."/>
            <w:bookmarkEnd w:id="197"/>
            <w:r>
              <w:rPr>
                <w:rFonts w:ascii="arial" w:eastAsia="arial" w:hAnsi="arial" w:cs="arial"/>
                <w:b/>
                <w:color w:val="000000"/>
                <w:sz w:val="30"/>
                <w:lang w:val="en-US" w:eastAsia="en-US" w:bidi="ar-SA"/>
              </w:rPr>
              <w:t>M.H. CHURCH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Katherine Joann Lewis, John Inman Orlowsky, Sarah Betty Urquhart, Rick Kenneth Urquhart and John Berkeley Ball (collectively, the "plaintiffs"), are all homeowners on Island Park Drive, in the Miworth area near Prince George, B.C. Their respective homes are located on three separate lots on the banks of the Nechako River and are within the boundaries of Regional District of Fraser-Fort George (the "defendant") and subject to its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14, 1977, the defendant's Board of Directors met and passed a resolution that building permits be withheld from the area of development where the plaintiffs' homes were eventually located unless the applicant provided a letter indicating that he or she "had been informed of the hazards of erosion at that location and accepts responsibility for any result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Between 1989 and 1992, the defendant issued building permits with respect to the plaintiffs' homes without obtaining such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1997 and in 2007, there were significant erosion events on the Nechako River that significantly impacted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filed a writ of summons and statement of claim on June 2, 2009, seeking damages from the defendant on the grounds that it was negligent in failing to warn the plaintiffs of the risk of erosion on their properties and issuing building permits for construction without that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5, 2014, the plaintiffs filed a notice of application seeking to have their claim heard and determined by way of a summary trial. The summary trial proceeded before me over a total of seven days in August and September,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March 16, 2015, the defendant filed a notice of application seeking dismissal of the plaintiffs' claim, on the grounds that it is statute-barred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2015, c. 1</w:t>
      </w:r>
      <w:r>
        <w:rPr>
          <w:rFonts w:ascii="arial" w:eastAsia="arial" w:hAnsi="arial" w:cs="arial"/>
          <w:color w:val="000000"/>
          <w:sz w:val="20"/>
          <w:lang w:val="en-US" w:eastAsia="en-US" w:bidi="ar-SA"/>
        </w:rPr>
        <w:t>. The defendant's application was heard at the same time as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1976 Erosion Event and Zoning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1975, the defendant issued building permits with respect to Lots 1 and 5, Island Park Drive. The building permit with respect to Lot 5, Island Park Drive was issued to Charles and Judith Freeman (para. 4, affidavit of T. McEachen, sworn December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an erosion event in 1976, Mr. Freeman wrote to the Water Investigation Branch of the Department of Environment of British Columbia ("BC Water Investigation Branch") seeking assistance to prevent further erosion of the high river bank beside his home. The BC Water Investigation Branch conducted an inspection of Mr. Freeman's property on November 3, 1976 and noted in a Memorandum dated December 22, 1976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Freeman house is approximately 30 feet from the top of the bank so no river stabilization works would prevent the eventual loss of this house to the river. It is recommended that the house be moved back at least 200 feet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BC Water Investigation Branch wrote to Mr. Freeman on January 14, 1977 and advised him that it could not provide funding for protection of this property. The letter to Mr. Freeman contained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very high cost which would be incurred to provide a reasonable degree of erosion protection for the subdivided area, and bearing in mind that if such work were to be carried out it would almost certainly encourage further development in this potentially hazardous area, we regret that we are unable to provide funding for protection of this area out of our very limited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January 17, 1977, the BC Water Investigation Branch wrote to the defendant (the "1977 Department of Environment Letter") and provided a copy of its letter to Mr. Freeman, together with a summary of the findings of its investigation. The penultimate paragraph of this letter, which was received by the defendant on January 24, 1977,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matter is being drawn to your attention in the hope that you may be able to prevent further compounding of this undesirable situation, there being a considerable number of undeveloped lots along this erosion prone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"A", affidavit of K. Jensen, sworn December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letter was considered at least two board meetings of the defendant in early 1977 and on April 14, 1977, the Board of Directors of the Defendant passed the following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Moved Director Moffat, seconded Director Taggart that Building Permits be witheld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from lots in D.L. 4204, Plan 18805, unless the applicant provides us with a letter indicating that he has been informed of the hazards of erosion at that location and accepts responsibility for any result in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"1977 Resolution"; Exhibit "B", affidavit of K. Jensen sworn December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Freeman apparently continued his efforts for funding assistance through his local MLA, Howard Lloyd. In a letter to Mr. Lloyd dated May 6, 1977, the Minister of the Environment, James A. Nielsen indicated that his Ministry was not in a position to offer assistance to Mr. Freeman to undertake erosion protection work on his property, as the works would have to be continuous along the bank of the subdivision, would require ongoing maintenance and could lead to a feeling of "false security, followed by development of homes adjacent to the bank which could result in disaster for the families involved. We have advised the Regional District of our concerns about future development along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Freeman eventually obtained permission to install bank armoring or "rip rap" along the riverbank adjacent to his property in the summer of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1986, the defendant adopted Zoning Bylaw No. 835, which amended and added as section 49 a provision to address flood damage and erosion protection. Section 49.1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 other provision of this By-law, a building or structure shall not be located closer than:</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30m (100ft) from the NATURAL BOUNDARY of the following rivers or creeks;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Nechako,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Note 1 of Zoning Bylaw 835 also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these conditions is to reduce the risk of injury, loss of life and property damage due to flooding and erosion. However, the Regional District does not represent to the owner or any other person that any building constructed or mobile home or unit located in accordance with the following conditions will not be damaged by flooding or erosion.</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Lewis/Orlowsky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Katherine Joann Lewis ("Dr. Lewis") and John Inman Orlowsky ("Mr. Orlowsky") live at 3075 Island Park Drive, Prince George, B.C., a property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010-876-016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Lot 2 District Lot 4204 Cariboo District Plan 18805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"Lewis/Orlowsky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Lewis and Mr. Orlowsky purchased this property in July 1991, after walking around the property and viewing it several times, including with a road engineer who was a colleague of Dr. Lewis. Although they were aware of the potential for erosion of the top part of the bank, their concerns were somewhat alleviated by the knowledge that the Nechako River flows were controlled by the Kenny Dam and they believed that a major erosion event was unlikely to occur. No one warned Dr. Lewis or Mr. Orlowsky of any risk or history of erosion of the river bank by the Nechako River (affidavit #1 of K.J. Lewis,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6, 1992, Dr. Lewis applied for and obtained a building permit from the defendant to construct their home on the Lewis/Orlowsky Property. Dr. Lewis was not informed of the hazards of erosion at that location and she was not required to sign a letter accepting responsibility for any damage caused by erosion as a condition of receiving a building permit from the defendant (affidavit #1 of K.J. Lewis,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Lewis and Mr. Orlowsky chose a building site for their home with a set back from the Nechako River in excess of that required by the defendant, to allow for the possibility for future erosion of the top of the steep river bank at the Lewis/Orlowsky Property. Construction of their home was completed, subject to inspection and approval by the defendant, and they were ultimately authorized to occupy their home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May and June 1997, a significant erosion event occurred on the Nechako River and between two and four metres of the Lewis/Orlowsky Property eroded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May 1998, Dr. Lewis and Mr. Orlowsky received a letter from the Ministry of Environment, Lands and Parks which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locations along the bank of the Nechako River near Prince George are actively eroding as a result of high water events in recent years. Your property has been identified by staff from the Ministry of Environment, Lands and Parks as an area where erosion may affect existing or future building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letter went on to advise that the Ministry had engaged the services of GeoNorth Engineering Ltd. to undertake an assessment of the bank conditions and the potential for future erosion (Exhibit "E" - affidavit #1 of K.J.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report of GeoNorth Engineering Ltd. was completed on June 30, 1998 (the "1998 GeoNorth Report") and a copy was provided to Dr. Lewis and Mr. Orlowsky in the summer of 1998 (affidavit #1 of K.J. Lewis,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receipt of the report, Dr. Lewis and Mr. Orlowsky began taking steps to obtain government funding or assistance to move their home from its existing location to a new site further away from the river bank. They were unable to obtain such assistance and the cost of undertaking such a move was prohibitively expensive for them to bear alone (affidavit #1 of K.J. Lewis, para. 19). Instead, they attempted to improve the stability of the riverbank by staking logs across the bank and planting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more significant erosion event occurred in June 2007. As a result of high flows in the Nechako River, the river bank was undermined causing extreme erosion of the Lewis/Orlowsky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time, Dr. Lewis and Mr. Orlowsky were able to obtain Provincial government assistance to move their home to a new location further away from the river bank and they took immediate steps to do so. Their home was moved to its new site in late June 2007 but could not be reoccupied while they waited for construction of a new foundation under the home, which was completed in September 2007. Dr. Lewis and Mr. Orlowsky also began taking steps to install rip rap to stabilize the river bank below the Lewis/Orlowsky Property. Despite various attempts, they were unable to obtain any provincial funding or assistance for the work they undertook in installing rip 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January 2009, Dr. Lewis and Mr. Orlowsky were involved in efforts to obtain funding to install rip rap below an empty lot along the same reach of the Nechako River. Based on information they had learned, they believed that the installation of rip rap at this location was essential to stabilization efforts below their own property. In the course of those efforts, Dr. Lewis recalled that one of the other property owners along Island Park Drive, Charles Freeman, had installed rip rap along the river bank below his property prior to Dr. Lewis and Mr. Orlowsky building their home (affidavit #1 of K.J. Lewis,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result of this recollection, Dr. Lewis approached Mr. Freeman and asked to see his permits with respect to installation of the rip rap. Dr. Lewis received a number of documents from Mr. Freeman, including a copy of the 1977 Resolution and the 1977 Department of Environment Letter and became aware for the first time of the warning of the Department of the Environment to the Defendant regarding future development of the "erosion prone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Also included in the documents of Mr. Freeman was the Memorandum from the Water Investigation Branch dated December 22, 1976 which noted that the Freeman house was approximately 30 feet from the top of the bank and was too close to prevent eventual loss of the house into the river, unless it was moved at least 200 feet from the top of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Lewis deposed that, upon reading these documents provided by Mr. Freeman, she realized for the first time that the defendant knew of the risk of erosion in 1977 and had passed a motion to refuse to issue a building permit for properties in that subdivision without obtaining a release from applicants (affidavit #1 of K.J. Lewis, para. 44(f)).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reading these documents, Dr. Lewis consulted with Mr. Orlowsky and their neighbors, Betty and Rick Urquhart and John Ball and they collectively decided to seek legal advice about a possible claim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Lewis deposed that had she and Mr. Orlowsky been advised of the 1976 erosion event, warned of the risks of future erosion and advised to sign a waiver of future claims arising from erosion as a condition for obtaining the building permit from the defendant, they would not have built their home but rather would have sold the property and built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Dr. Lewis and Mr. Orlowsky claim the following losses suffered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Net cost of moving their home $ 57,513.49</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Rip rap costs $ 59,163.33</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labour (associated with house move and rip rap (168 days at 8 hours per day and $10 per hour) $ 13,440.00</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part of their land $ 25,562.00</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river view &amp; privacy $ 35,000.00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Stigma to property $ 40,000.00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$230,678.82</w:t>
      </w:r>
    </w:p>
    <w:p>
      <w:pPr>
        <w:numPr>
          <w:numId w:val="11"/>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Urquhart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Sarah Betty Urquhart and Rick Kenneth Urquhart (the "Urquharts") live at 3125 Island Park Drive, Prince George, B.C., a property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010-876-016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Lot 3 District Lot 4204 Cariboo District Plan 18805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"Urquhart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Urquharts purchased the Urquhart Property in approximately 1985 and began building their home in June 1990. They had lived in rented accommodation in the Nechako River area and determined that, as the river had never caused any problems at that location, they did not expect it to cause any problems at the Urquhart Property (affidavit #1 of S.B. Urquhart,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Urquharts applied for and obtained a building permit from the defendant and were not advised that there had previously been erosion of the property, that there was a risk of erosion in the future or that they were required to sign a document accepting responsibility for any such risk (affidavit #1 of S.B. Urquhart,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Urquharts moved into their home in December 1990. They did not notice any erosion of their property until the erosion event of 1997. In May and June 1997, approximately 8 metres of river bank on their property eroded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Urquharts received the 1998 GeoNorth Report in 1998 and contacted the defendant in an effort to obtain assistance to move their home, as recommended by the 1997 GeoNorth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Urquhart deposed in her affidavit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Rick and I reviewed the GeoNorth Report and had many discussions with our neighbours, particularly Kathy Lewis, John Orlowsky and John Ball about what we, collectively, could and should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noted that, on reading the 1998 GeoNorth Report, she hoped that the 1997 erosion event would not be repeated because "apparently, there had been a very unusual series of conditions occur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Urquharts felt that they could not afford to move their home away from the river bank without financial assistance from the provincial government and made various efforts to apply for such funding between 1998 and 2007 but those efforts were unsuccessful. They made some attempts to stabilize the river bank by placing small logs at the base of the bank and planting grass and trees and between 1998 and 2007, the river bank portion of the Urquhart Property appeared to be very stable (paras. 17 and 18, affidavit #1 of S.B. Urquhart).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early June 2007, the Urquharts observed high water levels in the Nechako River and a significant portion of the river bank their property eroded away. By late June, they had obtained the necessary permits and began the work of moving their home to a new location that was further away from the river bank. The Urquharts also arranged for the installation of rip rap or armoring along the edge of the Nechako River below the Urquhart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January 2009, Ms. Urquhart learned from Dr. Lewis of the existence of the 1977 Resolution. She deposed that she and her husband would not have built a house on that lot if they had been warned about the risk of erosion and the requirement to waive future claims arising from erosion as a condition for obtaining a building permit (paras. 36 and 39, affidavit #1 of S.B. Urquhart).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Urquharts claim the following losses suffered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Net cost of moving home $ 66,464.51</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Estimated costs of house move (not yet complete) $ 5,664.93</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Rip rap costs $ 61,052.82</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Urquhart's labour $ 3,760.00</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part of land $ 30,000.00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Garage/reduced appearance $ 29,994.00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river view and privacy $ 35,000.00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Stigma to property $ 40,000.00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$271,936.26</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Ball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John Berkeley Ball ("Mr. Ball") lives at 3245 Island Park Drive, Prince George, B.C., a property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010-876-016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Lot 6 District Lot 4204 Cariboo District Plan 18805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"Ball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Unlike the other plaintiffs, Mr. Ball did not build his home but rather, purchased it from Henry Johns and Gwyneth-Ann Johns in 1994. It was Mr. Henry Johns who applied for an obtained a building permit from the defendant in April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Prior to purchasing the Ball property, Mr. Ball inspected the property carefully and confirmed that the home had been "properly set back from the Nechako River and the property boundaries". Mr. Ball also observed that there has been no significant erosion of the Ball Property, at least since the 1970 subdivision (affidavit #1 of J.B. Ball,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a result of the erosion event in 1997, approximately 1 metre of the Ball Property eroded away. Mr. Ball deposed that he had anticipated that very minor erosion could and probably would occur but he did not anticipate an erosion event of the size and type that occurred in 1997 (affidavit #1, J.B. Ball,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Ball received a copy of the 1998 GeoNorth Report and carefully studied that report. He concluded as a result of his study and review, that if he and his neighbours did not protect the riverbank with some kind of armor, his home would likely be undermined by erosion within 50 years (affidavit #1, J.B. Ball,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Between 1997 and 2007, Mr. Ball spent time considering possible options for protection for the river bank, including rip rap and articulating mats. He also attempted to stabilize the river bank by planting vegetation in the hope of impeding future erosion.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Ball's property suffered more significant erosion as a result of the 2007 erosion event. During this time frame, Mr. Ball and his neighbours, including Dr. Lewis and Mr. Orlowsky and Mr. and Ms. Urquhart, would meet and speak with one another. During the 2007 erosion event, Mr. Ball spoke with his neighbour, Ken Juelffs and Mr. Juelffs advised Mr. Ball that he had been required to sign a waiver of claims with respect to erosion when he built his home (affidavit #1 of J.B. Ball,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this event, Mr. Ball retained GeoNorth Engineering Ltd. To advise him how best to protect his property from future erosion events. He received this report in August 2007 and began the process to obtain the necessary government approvals to install rip rap on the edge of the river bank below his property, as recommended by GeoNorth Engineering Ltd. Those approvals were granted in November 2007 and the rip rap was installed between November 2007 and November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discussions with Dr. Lewis in January or February 2009, Mr. Ball advised Dr. Lewis of the information he had learned from Ken Juelffs regarding the requirement that he sign a waiver prior to issuance of a building permit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Ball deposed that if anyone had warned him of the prior erosion event in 1976 or the requirement that a person obtaining a building permit from the defendant had to sign a waiver of liability, he would not have taken the risk of purchasing the property from Mr. and Ms. Johns (p. 33, affidavit #1 of J.B.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Ball claims the following losses suffered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Rip rap costs $111,225.67</w:t>
      </w:r>
    </w:p>
    <w:p>
      <w:pPr>
        <w:numPr>
          <w:numId w:val="2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His labour associated with rip rap (180 hours at $20 per hour $ 3,600.00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part of land $ 10,000.00</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Stigma to property $ 40,000.00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$164,825.67</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1998 GeoNorth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1998 GeoNorth Report (Exhibit "F", affidavit #1 of K.J. Lewis) was commissioned by the Provincial Ministry of Environment, Lands and Parks in response to the 1997 erosion event. The engineers were tasked with conducting an assessment of the risk to individual structures within three selected areas including Island Park Drive, Lots 1-6, Plan 18805, D.L. 4204 (Exhibit "E", affidavit #1 of K.J.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introduction to the report, the authors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Nechako River has been partially regulated since construction of the Kenny Dam by Alcan Smelters and Chemicals Ltd. (Alcan) in the early 1950s. As a result of reduced flow there has been comparatively little bank erosion in the Miworth-Prince George area. During November, 1996 a combination of higher than average flow and sudden cold snap led to an ice jamming in the Lower Nechako River resulting in severe flooding and localized bank erosion in Prince George. Subsequent sustained high flows during May and June, 1997 caused severe bank erosion at Miworth and Prince George, beyond any experienced in recent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Under the heading "Observations and Analyses" the report noted that high river flows during May and June 1997 included 17 days when the flow exceeded 1000 m3/s and a further 72 days when it exceeded 800 m3/s and these flows caused continuous toe erosion and sloughing of the slope at Island Park Drive. The peak flow measured at a gauge at Isle Pierre was 1010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authors of the report noted that there had been occasions prior to 1997 when this level of peak flow had been equalled or exceeded, including in 1976 when the peak flow was measured at 1050 m3/s.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authors conducted an analysis of the historical data and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analyses show that the high flows that occurred during summer, 1997 are not unprecedented, are not statistically unusual and were last exceeded in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report observed that the crest of the bank along Island Park Drive had moved 20 to 25 metres over the period between 1946 and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respect to risk to existing houses, the report noted that several houses were close to the crest of the slope and none were undermined at that time but an erosion event similar to that which occurred in 1996/1997 could make Lots 2, 3 and 5 on Island Park Drive unsafe. The report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can not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predict when erosion equal to that resulting from the 1996/1997 events will recur.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report went on to recommend set back distances from the crest of the slope and suggested that a setback distance from a seasonal high-water mark might not be appropriate because this method did not take into account the horizontal distance made up by the slope. The report went on to say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recommend the following setback distances, assuming that the life expectancy of a house is 50 years, that the period between 1946 and 1996 represents average channel behaviour and applying a factor of safety of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Island Park Drive - 35m;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homes on the Lewis/Orlowsky Property and the Urquhart Property were 13.7 metres and 11.1 metres respectively from the crest of the slope as of November 1997 (Exhibit "I" affidavit #1 of K.J. Lewis). Both homes had been constructed at or exceeding the setback requirements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Page 10 of the report notes, in relation to Island Park Drive: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five of the houses in this reach will be undermined within 50 years at the current erosion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authors also noted that, while they did not expect erosion to be perceptible on an annual basis, "...the sustained high flows of 1997 and instances of severe ice jam related velocities are unpredictable events and could recur in any given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GeoNorth Engineering Ltd. recommended that homeowners at high risk along Island Park Drive relocate their houses, as the cost to do so was less expensive than installing rip 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issues for determination with respect the defendant's notice of application are as follows: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did the plaintiffs' cause of action accrue?</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running of time postponed pursuant to the provisions of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if so, when did time being to run?</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plaintiffs commence this action within the applicable limitation period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plaintiffs' action statute-barred due to their failure to comply with the notice provisions under section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issues for determination with respect to the plaintiffs' notice of application are as follows:</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failing to warn the plaintiffs of the risk of erosion to their properties and issuing building permits without that warning?</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did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cause the plaintiffs' loss?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correct calculation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submit that both notices of application are suitable for summary determination. The defendant submits that, while its notice of application with respect to dismissal of the plaintiffs' claims on the limitation issue is suitable for summary trial, the plaintiffs' notice of application is not suitable. The defendant submits that there are too many gaps or conflicts in the evidence on key issues for this court to achieve a just and fair result. The defendant refers specifically to issues related to Mr. Urquhart's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Rule 9-7(2)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"Rules") provides:</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under this rule, either on an issue or generally, in any of the following:</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response to civil claim has been filed;</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that has been transferred to the trial list under Rule 22-1(7)(d);</w:t>
      </w:r>
    </w:p>
    <w:p>
      <w:pPr>
        <w:numPr>
          <w:numId w:val="5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proceeding in which a response to third party notice has been filed;</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by way of counterclaim in which a response to counterclaim has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Rule 9-7(15)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Summary trial provisions in the Rules authorize a judge in chambers to give judgment in any case where she can decide disputed questions of fact on affidavits "... unless it would be unjust to decide the issues in such a way": see </w:t>
      </w:r>
      <w:r>
        <w:rPr>
          <w:rFonts w:ascii="arial" w:eastAsia="arial" w:hAnsi="arial" w:cs="arial"/>
          <w:i/>
          <w:color w:val="000000"/>
          <w:sz w:val="20"/>
          <w:lang w:val="en-US" w:eastAsia="en-US" w:bidi="ar-SA"/>
        </w:rPr>
        <w:t>Inspiration Mgmt. Ltd. v. McDermid St. Lawrence Ltd.</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para. 39(B.C.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Inspiration Mgmt.</w:t>
      </w:r>
      <w:r>
        <w:rPr>
          <w:rFonts w:ascii="arial" w:eastAsia="arial" w:hAnsi="arial" w:cs="arial"/>
          <w:color w:val="000000"/>
          <w:sz w:val="20"/>
          <w:lang w:val="en-US" w:eastAsia="en-US" w:bidi="ar-SA"/>
        </w:rPr>
        <w:t xml:space="preserve"> set out the test to be applied:</w:t>
      </w:r>
      <w:r>
        <w:rPr>
          <w:rFonts w:ascii="arial" w:eastAsia="arial" w:hAnsi="arial" w:cs="arial"/>
          <w:sz w:val="20"/>
          <w:lang w:val="en-US" w:eastAsia="en-US" w:bidi="ar-SA"/>
        </w:rPr>
        <w:cr/>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If the chambers judge can find the facts, then he must give judgment as he would upon a trial unless for any proper judicial reason he has the opinion that it would be unjust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R. 18A ... is the same as on a trial. Upon the facts being found the chambers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Chief Justice McEachern, writing for the court in </w:t>
      </w:r>
      <w:r>
        <w:rPr>
          <w:rFonts w:ascii="arial" w:eastAsia="arial" w:hAnsi="arial" w:cs="arial"/>
          <w:i/>
          <w:color w:val="000000"/>
          <w:sz w:val="20"/>
          <w:lang w:val="en-US" w:eastAsia="en-US" w:bidi="ar-SA"/>
        </w:rPr>
        <w:t>Inspiration Mgmt.</w:t>
      </w:r>
      <w:r>
        <w:rPr>
          <w:rFonts w:ascii="arial" w:eastAsia="arial" w:hAnsi="arial" w:cs="arial"/>
          <w:color w:val="000000"/>
          <w:sz w:val="20"/>
          <w:lang w:val="en-US" w:eastAsia="en-US" w:bidi="ar-SA"/>
        </w:rPr>
        <w:t xml:space="preserve">, also addressed the issue of conflicting evidence in summary trials, restating the approach taken in </w:t>
      </w:r>
      <w:r>
        <w:rPr>
          <w:rFonts w:ascii="arial" w:eastAsia="arial" w:hAnsi="arial" w:cs="arial"/>
          <w:i/>
          <w:color w:val="000000"/>
          <w:sz w:val="20"/>
          <w:lang w:val="en-US" w:eastAsia="en-US" w:bidi="ar-SA"/>
        </w:rPr>
        <w:t>Placer Dev. Ltd. v. Skyline Explor. Ltd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 am far from saying that the judge is precluded from finding facts where he has before him affidavits which conflict. The ability of the judge to find the necessary facts and to decide if it is just to resolve the issues before him will to a large extent depend on the nature and quality of the material before him. I think the rule contemplates that the judge may make the necessary findings of fact on conflicting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Inspiration Mgmt.</w:t>
      </w:r>
      <w:r>
        <w:rPr>
          <w:rFonts w:ascii="arial" w:eastAsia="arial" w:hAnsi="arial" w:cs="arial"/>
          <w:color w:val="000000"/>
          <w:sz w:val="20"/>
          <w:lang w:val="en-US" w:eastAsia="en-US" w:bidi="ar-SA"/>
        </w:rPr>
        <w:t xml:space="preserve">, the court quoted from </w:t>
      </w:r>
      <w:r>
        <w:rPr>
          <w:rFonts w:ascii="arial" w:eastAsia="arial" w:hAnsi="arial" w:cs="arial"/>
          <w:i/>
          <w:color w:val="000000"/>
          <w:sz w:val="20"/>
          <w:lang w:val="en-US" w:eastAsia="en-US" w:bidi="ar-SA"/>
        </w:rPr>
        <w:t>Soni v. Malik</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(1985), 61 B.C.L.R. 36</w:t>
        </w:r>
      </w:hyperlink>
      <w:r>
        <w:rPr>
          <w:rFonts w:ascii="arial" w:eastAsia="arial" w:hAnsi="arial" w:cs="arial"/>
          <w:color w:val="000000"/>
          <w:sz w:val="20"/>
          <w:lang w:val="en-US" w:eastAsia="en-US" w:bidi="ar-SA"/>
        </w:rPr>
        <w:t xml:space="preserve"> (B.C. S.C.), at para. 40 confirming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that the judge does not find "it is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determining whether it would be unjust to proceed summarily, the court identified a number of relevant factors to consider:</w:t>
      </w:r>
      <w:r>
        <w:rPr>
          <w:rFonts w:ascii="arial" w:eastAsia="arial" w:hAnsi="arial" w:cs="arial"/>
          <w:sz w:val="20"/>
          <w:lang w:val="en-US" w:eastAsia="en-US" w:bidi="ar-SA"/>
        </w:rPr>
        <w:cr/>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Subsequent cases have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see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aff'd on appeal.2006 BCCA 369.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court may grant judgment on the hearing of a summary trial application "unless the court is unable" to find the facts necessary to decide the issues of fact or law: see </w:t>
      </w:r>
      <w:r>
        <w:rPr>
          <w:rFonts w:ascii="arial" w:eastAsia="arial" w:hAnsi="arial" w:cs="arial"/>
          <w:i/>
          <w:color w:val="000000"/>
          <w:sz w:val="20"/>
          <w:lang w:val="en-US" w:eastAsia="en-US" w:bidi="ar-SA"/>
        </w:rPr>
        <w:t>Dahl</w:t>
      </w:r>
      <w:r>
        <w:rPr>
          <w:rFonts w:ascii="arial" w:eastAsia="arial" w:hAnsi="arial" w:cs="arial"/>
          <w:color w:val="000000"/>
          <w:sz w:val="20"/>
          <w:lang w:val="en-US" w:eastAsia="en-US" w:bidi="ar-SA"/>
        </w:rPr>
        <w:t xml:space="preserve"> at para. 10. In other words, this court may grant judgment on a summary trial application if I can find the facts necessary to decide the issues, even where there is a conflict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this case there are relatively few conflicts in the evidence, both with respect to the defendant's notice of application to dismiss the plaintiffs' claims and with respect to the plaintiffs' notice of application for summary judgment. Although the defendant points to a number of conflicts in the evidence of Mr. Urquhart regarding the enquiries he made and when he made them, I have concluded that the nature of those conflicts are such that I am still able to find the necessary facts a resolve the conflicts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Rule 9-7(15) also states that the court may give judgment on a summary trial application "unless 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agree with the defendant that its notice of application seeks to have the court decide a discrete issue, namely the issue of postponement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 do not, however, agree with the defendant's submission that the plaintiff's notice of application for summary judgement is not suitable for summary determination. It involves consideration of essentially all of the same evidence as would be considered in relation to the defendant's notice of application. The issues to be determined in the plaintiffs' notice of application are not unduly complex, and a summary trial does not create an unnecessary complexity in the resolution of the dispute. In my view, summary determination of both of these applications balances "proportionality and efficiency with the necessity of ensuring a fair and just process": see </w:t>
      </w:r>
      <w:r>
        <w:rPr>
          <w:rFonts w:ascii="arial" w:eastAsia="arial" w:hAnsi="arial" w:cs="arial"/>
          <w:i/>
          <w:color w:val="000000"/>
          <w:sz w:val="20"/>
          <w:lang w:val="en-US" w:eastAsia="en-US" w:bidi="ar-SA"/>
        </w:rPr>
        <w:t>Morin v. 0865580 B.C. Ltd</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2015 BCCA 502</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have concluded that the evidence before the court is sufficient to make necessary findings of fact to enable a determination of the plaintiffs' notice of application for summary judgement and the defendant's notice of application seeking dismissal of the claim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evidence relevant to these issues has been presented in these applications. The defendant relies on the evidence of the plaintiffs. The law can be applied to the evidence and the facts as found from the evidence. I also find that it is not unjust to resolve these matters summarily rather than to moving them forward to trial. Both matters are suitable for determination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Notice of Application</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When did the plaintiffs' cause of action accrue?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parties agree that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apply to the facts in this case. They also agree that the applicable limitation period is six years from the date that the cause of action accrued. They do not, however, agree about when the plaintiffs' cause of action accrued. The plaintiffs submit that their cause of action did not accrue until early 2009 when they became aware of the existence of the 1977 Resolution and thus became aware that the defendant had failed to comply with the 1977 Resolution when it issued the building permits with respect to their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 submits that the plaintiffs' cause of action accrued on the date when the building permits for their respective homes were issued by the defendant, that is between April 27, 1989 and August 6, 1992 and thus the limitation periods with respect to each of the plaintiffs' claims expired between April 27, 1995 and August 6, 1998 unless the plaintiffs can establishment postponement of the running of the limitation period pursuant to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defendant further submits that even if the plaintiffs can establish postponement of the running of time, by the summer of 1998, upon receipt of the 1998 GeoNorth Report, the plaintiffs had facts within their means of knowledge sufficient to satisfy the requirements of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therefore, the limitation period began to run and had expired in the summer of 2004, approximately 5 years prior to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traditional rationale of limitation statutes is based on certainty, evidentiary and diligence rationales. Madam Justice McLachlin, as she then was, for the majority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considered the application of the limitation period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matters and in doing so, cited La Forest J. in </w:t>
      </w:r>
      <w:r>
        <w:rPr>
          <w:rFonts w:ascii="arial" w:eastAsia="arial" w:hAnsi="arial" w:cs="arial"/>
          <w:i/>
          <w:color w:val="000000"/>
          <w:sz w:val="20"/>
          <w:lang w:val="en-US" w:eastAsia="en-US" w:bidi="ar-SA"/>
        </w:rPr>
        <w:t>M. (K.) v. M. (H.)</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Statutes of limitations have long been said to be statutes of repose. . . The reasoning is straightforward enough. There comes a time, it is said, when a potential defendant should be secure in his reasonable expectation that he will not be held to account for ancient obligations.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rationale is evidentiary and concerns the desire to foreclose claims based on stale evidence. Once the limitation period has lapsed, the potential defendant should no longer be concerned about the preservation of evidence relevant to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plaintiffs are expected to act diligently and not "sleep on their rights"; statutes of limitation are an incentive for plaintiffs to bring suit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also addressed the apparent harshness of the application of limitation statutes. In this respect, Iacobucci and Major JJ., dissenting in the result, noted at para. 8 (later cited with approval in </w:t>
      </w:r>
      <w:r>
        <w:rPr>
          <w:rFonts w:ascii="arial" w:eastAsia="arial" w:hAnsi="arial" w:cs="arial"/>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2002 SCC 79</w:t>
        </w:r>
      </w:hyperlink>
      <w:r>
        <w:rPr>
          <w:rFonts w:ascii="arial" w:eastAsia="arial" w:hAnsi="arial" w:cs="arial"/>
          <w:color w:val="000000"/>
          <w:sz w:val="20"/>
          <w:lang w:val="en-US" w:eastAsia="en-US" w:bidi="ar-SA"/>
        </w:rPr>
        <w:t xml:space="preserve"> at para. 121):</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Almost all applications of limitations statutes will seem harsh. But their finality should not obscure their value. They bring needed stability to society by enabling potential defendants to plan their affairs in the safe assumption that stale claims cannot be raised against them. They minimize the risk that evidence relevant to the claim will be lost. In addition, they are an incentive for plaintiffs not to "sleep on their rights". See </w:t>
      </w:r>
      <w:r>
        <w:rPr>
          <w:rFonts w:ascii="arial" w:eastAsia="arial" w:hAnsi="arial" w:cs="arial"/>
          <w:i/>
          <w:color w:val="000000"/>
          <w:sz w:val="20"/>
          <w:lang w:val="en-US" w:eastAsia="en-US" w:bidi="ar-SA"/>
        </w:rPr>
        <w:t>Peixeiro v. Haberman</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at para. 34.</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Section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provides that the limitation period for bringing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economic loss is six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Section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defines the necessary conditions for a limitation period to start:</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6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Section 6(5)(a) and (b) define "appropriate advice" and "facts".</w:t>
      </w:r>
      <w:r>
        <w:rPr>
          <w:rFonts w:ascii="arial" w:eastAsia="arial" w:hAnsi="arial" w:cs="arial"/>
          <w:sz w:val="20"/>
          <w:lang w:val="en-US" w:eastAsia="en-US" w:bidi="ar-SA"/>
        </w:rPr>
        <w:cr/>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"appropriate advice"</w:t>
      </w:r>
      <w:r>
        <w:rPr>
          <w:rFonts w:ascii="arial" w:eastAsia="arial" w:hAnsi="arial" w:cs="arial"/>
          <w:color w:val="000000"/>
          <w:sz w:val="20"/>
          <w:lang w:val="en-US" w:eastAsia="en-US" w:bidi="ar-SA"/>
        </w:rPr>
        <w:t>, in relation to facts, means the advice of competent persons, qualified in their respective fields, to advise on the medical, legal and other aspects of the facts, as the case may require,</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include</w:t>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Pursuant to s. 6(6)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burden of proof is on the individual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British Columbia Supreme Court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xml:space="preserve">, considered the application of the postponement provisions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xml:space="preserve">, the defendants brought a summary judgment application seeking to have the action against them dismissed on the basis that the lawsuit was barred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plaintiff underwent surgery on October 30, 1995. The plaintiff experienced numbness in her legs following the procedure but did not commence an action until May 1998. The court allowed the application and dismissed the claim noting that a reasonable person in the plaintiff's position, having taken appropriate advice, would have known that she had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dismissing the case, the court noted that:</w:t>
      </w:r>
      <w:r>
        <w:rPr>
          <w:rFonts w:ascii="arial" w:eastAsia="arial" w:hAnsi="arial" w:cs="arial"/>
          <w:sz w:val="20"/>
          <w:lang w:val="en-US" w:eastAsia="en-US" w:bidi="ar-SA"/>
        </w:rPr>
        <w:cr/>
      </w:r>
    </w:p>
    <w:p>
      <w:pPr>
        <w:numPr>
          <w:numId w:val="7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knew shortly after she awoke from the anesthetic that there had been a failed surgery which may well have been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and nurses. ... She knew at that point that she had suffered damage that may well have been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and nurses. She had every reason to suspect that the injury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was at that point she had the facts referred to in s. 6(4) within her means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xml:space="preserve">, the court set out a framework for analysis of the postponement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7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four components can be paraphrased within the context of the present circumstances as follows:</w:t>
      </w:r>
    </w:p>
    <w:p>
      <w:pPr>
        <w:numPr>
          <w:numId w:val="7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 (b)) within her means of knowledge.</w:t>
      </w:r>
    </w:p>
    <w:p>
      <w:pPr>
        <w:numPr>
          <w:numId w:val="7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four of these components must be satisfied before the running of time with respect to the limitation period begins running. Thus, if a plaintiff is able to demonstrate that any one of the four components had not been satisfied before two years prior to the commencement of the action (in the case of a two year limitation period), the action will not be statute barred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also clear from the jurisprudence that ignorance of the extent of damage will not of itself serve to postpone the running of the time in which to commence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This principle was applied in </w:t>
      </w:r>
      <w:r>
        <w:rPr>
          <w:rFonts w:ascii="arial" w:eastAsia="arial" w:hAnsi="arial" w:cs="arial"/>
          <w:i/>
          <w:color w:val="000000"/>
          <w:sz w:val="20"/>
          <w:lang w:val="en-US" w:eastAsia="en-US" w:bidi="ar-SA"/>
        </w:rPr>
        <w:t>Landels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Interior Health Authority</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2005 BCSC 1182</w:t>
        </w:r>
      </w:hyperlink>
      <w:r>
        <w:rPr>
          <w:rFonts w:ascii="arial" w:eastAsia="arial" w:hAnsi="arial" w:cs="arial"/>
          <w:color w:val="000000"/>
          <w:sz w:val="20"/>
          <w:lang w:val="en-US" w:eastAsia="en-US" w:bidi="ar-SA"/>
        </w:rPr>
        <w:t>, where the court was asked to postpone the limitation period in a case involving a plaintiff who was aware that she was injured but had not appreciated the full extent of her injury until after the expiry of the two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Landels</w:t>
      </w:r>
      <w:r>
        <w:rPr>
          <w:rFonts w:ascii="arial" w:eastAsia="arial" w:hAnsi="arial" w:cs="arial"/>
          <w:color w:val="000000"/>
          <w:sz w:val="20"/>
          <w:lang w:val="en-US" w:eastAsia="en-US" w:bidi="ar-SA"/>
        </w:rPr>
        <w:t xml:space="preserve"> outlined the governing principles as follows:</w:t>
      </w:r>
      <w:r>
        <w:rPr>
          <w:rFonts w:ascii="arial" w:eastAsia="arial" w:hAnsi="arial" w:cs="arial"/>
          <w:sz w:val="20"/>
          <w:lang w:val="en-US" w:eastAsia="en-US" w:bidi="ar-SA"/>
        </w:rPr>
        <w:cr/>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rule is that time runs from the date of the injury.</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exact extent of the loss of the plaintiff need not be known for the cause of action to accrue. Once the plaintiff knows that some damage has occurred and has identified the tortfeasor [authorities omitted], the cause of action has accrued. Neither the extent of damage nor the type of damage need be known.</w:t>
      </w:r>
    </w:p>
    <w:p>
      <w:pPr>
        <w:numPr>
          <w:numId w:val="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until ... "a reasonable person would consider that someone in the plaintiff's position, acting reasonably in light of his or her own circumstances and interests, could -- not necessarily should -- bring an action." ... The question becomes "in light of his or her own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Landels</w:t>
      </w:r>
      <w:r>
        <w:rPr>
          <w:rFonts w:ascii="arial" w:eastAsia="arial" w:hAnsi="arial" w:cs="arial"/>
          <w:color w:val="000000"/>
          <w:sz w:val="20"/>
          <w:lang w:val="en-US" w:eastAsia="en-US" w:bidi="ar-SA"/>
        </w:rPr>
        <w:t xml:space="preserve"> concluded that the plaintiff's cause of action was complete on October 31, 2001 and noted that:</w:t>
      </w:r>
      <w:r>
        <w:rPr>
          <w:rFonts w:ascii="arial" w:eastAsia="arial" w:hAnsi="arial" w:cs="arial"/>
          <w:sz w:val="20"/>
          <w:lang w:val="en-US" w:eastAsia="en-US" w:bidi="ar-SA"/>
        </w:rPr>
        <w:cr/>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"cause of action" I mean the fact, or combination of facts, which give rise to a remedy in law. The gravity of the injury was not clearly defined by medical science until 3 July 2002, or, perhaps, January 2005. Delayed knowledge of the extent of the injury does not alone delay the running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BC Court of Appeal has also provided guidance on the determination of the "facts within the plaintiff's means of knowledge" as set out in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Karsanjii Estate v. Roque</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[1990] 3 W.W.R. 612</w:t>
        </w:r>
      </w:hyperlink>
      <w:r>
        <w:rPr>
          <w:rFonts w:ascii="arial" w:eastAsia="arial" w:hAnsi="arial" w:cs="arial"/>
          <w:color w:val="000000"/>
          <w:sz w:val="20"/>
          <w:lang w:val="en-US" w:eastAsia="en-US" w:bidi="ar-SA"/>
        </w:rPr>
        <w:t xml:space="preserve"> (B.C. C.A.), the court noted that:</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is not whether [a claimant] knew or ought to have known [of a breach of duty], nor whether a reasonable person in his position would have made the effort to discover it, but whether and when [the claimant] had the "means" of knowing it, that is to say whether and, if so, when he could have discovered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Sun-Rype Products Ltd v. Archer Daniels Midland Co.</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2007 BCSC 640</w:t>
        </w:r>
      </w:hyperlink>
      <w:r>
        <w:rPr>
          <w:rFonts w:ascii="arial" w:eastAsia="arial" w:hAnsi="arial" w:cs="arial"/>
          <w:color w:val="000000"/>
          <w:sz w:val="20"/>
          <w:lang w:val="en-US" w:eastAsia="en-US" w:bidi="ar-SA"/>
        </w:rPr>
        <w:t>, found that those facts falling within the plaintiff's means of knowledge are those facts actually known and those facts which would become known if he took such steps as would have been reasonable in the circumstances. The court went on to say:</w:t>
      </w:r>
      <w:r>
        <w:rPr>
          <w:rFonts w:ascii="arial" w:eastAsia="arial" w:hAnsi="arial" w:cs="arial"/>
          <w:sz w:val="20"/>
          <w:lang w:val="en-US" w:eastAsia="en-US" w:bidi="ar-SA"/>
        </w:rPr>
        <w:cr/>
      </w:r>
    </w:p>
    <w:p>
      <w:pPr>
        <w:numPr>
          <w:numId w:val="8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has an initial basis for making an inquiry - at the very least, a "reasonable" inquiry requires some action to investigate on the part of the plaintiff: </w:t>
      </w:r>
      <w:r>
        <w:rPr>
          <w:rFonts w:ascii="arial" w:eastAsia="arial" w:hAnsi="arial" w:cs="arial"/>
          <w:i/>
          <w:color w:val="000000"/>
          <w:sz w:val="20"/>
          <w:lang w:val="en-US" w:eastAsia="en-US" w:bidi="ar-SA"/>
        </w:rPr>
        <w:t>Tessler v. Telemark Enterprises Ltd.</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[1992] B.C.J. No. 2393</w:t>
        </w:r>
      </w:hyperlink>
      <w:r>
        <w:rPr>
          <w:rFonts w:ascii="arial" w:eastAsia="arial" w:hAnsi="arial" w:cs="arial"/>
          <w:color w:val="000000"/>
          <w:sz w:val="20"/>
          <w:lang w:val="en-US" w:eastAsia="en-US" w:bidi="ar-SA"/>
        </w:rPr>
        <w:t xml:space="preserve"> (B.C.S.C.). On the other hand, I accept what the plaintiffs say that there must be some reasonable basis for a person in their position to seek out the facts that would lead to knowledge of the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"means of knowledge" test also relates to the issue of "appropriate advice". The Court of Appeal in </w:t>
      </w:r>
      <w:r>
        <w:rPr>
          <w:rFonts w:ascii="arial" w:eastAsia="arial" w:hAnsi="arial" w:cs="arial"/>
          <w:i/>
          <w:color w:val="000000"/>
          <w:sz w:val="20"/>
          <w:lang w:val="en-US" w:eastAsia="en-US" w:bidi="ar-SA"/>
        </w:rPr>
        <w:t>Levitt v. Carr</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[1992] 4 W.W.R. 160</w:t>
        </w:r>
      </w:hyperlink>
      <w:r>
        <w:rPr>
          <w:rFonts w:ascii="arial" w:eastAsia="arial" w:hAnsi="arial" w:cs="arial"/>
          <w:color w:val="000000"/>
          <w:sz w:val="20"/>
          <w:lang w:val="en-US" w:eastAsia="en-US" w:bidi="ar-SA"/>
        </w:rPr>
        <w:t xml:space="preserve"> (B.C. C.A.), made the following comments regarding the "appropriate advice" aspect of the test as follows:</w:t>
      </w:r>
      <w:r>
        <w:rPr>
          <w:rFonts w:ascii="arial" w:eastAsia="arial" w:hAnsi="arial" w:cs="arial"/>
          <w:sz w:val="20"/>
          <w:lang w:val="en-US" w:eastAsia="en-US" w:bidi="ar-SA"/>
        </w:rPr>
        <w:cr/>
      </w:r>
    </w:p>
    <w:p>
      <w:pPr>
        <w:numPr>
          <w:numId w:val="8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must therefore refer to the nature of the inquiry to be made as revealed by the facts within the means of the plaintiff's knowledge. In this sense "appropriate" means suitable in the circumstances of those facts. This generalization is broad enough to accommodate the variety of causes of actions s. 6(3) addresses.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court went on to state the following:</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think it clear that those who drafted the British Columbia statute rejected simple ignorance of the existence of a cause of action as sufficient to postpone the running of time. The solution adopted by the Law Reform Commission and by the legislature was to introduce another level of abstraction: notional advice by notional advisors. This advice is given the conceptual status of facts and, when added to those within the plaintiff's means of knowledge, forms the body of information upon which the reasonable man decides whether an action on the cause of action would have a reasonable prospect of success and whether the plaintiff ought to be able to bring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fourth component of the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xml:space="preserve"> analytical framework in respect of the issue of postponement is whether in the circumstances the plaintiff ought in his own interests to be able to bring an action. In the case of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the Supreme Court of Canada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Section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court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I conclude that delay beyond the prescribed limitation period is only justifiable if the individual plaintiff's interests and circumstances are so pressing that a reasonable person would conclude that, in light of them, the plaintiff could not reasonably bring an action at the time his or her bare legal rights crystallized. The task in every case is to determine the point at which the plaintiff reasonably could bring an action, taking into account his or her own interests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question of what constitutes "serious, significant and compelling" circumstances was considered by the BC Supreme Court in </w:t>
      </w:r>
      <w:r>
        <w:rPr>
          <w:rFonts w:ascii="arial" w:eastAsia="arial" w:hAnsi="arial" w:cs="arial"/>
          <w:i/>
          <w:color w:val="000000"/>
          <w:sz w:val="20"/>
          <w:lang w:val="en-US" w:eastAsia="en-US" w:bidi="ar-SA"/>
        </w:rPr>
        <w:t>Cowen v. Gray</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2001 BCSC 487</w:t>
        </w:r>
      </w:hyperlink>
      <w:r>
        <w:rPr>
          <w:rFonts w:ascii="arial" w:eastAsia="arial" w:hAnsi="arial" w:cs="arial"/>
          <w:color w:val="000000"/>
          <w:sz w:val="20"/>
          <w:lang w:val="en-US" w:eastAsia="en-US" w:bidi="ar-SA"/>
        </w:rPr>
        <w:t>, where the plaintiff, after filing a claim two and a half years after the two year limitation period had expired, claimed that is was unable to bring an action due to the injuries she suffered in a motor vehicle accident after taking medication prescribed for her by the defendant. The court concluded that although the plaintiff suffered from a loss of short term memory and several physical illnesses, her circumstances did not meet the requirements of s. 6(4)(b) and were not so "serious, significant, and compelling" as to warrant the postponement of the running of time. The court found that the costs and strains of litigation would likely have been difficult for her, but there was no evidence to suggest they would have been overwhelming or that her circumstances combined to make it "unfeasible" for her to initiate an action earlier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plaintiffs submit that, pursuant to the provisions of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time did not begin to run until early 2009 because:</w:t>
      </w:r>
      <w:r>
        <w:rPr>
          <w:rFonts w:ascii="arial" w:eastAsia="arial" w:hAnsi="arial" w:cs="arial"/>
          <w:sz w:val="20"/>
          <w:lang w:val="en-US" w:eastAsia="en-US" w:bidi="ar-SA"/>
        </w:rPr>
        <w:cr/>
      </w:r>
    </w:p>
    <w:p>
      <w:pPr>
        <w:numPr>
          <w:numId w:val="9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was not known to the plaintiffs. While the plaintiffs had various dealings with the defendant from the time that their respective building permits were issued and throughout the two major erosion events, they did not become aware of any potential wrongdoing until early 2009 when they became aware of the 1977 Resolution. The plaintiffs submit that until that time, the plaintiffs could not identify a defendant or potential defendant;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did not have knowledge of the facts, including that the defendant owed them a duty of care to warn them of the erosion risk and not to issue the building permits without warning and a waiver, until early 2009. The plaintiffs further submit that they did not have facts within their means of knowledge to consider that they might have a claim against the defendant. The plaintiffs submit that the 1997 erosion event and the subsequent 1998 GeoNorth Report did not provide information or facts from which the plaintiffs would have regarded as showing that they had a cause of action against the defendant. It was not until Dr. Lewis obtained a copy of the 1977 Resolution in January 2009 that the plaintiffs sought legal advice and realized that the defendant owed them a duty of care and, in failing to warn them of the prior erosion event and the risk of future erosion at the time they applied for their building permits, may have breached that duty of care;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accept the evidence of the defendant that copies of the defendant's 1977 Resolution related to erosion issues and the attachments, including the 1977 Department of Environment Letter were, at all times, available to the public upon request but they submit that, prior to January 2009, there was no reasonable basis for them in their position to seek out the facts that would lead to knowledge of the defendant's liability.</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 submits that the 1977 Resolution did not </w:t>
      </w:r>
      <w:r>
        <w:rPr>
          <w:rFonts w:ascii="arial" w:eastAsia="arial" w:hAnsi="arial" w:cs="arial"/>
          <w:i/>
          <w:color w:val="000000"/>
          <w:sz w:val="20"/>
          <w:lang w:val="en-US" w:eastAsia="en-US" w:bidi="ar-SA"/>
        </w:rPr>
        <w:t>create</w:t>
      </w:r>
      <w:r>
        <w:rPr>
          <w:rFonts w:ascii="arial" w:eastAsia="arial" w:hAnsi="arial" w:cs="arial"/>
          <w:color w:val="000000"/>
          <w:sz w:val="20"/>
          <w:lang w:val="en-US" w:eastAsia="en-US" w:bidi="ar-SA"/>
        </w:rPr>
        <w:t xml:space="preserve"> a duty of care but rather represented an acknowledgement on the part of the defendant that it ought to warn property owners of erosion risks and obtain a form of indemnity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 submits that because the 1977 Resolution acknowledged the duty to warn, rather than creating it, the limitation period began to run on the date that the building permits were issued by the defendant. If the running of time was not be postponed, and the limitation periods with respect to each of the plaintiffs would have expired six years later, namely between April 1995 and August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defendant submits that the plaintiff has failed to establish that the running of time was postponed in accordance with the requirements of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but suggests that if there was postponement, time began to run again in 1998, after each of the plaintiffs received and reviewed the 1998 GeoNorth Report. The defendant submits that the facts contained in the 1998 GeoNorth Report contained facts that were within the plaintiffs' actual knowledge and having received advice with respect to the facts in that report, a reasonable person would regard the facts as showing that an action would have a reasonable prospect of success and they ought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 submits that a reasonable person would have regarded the following facts in the 1998 GeoNorth Report as showing that an action would have a reasonable prospect of success: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top of each page referred to "Nechako River Bank Erosion, Miworth and Prince George, B.C.";</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stated that the high flows that occurred in in the summer of 1997 and which caused the erosion to the plaintiffs' properties were noted to be not unprecedented, not statistically unusual and the peak flows had been last previously exceeded in 1976. The report included a statement that "...the sustained high flows of 1997 and instances of severe ice jam related velocities are unpredictable events and could recur in any given year";</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noted with respect to Island Park Drive that the crest of the bank at that location had moved 20 to 25 metres over the period between 1946 and 1996;</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stated that an erosion event similar to that which occurred in 1996/1997 could make the houses on Lots 2, 3 and 5, Plan 18805, Block A, D.L. 4204, Island Park Drive unsafe and the authors of the report could not predict when erosion equal to that resulting from the 1996/1997 would recur. The report noted that all five of the houses in the reach of the river along Island Park Drive would be undermined within 50 years at current erosion rates;</w:t>
      </w:r>
    </w:p>
    <w:p>
      <w:pPr>
        <w:numPr>
          <w:numId w:val="9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Page 9 of the report noted: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recommend the following setback distances, assuming that the life expectancy of a house is 50 years, that the period between 1946 and 1996 represents average channel behaviour and applying a factor of safety of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Island Park Drive - 35m;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that the 1998 GeoNorth Report provided the plaintiffs with facts and information that:</w:t>
      </w:r>
    </w:p>
    <w:p>
      <w:pPr>
        <w:numPr>
          <w:numId w:val="10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had been a prior high peak river flows similar to those that caused the 1997 erosion event;</w:t>
      </w:r>
    </w:p>
    <w:p>
      <w:pPr>
        <w:numPr>
          <w:numId w:val="10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crest of the bank along Island Park Drive had moved 20-25 metres over the 50 years prior to 1996;</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five of the houses along Island Park Drive would be undermined within 50 years.at current erosion rates but an erosion event similar to 1996/ 1997 would make the houses on the Lewis/Orlowsky property and the Urquhart Property unsafe;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recommended setback was 35 metres from the crest of the slope and set back from the seasonal high water mark was not appropriate as it did not take account of the horizontal distance made up by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submits that the plaintiffs, having learned these facts and particularly that the engineering experts recommended a setback of 35m from the crest of the slope, should have realized that this was considerably more than the setback required by the defendant's bylaw and should have made enquiries as to why the defendant would allow them to build their houses within 100 feet of the seasonal high water mark or the natural boundary of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defendant submits that for the purposes of section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facts falling within the plaintiffs' means of knowledge are those facts actually known to them and those which would have become know if they took such steps as would have been reasonable for them to take in their circumstances.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Carr</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66 BCLR (2d) 58</w:t>
        </w:r>
      </w:hyperlink>
      <w:r>
        <w:rPr>
          <w:rFonts w:ascii="arial" w:eastAsia="arial" w:hAnsi="arial" w:cs="arial"/>
          <w:color w:val="000000"/>
          <w:sz w:val="20"/>
          <w:lang w:val="en-US" w:eastAsia="en-US" w:bidi="ar-SA"/>
        </w:rPr>
        <w:t>). The defendant submits that a reasonable person, having learned the facts contained in the 1998 GeoNorth Report, would have realized that something was amiss and would have made diligent enquiries of the defendant. The defendant submits that diligent enquiries would have led to discovery of the 1977 Resolution and the 1977 Department of Environment Letter, both of which "would generally be available to the public on the appropriate request" (para. 7, affidavit of K. Jensen sworn December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defendant relies on the decision of the BC Court of Appeal in </w:t>
      </w:r>
      <w:r>
        <w:rPr>
          <w:rFonts w:ascii="arial" w:eastAsia="arial" w:hAnsi="arial" w:cs="arial"/>
          <w:i/>
          <w:color w:val="000000"/>
          <w:sz w:val="20"/>
          <w:lang w:val="en-US" w:eastAsia="en-US" w:bidi="ar-SA"/>
        </w:rPr>
        <w:t>Millstream Enterprises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Corporation of City of New Westminster</w:t>
      </w:r>
      <w:r>
        <w:rPr>
          <w:rFonts w:ascii="arial" w:eastAsia="arial" w:hAnsi="arial" w:cs="arial"/>
          <w:color w:val="000000"/>
          <w:sz w:val="20"/>
          <w:lang w:val="en-US" w:eastAsia="en-US" w:bidi="ar-SA"/>
        </w:rPr>
        <w:t>, [1994] B.C.W.L.D.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that case, a fire destroyed a building owned by the plaintiff in 1988. The building had been damaged by fire some 10 years earlier and at that time, the plaintiff learned during repairs of the damaged area that it did not contain fire stops. The plaintiff was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tenants of the suites in the damaged area and, in the course of that litigation, a report was prepared as to the causes of the 1978 fire. The report concluded that the lack of firestops caused the fire to spread and the authors identified the effect of "failure to comply with the building by-law". The plaintiff eventually paid to have the fire stops put into the area that had been damaged by the fire, noting in his affidavit evidence that "it was required by the City of New Westminster and therefore my insurance did not cover it." The plaintiff deposed that he did not consider whether the rest of the building had fire stops or whether the rest of the building had been inspected for firestops. When fire destroyed the entire building in 1988, the plaintiff discovered that the entire building had been built without sufficient firestops contrary to the defendant's building by-law and the building was not inspected at the time of construction, which was also contrary to the building by-law. The plaintiff sued the City of New Westminster alleging that the City was negligent in failing to inspect the premises at the time it was constructed and failing to ensure that fire stops were installed in accordance with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trial judge found that there was no evidentiary basis for finding that the plaintiff could have been aware of the City's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prior to the 1988 fire and dismissed the defendant's application to dismiss the action as out of time. On appeal, the Court of Appeal concluded that in the aftermath of the 1978 fire, a reasonable owner of the building would have had reason to make further enquiries and a competent solicitor would have advised the plaintiff on facts known in April 1980 that, in failing to inspect the building when it was constructed in 1964, the City had breached its duty of care, that breach had caused injury to the plaintiff and an action against the City had a reasonable prospect of success. The Court of Appeal concluded that by April 1980 there were facts available to the plaintiff, both known and imputed, which a reasonable person would regard as showing an action against the City had a reasonable prospect of success. Thus, time began to run in April 1980 and had expired by November 1988 when the writ of summons was issued. The Court of Appeal set aside the trial judgement and dismissed the plaintiff's action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defendant submits that, as in </w:t>
      </w:r>
      <w:r>
        <w:rPr>
          <w:rFonts w:ascii="arial" w:eastAsia="arial" w:hAnsi="arial" w:cs="arial"/>
          <w:i/>
          <w:color w:val="000000"/>
          <w:sz w:val="20"/>
          <w:lang w:val="en-US" w:eastAsia="en-US" w:bidi="ar-SA"/>
        </w:rPr>
        <w:t>Millstream</w:t>
      </w:r>
      <w:r>
        <w:rPr>
          <w:rFonts w:ascii="arial" w:eastAsia="arial" w:hAnsi="arial" w:cs="arial"/>
          <w:color w:val="000000"/>
          <w:sz w:val="20"/>
          <w:lang w:val="en-US" w:eastAsia="en-US" w:bidi="ar-SA"/>
        </w:rPr>
        <w:t>, the facts necessary were discoverable upon reasonable enquiry. The facts surrounding the 1997 erosion event and the information contained in the 1998 GeoNorth Report provided the plaintiffs with a means of knowledge, such that a reasonable person would conclude, after receiving notional advice, that there was a claim against the defendant and the claim had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agree with the submission of the defendant that, unless the running of time was postponed, the plaintiffs' cause of action accrued when the defendant issued building permits for their homes without complying with the 1977 Resolution and specifically, without warning them of the risk of toe erosion on each of their properties. I also agree with the submission that the duty of care of the defendant arose on January 24, 1977 when the defendant received the 1977 Department of Environment Letter, which advised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matter is being drawn to your attention in the hope that you may be able to prevent further compounding of this undesirable situation, there being a considerable number of undeveloped lots along this erosion prone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"A", affidavit of K. Jensen, sworn December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evidence establishes that by January 24, 1977, the defendant was aware that there had been an erosion event in 1976 that had caused such significant erosion to the Freeman property and that the Department of Environment warned against encouraging "further development in this potentially hazardous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After receipt of this warning, the defendant passed the 1977 Resolution requiring building permit applicants to provide a letter acknowledging that they had been informed of the hazards of erosion at the location and accepted responsibility for any damage that occurred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defendant owed a duty of care to the plaintiffs to warn them of the risk of erosion and not to issue building permits for the construction of their home without providing that warning. As per the principles set out in the case of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and applied in </w:t>
      </w:r>
      <w:r>
        <w:rPr>
          <w:rFonts w:ascii="arial" w:eastAsia="arial" w:hAnsi="arial" w:cs="arial"/>
          <w:i/>
          <w:color w:val="000000"/>
          <w:sz w:val="20"/>
          <w:lang w:val="en-US" w:eastAsia="en-US" w:bidi="ar-SA"/>
        </w:rPr>
        <w:t>Grewal v.</w:t>
      </w:r>
      <w:r>
        <w:rPr>
          <w:rFonts w:ascii="arial" w:eastAsia="arial" w:hAnsi="arial" w:cs="arial"/>
          <w:color w:val="000000"/>
          <w:sz w:val="20"/>
          <w:lang w:val="en-US" w:eastAsia="en-US" w:bidi="ar-SA"/>
        </w:rPr>
        <w:t xml:space="preserve"> T</w:t>
      </w:r>
      <w:r>
        <w:rPr>
          <w:rFonts w:ascii="arial" w:eastAsia="arial" w:hAnsi="arial" w:cs="arial"/>
          <w:i/>
          <w:color w:val="000000"/>
          <w:sz w:val="20"/>
          <w:lang w:val="en-US" w:eastAsia="en-US" w:bidi="ar-SA"/>
        </w:rPr>
        <w:t>he Corporation of the District of Saanich</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1989 CarswellBC 129</w:t>
        </w:r>
      </w:hyperlink>
      <w:r>
        <w:rPr>
          <w:rFonts w:ascii="arial" w:eastAsia="arial" w:hAnsi="arial" w:cs="arial"/>
          <w:color w:val="000000"/>
          <w:sz w:val="20"/>
          <w:lang w:val="en-US" w:eastAsia="en-US" w:bidi="ar-SA"/>
        </w:rPr>
        <w:t>, the defendant owed a private law duty to the plaintiffs to warn or prevent construction where it knew there was a significant risk of erosion. This duty was owed directly to the Lewis/Orlowsky plaintiffs and the Urquhart plaintiffs as applicants for building permits in 1992 and 1990. This duty was also owed to Mr. Ball as a subsequent purchaser, because the relationship between the defendant and Mr. Ball was sufficiently close that the defendant ought reasonably to have had him in contemplation.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There is uncontroverted evidence that the defendant failed to warn the Lewis/Orlowsky plaintiffs and the Urquhart plaintiffs of the hazards of significant erosion of their properties when it issued them their building permits in 1992 and 1990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 submits that with respect to Mr. Ball, he has failed to provide any evidence from the vendor of his property, Henry Johns, as to whether he signed any kind of waiver or release when he obtained the building permit for the home now owned by Mr. Ball. While it is true that there is no affidavit evidence of Henry Johns with respect to whether he received information about the erosion risk from the defendant or was required to sign a letter accepting responsibility for any damage, I note that the building permit issued to Mr. Johns is attached as Exhibit E to the affidavit of K. Jensen sworn December 11, 2013. The building permit makes no reference to Mr. Johns being informed of the hazards of erosion and there is no attached letter from Mr. Johns accepting responsibility for any damage caused as a result. No such letter has been produced by the defendant. While there is no direct evidence from Mr. Johns, I have inferred from the building permit issued to Mr. Johns by the defendant and the absence of any letter from Mr. Johns accepting responsibility for any damage caused by erosion that the defendant did not comply with the 1977 Resolution when it issued the building permit to Henry Johns in April 1989. This inference would be consistent with the uncontroverted evidence before me that the defendant failed to comply with the 1977 Resolution when it issued the building permit to the Urquhart plaintiffs in June 1990, only 14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failure of the defendant to warn the plaintiffs of the hazards of erosion prior to issuance of their building permits was a breach of the duty of care owed to the plaintiffs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a result of the breach of duty of care by the defendant, the plaintiffs' cause of action arose. The question is whether the running of time with respect to that cause of action was postponed and, if so, when time began to run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have concluded based on the evidence before me that at the time the building permits were issued by the defendant for the plaintiffs' properties, the facts within the plaintiffs' knowledge were not such that a reasonable person knowing those facts and having taken appropriate advice on them would regard them as showing that an action on the cause of action would have a reasonable prospect of success and they ought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Dr. Lewis, deposed that when she and Mr. Orlowsky were deciding whether to buy the property in 1991, they had concerns about the potential erosion of the top part of the river bank but received advice from a friend who was an engineer that the river flows were controlled by the Kenny Dam and therefore significant erosion of the river bank would be unlikely to occur (affidavit #1 K.J. Lewis, para. 6). The plaintiff, Ms. Urquhart deposed that she and Mr. Urquhart visited their property over the course of approximately 5 years prior to their application for a building permit and did not observe any change to the river bank (affidavit #1 S.B. Urquhart, para. 6). None of the plaintiffs were advised that there had been previous erosion or that there was a risk of future erosion. The existence of a duty owed by the defendant to the plaintiffs was not a fact within their means of knowledge at the time that they applied for and obtained their building permits. Therefore, although the defendant breached its duty of care when it issued the building permits, time did not begin to run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That situation changed, however, in 1998 after each of the plaintiffs received and considered the 1998 GeoNorth Report. The plaintiffs deposed that after careful review of the 1998 GeoNorth Report, they each concluded that the 1997 erosion event would not be repeated because there had been a "very unusual series of conditions that year;" (affidavit #1 S.B. Urquhart, para. 15; affidavit #1 K.J. Lewis,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Having carefully reviewed the 1998 GeoNorth Report, that conclusion was quite simply unreasonable. The report very clearly describes the 1997 erosion event as "not unprecedented" and "not statistically unusual" and the peak flows of 1997 had been exceeded on four previous occasions. The report concluded that the sustained high flows of 1997 could recur in any given year and that all five houses on Island Park Drive </w:t>
      </w:r>
      <w:r>
        <w:rPr>
          <w:rFonts w:ascii="arial" w:eastAsia="arial" w:hAnsi="arial" w:cs="arial"/>
          <w:color w:val="000000"/>
          <w:sz w:val="20"/>
          <w:u w:val="single"/>
          <w:lang w:val="en-US" w:eastAsia="en-US" w:bidi="ar-SA"/>
        </w:rPr>
        <w:t>would</w:t>
      </w:r>
      <w:r>
        <w:rPr>
          <w:rFonts w:ascii="arial" w:eastAsia="arial" w:hAnsi="arial" w:cs="arial"/>
          <w:color w:val="000000"/>
          <w:sz w:val="20"/>
          <w:lang w:val="en-US" w:eastAsia="en-US" w:bidi="ar-SA"/>
        </w:rPr>
        <w:t xml:space="preserve"> be undermined within 50 years. The author of the report recommended that all houses at risk be moved away from the river bank and that the recommended setback be 35m from the crest of the slope rather than 30m from the natural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do not dispute that the 1977 Resolution was at all times available to the public upon request but they submit that they had no reason to make enquiries of the defendant until after the 2007 erosion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my view, the information contained in the 1998 GeoNorth Report was such that the plaintiffs would have had reason to make enquiries of the defendant and could have discovered the existence of the 1977 Resolution. The identity of the defendant was always known to the plaintiffs and the plaintiffs had within their means of knowledge facts that, with appropriate advice, would show that an action against the defendant would have a reasonable prospect of success. The plaintiffs knew that their homes were constructed too close to the crest of the slope and would have to be moved or they would be undermined within 50 years or possibly sooner because a significant erosion event could recur in any given year. As the court noted in </w:t>
      </w:r>
      <w:r>
        <w:rPr>
          <w:rFonts w:ascii="arial" w:eastAsia="arial" w:hAnsi="arial" w:cs="arial"/>
          <w:i/>
          <w:color w:val="000000"/>
          <w:sz w:val="20"/>
          <w:lang w:val="en-US" w:eastAsia="en-US" w:bidi="ar-SA"/>
        </w:rPr>
        <w:t>Sun-Rype Products Ltd v. Archer Daniels Midland Co.,</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2007 BCSC 640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Time begins to run as soon as facts indicating the existence of a cause of action against a potential defendant are </w:t>
      </w:r>
      <w:r>
        <w:rPr>
          <w:rFonts w:ascii="arial" w:eastAsia="arial" w:hAnsi="arial" w:cs="arial"/>
          <w:color w:val="000000"/>
          <w:sz w:val="20"/>
          <w:u w:val="single"/>
          <w:lang w:val="en-US" w:eastAsia="en-US" w:bidi="ar-SA"/>
        </w:rPr>
        <w:t>within a plaintiff's means of knowledge even though the plaintiff has not discovered those facts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Kruse v. Firth</w:t>
      </w:r>
      <w:r>
        <w:rPr>
          <w:rFonts w:ascii="arial" w:eastAsia="arial" w:hAnsi="arial" w:cs="arial"/>
          <w:color w:val="000000"/>
          <w:sz w:val="20"/>
          <w:lang w:val="en-US" w:eastAsia="en-US" w:bidi="ar-SA"/>
        </w:rPr>
        <w:t xml:space="preserve"> (1991), </w:t>
      </w:r>
      <w:hyperlink r:id="rId642" w:history="1">
        <w:r>
          <w:rPr>
            <w:rFonts w:ascii="arial" w:eastAsia="arial" w:hAnsi="arial" w:cs="arial"/>
            <w:i/>
            <w:color w:val="0077CC"/>
            <w:sz w:val="20"/>
            <w:u w:val="single"/>
            <w:shd w:val="clear" w:color="auto" w:fill="FFFFFF"/>
            <w:lang w:val="en-US" w:eastAsia="en-US" w:bidi="ar-SA"/>
          </w:rPr>
          <w:t>1991 CanLii 590</w:t>
        </w:r>
      </w:hyperlink>
      <w:r>
        <w:rPr>
          <w:rFonts w:ascii="arial" w:eastAsia="arial" w:hAnsi="arial" w:cs="arial"/>
          <w:color w:val="000000"/>
          <w:sz w:val="20"/>
          <w:lang w:val="en-US" w:eastAsia="en-US" w:bidi="ar-SA"/>
        </w:rPr>
        <w:t xml:space="preserve"> (BCCA), </w:t>
      </w:r>
      <w:hyperlink r:id="rId642" w:history="1">
        <w:r>
          <w:rPr>
            <w:rFonts w:ascii="arial" w:eastAsia="arial" w:hAnsi="arial" w:cs="arial"/>
            <w:i/>
            <w:color w:val="0077CC"/>
            <w:sz w:val="20"/>
            <w:u w:val="single"/>
            <w:shd w:val="clear" w:color="auto" w:fill="FFFFFF"/>
            <w:lang w:val="en-US" w:eastAsia="en-US" w:bidi="ar-SA"/>
          </w:rPr>
          <w:t>58 B.C.L.R. (2d) 145</w:t>
        </w:r>
      </w:hyperlink>
      <w:r>
        <w:rPr>
          <w:rFonts w:ascii="arial" w:eastAsia="arial" w:hAnsi="arial" w:cs="arial"/>
          <w:color w:val="000000"/>
          <w:sz w:val="20"/>
          <w:lang w:val="en-US" w:eastAsia="en-US" w:bidi="ar-SA"/>
        </w:rPr>
        <w:t xml:space="preserve"> at 155 (C.A.) </w:t>
      </w:r>
      <w:hyperlink r:id="rId642" w:history="1">
        <w:r>
          <w:rPr>
            <w:rFonts w:ascii="arial" w:eastAsia="arial" w:hAnsi="arial" w:cs="arial"/>
            <w:i/>
            <w:color w:val="0077CC"/>
            <w:sz w:val="20"/>
            <w:u w:val="single"/>
            <w:shd w:val="clear" w:color="auto" w:fill="FFFFFF"/>
            <w:lang w:val="en-US" w:eastAsia="en-US" w:bidi="ar-SA"/>
          </w:rPr>
          <w:t>[1991] 6 W.W.R. 651</w:t>
        </w:r>
      </w:hyperlink>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Court must determine when a party in the plaintiff's position could first have discovered the relevant "facts" in the sense both that it would have reason to seek them out and, had it done so, would have learned them: </w:t>
      </w:r>
      <w:r>
        <w:rPr>
          <w:rFonts w:ascii="arial" w:eastAsia="arial" w:hAnsi="arial" w:cs="arial"/>
          <w:i/>
          <w:color w:val="000000"/>
          <w:sz w:val="20"/>
          <w:lang w:val="en-US" w:eastAsia="en-US" w:bidi="ar-SA"/>
        </w:rPr>
        <w:t>Leavitt v. Carr</w:t>
      </w:r>
      <w:r>
        <w:rPr>
          <w:rFonts w:ascii="arial" w:eastAsia="arial" w:hAnsi="arial" w:cs="arial"/>
          <w:color w:val="000000"/>
          <w:sz w:val="20"/>
          <w:lang w:val="en-US" w:eastAsia="en-US" w:bidi="ar-SA"/>
        </w:rPr>
        <w:t xml:space="preserve"> (1992). </w:t>
      </w:r>
      <w:hyperlink r:id="rId639" w:history="1">
        <w:r>
          <w:rPr>
            <w:rFonts w:ascii="arial" w:eastAsia="arial" w:hAnsi="arial" w:cs="arial"/>
            <w:i/>
            <w:color w:val="0077CC"/>
            <w:sz w:val="20"/>
            <w:u w:val="single"/>
            <w:shd w:val="clear" w:color="auto" w:fill="FFFFFF"/>
            <w:lang w:val="en-US" w:eastAsia="en-US" w:bidi="ar-SA"/>
          </w:rPr>
          <w:t>1992 CanLii 1086</w:t>
        </w:r>
      </w:hyperlink>
      <w:r>
        <w:rPr>
          <w:rFonts w:ascii="arial" w:eastAsia="arial" w:hAnsi="arial" w:cs="arial"/>
          <w:color w:val="000000"/>
          <w:sz w:val="20"/>
          <w:lang w:val="en-US" w:eastAsia="en-US" w:bidi="ar-SA"/>
        </w:rPr>
        <w:t xml:space="preserve"> (BCCA), </w:t>
      </w:r>
      <w:hyperlink r:id="rId639" w:history="1">
        <w:r>
          <w:rPr>
            <w:rFonts w:ascii="arial" w:eastAsia="arial" w:hAnsi="arial" w:cs="arial"/>
            <w:i/>
            <w:color w:val="0077CC"/>
            <w:sz w:val="20"/>
            <w:u w:val="single"/>
            <w:shd w:val="clear" w:color="auto" w:fill="FFFFFF"/>
            <w:lang w:val="en-US" w:eastAsia="en-US" w:bidi="ar-SA"/>
          </w:rPr>
          <w:t>66 B.C.L.R. (2d) 58</w:t>
        </w:r>
      </w:hyperlink>
      <w:r>
        <w:rPr>
          <w:rFonts w:ascii="arial" w:eastAsia="arial" w:hAnsi="arial" w:cs="arial"/>
          <w:color w:val="000000"/>
          <w:sz w:val="20"/>
          <w:lang w:val="en-US" w:eastAsia="en-US" w:bidi="ar-SA"/>
        </w:rPr>
        <w:t xml:space="preserve"> (C/A/), </w:t>
      </w:r>
      <w:hyperlink r:id="rId639" w:history="1">
        <w:r>
          <w:rPr>
            <w:rFonts w:ascii="arial" w:eastAsia="arial" w:hAnsi="arial" w:cs="arial"/>
            <w:i/>
            <w:color w:val="0077CC"/>
            <w:sz w:val="20"/>
            <w:u w:val="single"/>
            <w:shd w:val="clear" w:color="auto" w:fill="FFFFFF"/>
            <w:lang w:val="en-US" w:eastAsia="en-US" w:bidi="ar-SA"/>
          </w:rPr>
          <w:t>[1992] 4 W.W.R. 160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Had the plaintiffs exercised due diligence when they first learned of the facts in the 1998 GeoNorth Report, they could have discovered the information that they subsequently stumbled upon in 2009 following discussions with Mr. Freeman.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Knowing those facts and having taken the appropriate advice, a reasonable person would regard those facts as showing a cause of action against the defendant, for permitting the plaintiffs' houses to be built too close to the crest of the slope and the resulting loss or damage suffered by the plaintiffs, including the cost of having to move their houses. The evidence before me suggests that the interests and circumstances of the plaintiffs in 1998 were such that they ought to have been able to bring an action against the defendant. While the affidavit materials refer to efforts by the plaintiffs to secure provincial emergency funding to assist in moving their homes and the involvement of the defendant in securing such funding, I have concluded that the plaintiffs had the practical ability to bring an action against the defendant and there was no serious, substantial or compelling reason to prevent commencement of the action within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my view, time began to run against the plaintiffs with respect to this action against the defendant in the summer of 1998. Accordingly, the limitation period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expired in the summer of 2004, almost five years prior to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286 of the Local Government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defendant also seeks an order dismissing the plaintiffs' claims on the grounds that the plaintiffs failed to comply with the provisions of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Section 286 provides that:</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in no case liable for damages unless notice in writing setting out the time, place and manner in which the damage has been sustained, is delivered to the municipality within 2 months from the date on which the damage was sustained.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give the notice or its insufficiency is not a bar to the maintenance of an action is the court before whom it is tried, or, in the case of an appeal, the Court of Appeal, believes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reasonable excuse, and</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plaintiffs admit that they did not provide notice of their claims to the defendant pursuant to s. 286. They rely on the provisions of subsection (3) and submit that the plaintiffs have a reasonable excuse and the defendant has not been prejudiced in its defence. The plaintiffs submit that they required the defendant's cooperation and assistance to obtain financial assistance from the provincial government program in order to install rip rap along the empty lot. The plaintiffs concluded that if they gave notice to the defendant in accordance with s. 286, the defendant would withdraw its cooperation and assistance, which would jeopardize the funding and ultimately place their homes at further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plaintiffs also submit that the defendant suffered no prejudice as a result of the plaintiffs' failure to give notice. They point to the fact that the defendant was involved throughout both erosion events, having staff on hand during the time period when the damage occurred, overseeing the moving of the Lewis/Orlowsky home and the Urquhart home and supervising the installation of rip rap on the empty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Plaintiffs' counsel referred me to the decision of the BC Court of Appeal in </w:t>
      </w:r>
      <w:r>
        <w:rPr>
          <w:rFonts w:ascii="arial" w:eastAsia="arial" w:hAnsi="arial" w:cs="arial"/>
          <w:i/>
          <w:color w:val="000000"/>
          <w:sz w:val="20"/>
          <w:lang w:val="en-US" w:eastAsia="en-US" w:bidi="ar-SA"/>
        </w:rPr>
        <w:t>Thauli v. Delta (Municipality)</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2009 BCCA 455</w:t>
        </w:r>
      </w:hyperlink>
      <w:r>
        <w:rPr>
          <w:rFonts w:ascii="arial" w:eastAsia="arial" w:hAnsi="arial" w:cs="arial"/>
          <w:color w:val="000000"/>
          <w:sz w:val="20"/>
          <w:lang w:val="en-US" w:eastAsia="en-US" w:bidi="ar-SA"/>
        </w:rPr>
        <w:t>, in which the court considered what constitutes "reasonable excuse". In that case, the court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determination of whether there is a reasonable excuse is contextual. The question is whether it is reasonable that the plaintiff be excused, having regard to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persuaded by the submissions of the plaintiffs that, having regard to all the circumstances, the plaintiffs have shown a reasonable excuse for their failure to give notice pursuant to s.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am also satisfied that the defendant has not been prejudiced in its defence by the plaintiffs' failure. It is clear from the evidence before me that the defendant had actual knowledge of both erosion events and the impact of these events on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 is entitled to the orders sought in paras. 1, 2 and 4 of the notice of application filed March 15, 2015, as follows:</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action is statute-barred pursuant to the provisions of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are dismissed as they have been brought after the expiry of the applicable limitation period; and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entitled to costs pursuant to Rule 14-1, subject to either party wishing to make submissions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I am wrong in concluding that the plaintiffs' action is statute-barred, the evidence before me establishes that the defendant owed the plaintiffs a duty of care and that the defendant breached that duty of care by failing to warn the Lewis/Orlowsky plaintiffs and the Urquhart plaintiffs of the risks of erosion and not issue building permits for construction of their homes without that warning. The evidence clearly establishes on the balance of probabilities that:</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about the 1976 erosion event and was aware of the risk of further erosion having received a warning from the Department of Environment on January 24, 1977;</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passed resolutions restricting use and development of the plaintiffs' properties; and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comply with those resolutions and failed to warn of the risks of significant erosion when it issued building permits for each of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submit that they all suffered loss or damage as a result of the breach of duty of care by the defendant. The Lewis/Orlowsky plaintiffs and the Urquhart plaintiffs deposed that they would not have built their homes at all, had they been warned of the risk of significant erosion at the time that they applied for their building permits. As a result of the breach of duty of care by the defendant, the Lewis/Orlowsky plaintiffs and the Urquhart plaintiffs claim that they have suffered losses, including the costs incurred to move their homes further away from the river bank, the costs to install rip rap on the river bank, the loss of land, river view and privacy and stigma to the properties. The plaintiff, John Ball deposed that he would not have purchased his home from Mr. &amp; Mrs. Johns if he had been warned of the risk of erosion. As a result of the breach of duty of care by the defendant, Mr. Ball claims that he suffered losses, including the cost of installing rip rap, loss of land and stigma to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 submits that the plaintiffs have failed to establish causation. It submits that the receipt and review of the 1998 GeoNorth Report represents a break in the chain of causation because the plaintiffs failed to take any steps to follow the recommendations in the report until after the 2007 erosion event, by which point the costs to move their homes and install rip rap had increased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submits that the plaintiffs' calculation of damages does not flow from the breach of duty owed by the defendant and they are not entitled to claim damages for the cost to move their homes and to install rip rap along the river bank because the 1998 GeoNorth Report recommended either moving the homes or installing rip rap but not both. With respect to the Lewis/Orlowsky property and the Uquhart property, the defendant submits any damages awarded should be limited to the cost to move their respective homes had they followed the recommendations in the 1998 GeoNorth Report immediately. The defendant submits that had these plaintiffs followed those recommendations immediately, the cost to move their homes would have been $42,000 per home, as described in the 1998 GeoNorth Report. With respect to the Ball Property, the defendant submits that this home was not constructed in an "at risk" location and was not required to be moved and therefore, Mr. Ball is not entitled to damages with respect to any breach of duty of care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calculation of damages is somewhat complicated by the fact that during the course of the summary trial, I concluded that the appraisal reports that were prepared with respect to each of the plaintiffs' properties did not comply with the requirements of Rule 11-6(1) and excluded the appraisal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Despite this, the plaintiffs submit that this court can still assess damages, even if it "amounts to guess work". Counsel for the plaintiffs relies on the case of </w:t>
      </w:r>
      <w:r>
        <w:rPr>
          <w:rFonts w:ascii="arial" w:eastAsia="arial" w:hAnsi="arial" w:cs="arial"/>
          <w:i/>
          <w:color w:val="000000"/>
          <w:sz w:val="20"/>
          <w:lang w:val="en-US" w:eastAsia="en-US" w:bidi="ar-SA"/>
        </w:rPr>
        <w:t>Penvidic Contracting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International Nickel Co. of Canada</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[1976] 1 S.C.R. 267</w:t>
        </w:r>
      </w:hyperlink>
      <w:r>
        <w:rPr>
          <w:rFonts w:ascii="arial" w:eastAsia="arial" w:hAnsi="arial" w:cs="arial"/>
          <w:color w:val="000000"/>
          <w:sz w:val="20"/>
          <w:lang w:val="en-US" w:eastAsia="en-US" w:bidi="ar-SA"/>
        </w:rPr>
        <w:t>, as authority for the proposition that where there is clear evidence of breach, the mere fact that are difficulties in proving with certainty that amounts of the losses does not relieve the defendant of the responsibility for paying damages, even if the amount is a matter of estimation.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Relying on that proposition, the plaintiffs submit as follows: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Lewis/Orlowsky plaintiffs, there is evidence that several metres of their property eroded away in 1997 and again in 2007 and the foundation of their home that remained after their home was moved fell into the river as a result of further erosion. There is also evidence that their home has been moved as far away from the river bank as possible and the installation of rip rap is thus necessary to prevent further erosion as the home cannot be moved any further away from the river bank;</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with respect to the Urquhart plaintiffs, there is evidence that metres of their land eroded away in 1997 and again in 2007. Their home has also been moved as far away from the river bank possible and thus the installation of rip rap was necessary to protect their home from being undermined in the future;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John Ball did not have to move his home, he too lost part of his land due to erosion in 1997 and 2007 and installed rip rap to minimize the risk of further erosion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Snell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Farrell</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para. 30, noted that causation need not be determined by scientific precision and it is essentially a practical question of fact best "answered by ordinary common sense rather than abstract metaphysical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With respect to the Lewis/Orlowsky plaintiffs and the Urquhart plaintiffs, I have concluded that "but for" the breach of duty of care by the defendant, they would not have incurred the cost to move their homes further away from the riverbank or the cost to install rip rap along the river bank. I accept their evidence that had the defendant warned them of the risks of significant erosion at the time that they applied for their building permits, they would not have built their homes at all but rather would have found a different property on which to construct their homes. In my view, once the building permits were issued to them by the defendant in breach of its duty of care, and they built their homes on those lots in compliance with the defendant's building regulations, the losses that they subsequently incurred for moving their homes and installing rip rap flowed directly from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do not agree with the defendant's submission that any assessment of damages for the cost of moving their homes should be limited to the amount estimated in the 1998 GeoNorth Report, namely $42,000 per home. I also reject the submission that the Lewis/Orlowsky plaintiffs and the Urquhart plaintiffs should not be entitled to recover damages for the costs they incurred to install rip rap as well as the cost to move their homes because that was the recommendation made in the 1998 GeoNorth Report. Although these plaintiffs did not move their homes until after the 2007 erosion event, it is clear from the evidence that they participated in steps to try to secure funding to enable them to move their houses, as they did not have the financial resources to do so otherwise. Following the 1997 erosion event, the defendant, on behalf of home owners along that stretch of the Nechako River, applied to the provincial government cost sharing fund in three consecutive years but their applications were unsuccessful. It was not until the 2007 erosion event when the situation became more urgent that the province agreed to contribute an amount towards relocation of the Lewis/Orlowsky home and the Urquhart home and the relocations were able to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Despite the fact that the 1998 GeoNorth Report recommended either relocating the homes most at risk or installing rip rap, in the aftermath of the 2007 erosion event, it became clear to the plaintiffs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the defendant that installation of rip rap was necessary to protect the homes at their new locations. Exhibit "N" to the affidavit #1 of K.J. Lewis, is a copy of the Application Form - Flood Protection Program of the Province of British Columbia Emergency Program that was completed by the defendant and submitted on July 30, 2008. In that application, the defendant sought provincial funding for installation of rip rap along the riverbank of Island Park Drive. The attachment in support of the application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with the relocation of two houses, the Urquharts and Lewis/Orlowsky's, the owners continued to watch their property slide into the river. Being at the specific location on the bend of the river, they could see the rest of their property disappearing downstream and their houses at their new locations once again being threatened.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their own cost, the Urquharts and Lewis/Orlowsky's added onto the bank protection project instituted by the neighbours.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Subsequently, the Balls downstream of Freemans and the Wards upstream of Lewis/Orlowsky's have installed some rip rap bank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evidence of the plaintiffs, in my view, establishes that the costs incurred by the Lewis/Orlowsky plaintiffs and the Urquhart plaintiffs to both move their homes in 2007 and install rip rap in 2008 flowed directly from the defendant's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With respect to the Lewis/Orlowsky damages, I would have allowed the following:</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Net cost of moving their home $ 57,513.49</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Rip rap costs $ 59.163.33</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associated with house move etc. $ 13,440.00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$130,116.82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would not have awarded damages for loss of part of their land and loss of river view and privacy because I am not satisfied that the Lewis/Orlowsky plaintiffs have established that the defendant's breach of duty of care caused those losses. It is arguable that they would have incurred those losses in any event simply by virtue of their ownership of the land, rather than as a direct result of the defendant's breach of duty. With respect to the claim for damages for stigma to property, while it is reasonable to infer that there has been a decrease in value of the property as a result of the 1997 erosion event and the 2007 erosion event as well as the risk of future erosion, there is insufficient evidence before me to calculate damages for any such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With respect to the Urquhart damages, I would have allowed the following:</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Net cost of moving their home $ 66,464.51</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Rip rap costs $ 61,052.82</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Urquhart's labour $ 3,760.00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$131,277.33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would not have awarded damages for loss of part of their land and loss of river view and privacy because I am not satisfied that the Urquhart plaintiffs have established that the defendant's breach of duty of care caused those losses. As with the Lewis/Orlowsky plaintiffs, it is arguable that they would have incurred those losses in any event simply by virtue of their ownership of the land, rather than as a direct result of the defendant's breach of duty. With respect to the claim for loss of garage/reduced appearance and damages for stigma to property, while it is reasonable to infer that there has been a decrease in value of the property as a result of the 1997 erosion event and the 2007 erosion event as well as the risk of future erosion, there is insufficient evidence before me to calculate damages for any such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situation of the plaintiff, John Ball is slightly different from that of the other four plaintiffs. Mr. Ball did not apply for and obtain a building permit from the defendant. The previous owner, Henry Johns, applied for and obtained the building permit and Mr. Ball purchased the home from Mr. and Mrs. Johns in May 1994. For the reasons I have already noted, I have inferred that the defendant breached its duty of care by failing to warn Mr. Johns of the risks of significant erosion when it issued him a building permit. As the defendant noted in its submission, successive purchasers or property are attributed the knowledge or means of knowledge of a predecessor in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Unlike the other four plaintiffs, Mr. Ball's home was not constructed on an "at risk" location and did not require relocation as a result of either the 1997 erosion event or the 2007 erosion event. The 1998 GeoNorth Report did, however, identify the Ball Property as one of five houses which would be undermined within 50 years at current erosion rates. The defendant submits that neither the 1998 GeoNorth Report nor the 2007 GeoNorth report recommend the installation of rip rap at the Ball Property and any losses incurred by Mr. Ball in the installation of rip rap are not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2007 GeoNorth report details the author's observations of erosion at each of his site visits on July 3 and August 20, 2007 and specifically that by the second site visit, significant erosion of the bank had occurred, with a loss of between 6 metres and 9 metres of bank width adjacent to the Ball Property. The report author notes on page 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time of the second review, the high bank had eroded to about two-thirds the height of the crest. I expect the final slope erosion back of the crest, by ravelling of sand and gravel in the lower portions of the slope followed by collapse of the upper silt, to reflect the lateral erosion that occurred at river level this year. This will cause the collapse of a treed strip between 9m and 13m width at the tip of the high bank and all of the slope between the crest and river's edge over the next few months to few years. </w:t>
      </w:r>
      <w:r>
        <w:rPr>
          <w:rFonts w:ascii="arial" w:eastAsia="arial" w:hAnsi="arial" w:cs="arial"/>
          <w:color w:val="000000"/>
          <w:sz w:val="20"/>
          <w:u w:val="single"/>
          <w:lang w:val="en-US" w:eastAsia="en-US" w:bidi="ar-SA"/>
        </w:rPr>
        <w:t>If the bank is not stabilized</w:t>
      </w:r>
      <w:r>
        <w:rPr>
          <w:rFonts w:ascii="arial" w:eastAsia="arial" w:hAnsi="arial" w:cs="arial"/>
          <w:color w:val="000000"/>
          <w:sz w:val="20"/>
          <w:lang w:val="en-US" w:eastAsia="en-US" w:bidi="ar-SA"/>
        </w:rPr>
        <w:t>, the ravelled material will be removed by Nechako River, including all of the benefits of the partially vegetated slope presently remaining.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clear from both the 1998 GeoNorth Report and the 2007 GeoNorth Report that Mr. Ball's home, while not in imminent danger, remained at risk and would be undermined within 50 years and bank stabilization through installation of rip rap was necessary to prevent further significant erosion of the bank that might otherwise shorten the time to such undermining. In my view, the costs incurred by Mr. Ball to install rip rap on the river bank below his property are losses that he would not otherwise have incurred but for the breach of duty of care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 would also have allowed a claim for loss of land. Mr. Ball deposed that he would not have bought his property had he been warned about the risk of significant erosion and therefore, he would not have incurred this loss except for the defendant's breach of duty of care. Although there is no expert evidence before me with respect to the value of the land lost due to erosion, on the basis of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I am satisfied that the sum of $10,000 represents a reasonable estimate of damages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With respect to the Ball damages, I would have allowed the following:</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Rip rap costs $111,225.67</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associated with rip rap (at $10 per hour) $ 1,800.00</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land $ 10,000.00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$123,025.67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For the reasons that I have already noted, I would not have allowed the claim for damages for stigma to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 is entitled to the orders sought in paras. 1, 2 and 4 of the notice of application filed March 15, 2015, as follows: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action is statute-barred pursuant to the provisions of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are dismissed as they have been brought after the expiry of the applicable limitation period; and</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entitled to costs pursuant to Rule 14-1, subject to either party wishing to make submissions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M.H. CHURCH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L.R. v. British Columbia, [2003] B.C.J. No. 313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16 - 19,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C980463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B.C.L.R. (4th) 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306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L.R., J.P., S.R., J.S. and M.M.,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8" w:name="Keywords_28"/>
      <w:bookmarkEnd w:id="198"/>
      <w:r>
        <w:rPr>
          <w:rFonts w:ascii="arial" w:eastAsia="arial" w:hAnsi="arial" w:cs="arial"/>
          <w:b/>
          <w:color w:val="000000"/>
          <w:sz w:val="20"/>
          <w:lang w:val="en-US" w:eastAsia="en-US" w:bidi="ar-SA"/>
        </w:rPr>
        <w:t>Practice — Persons who can sue or be sued — Individuals and corporations, status or standing — Class or representative actions, for damages — Class actions, certification, considerations — Estoppel — Estoppel in pais (by conduct) — Against Crown — Representation, by statement — Representations which do not found estoppel — Crown — Crown privilege or prerogative — Parliamentary privilege of provincial legislature.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9" w:name="Case Summary_28"/>
            <w:bookmarkEnd w:id="1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BC to decertify LR's class action. LR applied to estop BC from denying sexual abuse at a provincially-run school and alternatively for admission of special counsel's report. BC's special counsel heard confidential and untested evidence of events at a provincial school, did not identify specific complainants, events or accused, and concluded there was no basis for a class action or a single broad finding of fault. The special counsel determined that a compensation scheme was preferable to individual court proceedings. Based on the report, the attorney general produced a video presentation of his statement in the legislature acknowledging sexual abuse at the school. The video was played outside the legislature. The Supreme Court of Canada stated that it was a "given" that sexual abuse occurred. LR commenced a class action and obtained certification of a common issue of whether at a systemic level BC negligently failed to prevent abuse. Individual files showed frequent and continued references to sexual activity. LR argued individual files and class members' statements were required to be admitted to show BC's pattern of systemic lack of response to troubling reports. BC argued the files and statements were individual not systemic and were beyond the common issue. LR argued BC was estopped from denying that sexual assault occurred given the statements of the Supreme Court of Canada and the attorney general's video shown outside the legislature and without parliamentary privilege. It further argued the special counsel's report was admissible to prove sexual assault occurred.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0" w:name="Holdings of Court_21"/>
            <w:bookmarkEnd w:id="200"/>
            <w:r>
              <w:rPr>
                <w:rFonts w:ascii="arial" w:eastAsia="arial" w:hAnsi="arial" w:cs="arial"/>
                <w:color w:val="000000"/>
                <w:sz w:val="20"/>
                <w:lang w:val="en-US" w:eastAsia="en-US" w:bidi="ar-SA"/>
              </w:rPr>
              <w:t>HELD: BC's application for decertification allowed in part; LR's application disallowed.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attorney general's statement was outside of parliamentary privilege it did not form a basis for estoppel since it was based on the special counsel's report which denied any basis for a class action or a single broad finding of fault. LR was unrealistic in alleging BC assumed legal liability rather than only political responsibility by the attorney general's statements. The Supreme Court of Canada could not find facts and its statements applied only to the matter before it. The special counsel's report was inadmissible for the purpose of establishing the truth of its contents since it did not purport to make any findings of specific factual situations. To avoid dividing up the class or the trial degenerating into mini-trials of individual incidents, the common issues were amended to exclude individual events and to focus on systemic questions of staff-student communications, staff-student ratios, incident-reporting procedures, housing standards, and management and procedural responses to reports and investigations.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1" w:name="Legislation Cited_24"/>
      <w:bookmarkEnd w:id="2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1"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298" w:history="1">
        <w:r>
          <w:rPr>
            <w:rFonts w:ascii="arial" w:eastAsia="arial" w:hAnsi="arial" w:cs="arial"/>
            <w:i/>
            <w:color w:val="0077CC"/>
            <w:sz w:val="20"/>
            <w:u w:val="single"/>
            <w:shd w:val="clear" w:color="auto" w:fill="FFFFFF"/>
            <w:lang w:val="en-US" w:eastAsia="en-US" w:bidi="ar-SA"/>
          </w:rPr>
          <w:t>R.S.B.C. 1996, c. 50, ss. 1</w:t>
        </w:r>
      </w:hyperlink>
      <w:r>
        <w:rPr>
          <w:rFonts w:ascii="arial" w:eastAsia="arial" w:hAnsi="arial" w:cs="arial"/>
          <w:color w:val="000000"/>
          <w:sz w:val="20"/>
          <w:lang w:val="en-US" w:eastAsia="en-US" w:bidi="ar-SA"/>
        </w:rPr>
        <w:t>, 1(a), 1(b), 1(c), 1(d), 1(e), 1(e)(i), 1(e)(ii), 1(e)(iii), 2(a), 2(b), 2(c), 2(d), 2(e), 4(2), 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2" w:name="Counsel_28"/>
      <w:bookmarkEnd w:id="2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2"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P.G. Guy and A. Sheane, for the plaintiffs. D.C. Prowse and J.M. Sullivan,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3" w:name="Judgment_29"/>
      <w:bookmarkEnd w:id="203"/>
      <w:r>
        <w:pict>
          <v:line id="_x0000_s1173" style="position:absolute;z-index:2518405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March 6, 2003.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4" w:name="HUMPHRIES J."/>
            <w:bookmarkEnd w:id="204"/>
            <w:r>
              <w:rPr>
                <w:rFonts w:ascii="arial" w:eastAsia="arial" w:hAnsi="arial" w:cs="arial"/>
                <w:b/>
                <w:color w:val="000000"/>
                <w:sz w:val="30"/>
                <w:lang w:val="en-US" w:eastAsia="en-US" w:bidi="ar-SA"/>
              </w:rPr>
              <w:t>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for sexual abuse brought by former students of Jericho Hill School for the deaf, covering the period of the school's operation from 1950 to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26, 1999, the British Columbia Court of Appeal, on appeal from a refusal of a judge of this court to certify this action as a class proceeding, allowed the appeal in part. The court defined the class as "Students at Jericho Hill School between 1950 and 1992 who reside in British Columbia and claim to have suffered injury, loss or damages as a result of misconduct of a sexual nature occurring at the school," and defined the common issues as follows: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or in breach of fiduciary duty in failing to take reasonable measures in the operation or management of the school to protect students from misconduct of a sexual nature by employees, agents or other students at the school?</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1 is "yes", was the defendant guilty of conduct that justifies an award of punitive damages?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2 is "yes", what amount of punitive damages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L.R. et al. v. The Queen in Right of British Columbia </w:t>
      </w:r>
      <w:hyperlink r:id="rId315" w:history="1">
        <w:r>
          <w:rPr>
            <w:rFonts w:ascii="arial" w:eastAsia="arial" w:hAnsi="arial" w:cs="arial"/>
            <w:i/>
            <w:color w:val="0077CC"/>
            <w:sz w:val="20"/>
            <w:u w:val="single"/>
            <w:shd w:val="clear" w:color="auto" w:fill="FFFFFF"/>
            <w:lang w:val="en-US" w:eastAsia="en-US" w:bidi="ar-SA"/>
          </w:rPr>
          <w:t>(1999), 180 D.L.R. (4th) 639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had sought certification of a number of causes of action for a wide class of people, including family members and victims of secondary abuse. In formulating the common issue as it did, the Court of Appeal narrowed the focus to a consideration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sexual misconduct against students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June 13, 2001, the Supreme Court of Canada upheld the decision of the British Columbia Court of Appeal certifying the class action. (See The Queen in Right of British Columbia v. Rumley et al., </w:t>
      </w:r>
      <w:hyperlink r:id="rId308"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now apply under section 10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Act") to decertify this proceeding as a class proceeding. They assert that, after two years of case management, it is clear that the common issue trial proposed by class counsel has little relationship to that which was certified by the Court of Appeal and the Supreme Court of Canada. They contend that class counsel is attempting to ensure that individual issues are tried and findings of fact concerning those issues are made in the common issues trial. Therefore, the defendant submits, the trial is unworkable and a class proceeding is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oppose this motion, and have brought their own motion for an order that the defendants are estopped from denying that:</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abuse of students took place over many years, beginning in the 1950's at Jericho Hill School;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victims were young and vulnerable and bore no responsibility for what happened to them and had no control over these events; and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province was responsible for the care and well-being of the students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estoppel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Alternatively, or in addition, the plaintiffs seek the admission into evidence at the trial of this matter, for the truth of their contents: a) the report of the Ombudsman entitled "Public Report No. 32 Abuse of Deaf Students at Jericho Hill School" dated November 1993 ("the Ombudsman's Report"), and b) the "Report of Special Counsel regarding Claims Arising out of Sexual Abuse at Jericho Hill School" by Thomas R. Berger, Q.C., dated March 1995 ("the Berger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convenient to consider the two motions together because the issues in the plaintiffs' motion are potentially bound up in the underlying assumptions upon which certification was granted. From a reading of the decision of the Supreme Court of Canada on the certification issue, it is arguable that that court was under the impression that the fact of widespread abuse was admitted by the Province, or at least was not in dispute for purposes of the litigation. Counsel for the plaintiffs contend that the Supreme Court of Canada found as a fact, at paragraph 36 of their reasons, that: "There is no dispute that abuse occurred at the school;" and that that was "a given" upon which the entire certification proceeding was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that is not the case, as the Province submits has been clearly evident throughout the proceedings, then it may affect the analysis of whether it is appropriate to decertify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PROVINCE ESTOPPED FROM DENYING IN THIS ACTION THAT WIDESPREAD SEXUAL ABUSE TOOK PLACE AT THE SCHOOL FROM 1950 - 1992?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seek the admissions set out in paragraph 6 above. Their claim of estoppel is based upon the Ministerial Statement given in 1995 in the legislature by then Attorney General Colin Gabelmann following the Berger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that statement, the Attorney General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10, 1993, the Minister of Education announced in this House actions that our government was taking to address a grievous injustice in British Columbia's history. The injustice I refer to is the sexual abuse that took place over many years beginning in the 1950s, at Jericho Hill School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then acknowledged the Berger Report and the 1993 Ombudsman's Report,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events described in Mr. Berger's report and elsewhere should never have occurred. There is no excuse or justification for what happened. The victims bear no responsibility for events over which they had no control. We regret that they were exposed to these terrible experiences; we regret this especially because they were young and vulnerable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Government acknowledges its responsibility to ensure the care and well-being of children in its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this statement, the government set up a compensation scheme (the Jericho Hill Compensation Program - "JICP") in which over $12 million was paid out to former students who asserted their claims to the JICP panel in a non-confrontational, confidential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order to publicize the program, the government distributed to members of the deaf community an informational video entitled "Report of Special Counsel Regarding Claims Arising Out of Sexual Abuse at Jericho Hill School." The video begins with a description of the parameters of the Berger Report by Mr. Berger himself, and is followed by a caption - "The Government Response" - with a voice explaining that what follows is excerpts from the Ministerial Statement on the Berger Report. The next few minutes of tape show Attorney General Colin Gabelmann reading his Ministerial Statement, which is interpreted into American Sign Language by a person standing beside him. The video concludes with numbers and addresses for further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argue that not only the speech itself, but the setting up of the compensation program, estops the province from denying the fact that widespread sexual abuse occurred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approach this issue in three ways and I will deal with each in turn. First, they say that the certification process always proceeded on the basis that there had been widespread abuse at the school during its entire history. They say this is supported by the "findings" of the Supreme Court of Canada as set out in their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subject matters underlying this action have been explored fully in other forums - police investigations, interviews by the school psychologist and social workers from the Ministry of Human Resources Child Abuse Team, the Ombudsman's Report, and the Berger Report. The extent of investigation and the consequent available information is what underlies the plaintiffs' insistence that the fact of widespread sexual abuse in the school throughout its operation is "a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this is an action to establish legal liability. In determining whether facts have been admitted in the litigation context it is appropriate to begin with an examination of the pleadings. Paragraph 10 of the statement of claim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L.R. and J.P. bring this action on their own behalf and on behalf of all current and former Jericho Hill School students who have suffered abuse including, but not limited to, physical, sexual, emotional and psychological abuse and/or who failed to receive a proper education while students of the school. The Plaintiffs L.R. and J.P. plead and rely upon the class Proceedings Act. RSBC 1995, c.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statement of claim then goes on to set out the individual claims of the representative plaintiffs, and in paragraph 34, enumerates a lengthy list of duties allegedly owed by the Province to the students at the school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its defence, the Province acknowledges a duty of care comparable to that of a reasonable and prudent parent, but denies that the duty includes the elements listed in paragraph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Nowhere in the statement of claim are facts alleged that would underlie the "estoppel admissions" that are presently sought. That is, there is no general allegation that sexual abuse took place over many years. From the list of enumerated duties in paragraph 34 and from other paragraphs setting out the scope of the alleged duties it is, however, a reasonable inference that the plaintiffs take the position that the duties apply to all the students in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 9 of the statement of defence states that the JICP is the preferable procedure for dealing with sexual abuse claims, and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denies that the Plaintiffs, L.R. and J.P. </w:t>
      </w:r>
      <w:r>
        <w:rPr>
          <w:rFonts w:ascii="arial" w:eastAsia="arial" w:hAnsi="arial" w:cs="arial"/>
          <w:color w:val="000000"/>
          <w:sz w:val="20"/>
          <w:u w:val="single"/>
          <w:lang w:val="en-US" w:eastAsia="en-US" w:bidi="ar-SA"/>
        </w:rPr>
        <w:t>or any other Students</w:t>
      </w:r>
      <w:r>
        <w:rPr>
          <w:rFonts w:ascii="arial" w:eastAsia="arial" w:hAnsi="arial" w:cs="arial"/>
          <w:color w:val="000000"/>
          <w:sz w:val="20"/>
          <w:lang w:val="en-US" w:eastAsia="en-US" w:bidi="ar-SA"/>
        </w:rPr>
        <w:t xml:space="preserve"> were assaulted, physically, sexually, emotionally or otherwise, while attending the School and puts the Plaintiff to the strict proof thereof [emphasis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certification hearing before Kirkpatrick J. of this court, the plaintiffs stated in their submissions, referring to the statement of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Mr. Gabelmann's comments, the Defendant now denies, not just legal liability but also the very conduct investigated by the Ombudsman and Mr. Berger and the very facts for which Mr. Gabelmann accepted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argue that this, together with the fact that the plaintiffs have not pleaded estoppel and have waited five years to raise it, shows that the plaintiffs have never been under a misapprehension as to the defendant's position that there has been, in the context of the litigation, no admission of wide-spread abuse at Jericho Hill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Kirkpatrick J. made no reference to factual concessions in her judgment. The only concession noted by her in the certification process was that the allegations of sexual abuse (as opposed to the allegations in the statement of claim underlying other forms of alleged abuse and neglect) constituted a cause of action for the purposes of section 4(1) of the Act. Mackenzie J.A. in the Court of Appeal also made no specific reference to factual concessions, referring only to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Supreme Court of Canada, however, the reasons for judgment appear to be founded on the understanding that there is no issue that abuse took place throughout the school's history. At paragraph 1, McLachlin C.J.C. refers to students "who were abused." At paragraph 2 she says: "It is now clear that sexual and physical abuse of children took place at the school throughout its history." For this statement, she relies on the Ombudsman's Report and the Berger Report. At paragraph 36, she says: "There is no dispute that abuse occurred at the school." That court has arguably accepted those reports as the factual basis upon which this case is proceeding, notwithstanding the clear denials in the pleadings and throughout the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Of course, the Supreme Court of Canada cannot find facts, and may not even have been purporting to do so in this instance. They may have assumed that their comments would be read with the appropriate qualification "assuming for the purposes of this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it appears that those statements have led to uninformed expectations regarding the litigation process in the plaintiffs' minds and have resulted in repeated submissions by their counsel during the many case conferences we have had, aimed at showing how unprincipled the defendant has been in the conduct of its defence for failing to admit that widespread abuse took place at the school throughout its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it might seem disingenuous of the defendant to deny sexual abuse at the school in light of the Ombudsman and Berger Reports, there are two reasons why their position is reasonable. First, those inquiries involved informal untested anecdotal and confidential accounts of abuse. In the litigation process it would be foolhardy to make admissions based upon them. Second, from the extensive review of the witness statements and student files to which I have been referred, it is difficult to conceive of a general admission of fact that would be helpful as a basis from which to determine the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my view, it is not useful to begin the analysis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assumption that "it is now clear that sexual and physical abuse of children took place at the school throughout its history." That very assertion inappropriately and perhaps erroneously (without having heard the evidence it is too early to tell) informs the analysis of a developing and changing standard of care over 42 years in a way that undermines the potential for conducting this action as a class proceeding. To start from such an all-encompassing assertion necessarily puts the defendant to the task of identifying an unending series of circumstances in order to attempt to answer, refute or admit on a piece-meal basis the facts which underlie that assertion. This renders the proceedings unmanageable because individual complainants are not before the court, the alleged abusers will not be called, and the individual events of sexual misconduct are not in issue, even with regard to the prima facie reliability of the reports concerning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view of all the foregoing, I am of the view that, notwithstanding the comments by the Supreme Court of Canada, the defendant has not made the admissions now sought by the plaintiff and those allegations could not have been found to be facts by that Court within the context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advance a second argument in support of their position that the defendant is compelled to admit that widespread sexual abuse took place at the school over its entire history. They say the defendant is estopped from denying those facts because then Attorney-General Gabelmann asserted them in the legislature, and since portions of his speech were videotaped and shown outside the legislature, no Parliamentary privilege can attach to those statements. The plaintiffs contend that the speech is therefore admissible for the truth of its contents as an admission against the defendant. Since the speech mentioned the Ombudsman and Berger Reports, the plaintiffs argue that those reports are also admissible for the truth of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Leaving aside the issue of whether admissions were made in the statement which would be relevant or probative for the purposes of the common issue, the defendants argue that the statement is subject to the absolute privilege which attaches to Parliamentary proceedings. They also contend that even if the statement is not privileged, the principles which would found an argument in estoppel are not made out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common ground that proceedings in the legislature are subject to an absolute privilege. The plaintiffs say that by incorporating portions of the speech in a video for public release, the defendant has waived that privilege. The defendants say the video does not constitute a repetition of the statement outside the legislative context so as to waive the privilege; rather, they say, it is merely a depiction of the actual statement in the legislature and is therefore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video was produced by the Ministry of the Attorney General and distributed to the deaf community for the express purpose of disseminating information to them about the Berger Report and the proposed compensation program. The statement of Colin Gabelmann was included in the video to show the government response to the Berger Report and to inform the deaf community of what they could expect from the government. In my view, this was a separate dissemination of the information contained in the statement for the specific purpose of informing a section of the public of the government position and is not covered by Parliamentary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the issue still remains whether, having publicized and disseminated the government's position in this way, the defendant is estopped from denying the three points set out in paragraph 5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agree on the elements of promissory estoppel:</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have been an existing legal relationship between the parties at the time the statement on which the estoppel is founded was made.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clear promise or representation made by the party against whom the estoppel is raised, establishing his intent to be bound by what he has said.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have been reliance by the party raising the estoppel upon the statement or conduct of the party against whom the estoppel is raised.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to whom the representation was made must have acted upon it to his detriment.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promisee must have acted equitably.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argue that all conditions are fulfilled in that (a) the defendant has admitted in its statement of defence to owing them a duty of care so a legal relationship exists; (b) the defendant made a clear representation by admitting in the Ministerial Statement that sexual abuse occurred; (c) the plaintiffs relied on that statement and on the creation of the JICP by becoming involved in the JICP and in therapy; (d) the plaintiffs relied on the statements to their detriment by proceeding to litigation and through certification on the basis that sexual abuse was admitted; and (e) the plaintiffs have acted equitably.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argues that the Ministerial Statement reports were never intended to constitute a clear and unequivocal "promise" that certain facts would not be in dispute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difference between the litigation context and the context of the Berger Report, the Ministerial Statement and compensation program which followed the report are clearly set out by Mr. Berger himself beginning at page 22 of his report. I find some of the comments helpful in the present context because Mr. Berger was familiar with all of the general information which concerns this court under the presently formed common issue. With that familiarity, he was clearly of the view that his role was to consider the Province's responsibility in its broadest sense and was in no way concerned with or aimed at binding the Province in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Berger sets out the many hurdles facing a claimant who decides to proceed to court, and reaches the conclusion that a compensation scheme is preferable. In reaching this conclusion, he noted that this is not an appropriate case in which a lawsuit may be brought by one victim on behalf of all the victims, there is no basis for a representative or a class action, and a single, broad-gauge finding of fault cannot apply in every case. He emphasized more than once that liability at law can only be for individual complaints, individually established, and that acceptance of responsibility is not acceptance of legal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respect of both potential lawsuits and lawsuits already under way,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from what I have said that </w:t>
      </w:r>
      <w:r>
        <w:rPr>
          <w:rFonts w:ascii="arial" w:eastAsia="arial" w:hAnsi="arial" w:cs="arial"/>
          <w:color w:val="000000"/>
          <w:sz w:val="20"/>
          <w:u w:val="single"/>
          <w:lang w:val="en-US" w:eastAsia="en-US" w:bidi="ar-SA"/>
        </w:rPr>
        <w:t>it is inappropriate for the Province to make a broad-gauged admission of fault that would apply to any and every claim. The Attorney General can only make admissions where warranted by specific facts</w:t>
      </w:r>
      <w:r>
        <w:rPr>
          <w:rFonts w:ascii="arial" w:eastAsia="arial" w:hAnsi="arial" w:cs="arial"/>
          <w:color w:val="000000"/>
          <w:sz w:val="20"/>
          <w:lang w:val="en-US" w:eastAsia="en-US" w:bidi="ar-SA"/>
        </w:rPr>
        <w:t>. Each action would have to be considered on its merits and the provincial interest weighed. Thus no assurance can be given in advance that such admissions would be made [emphasis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stating that the Crown must uphold the highest standards of a litigant,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does not mean, however, that the Province should not, as it deems appropriate, take all legitimate steps in defence of any claim that is advanced in the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Province is to set up a compensation scheme, it is entitled to make it clear to all complainants that it intends to resist any claim brought in the courts. If this has the result of encouraging complainants to apply for compensation instead of going to court, it is a legitimate policy objective for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Considering these statements, it is simply not realistic for the plaintiffs to take the position that they assumed the defendant would be taken to have made admissions upon which they could rely for purposes of litigation by reason of the Ministerial Statement or the setting up of the JICP, both of which were based upon the Berger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troubled by an affidavit from Brenda Knight filed by the plaintiffs on November 8, 2002 stating that, if the Ministerial Statement is now denied, she predicts: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suicides among some of the victims, a significant increase in depression in victims and families, an increase in alcohol and substance abuse by victims, a risk of vigilante behaviour towards perpetrators and government officials responsible for decisions, a heightened distrust and fear of government and its officials - such as police, an absolute hesitation regarding future disclosures of violence or abuse to police or people in positions of authority, panic that the government funded "Well-Being Program" will be shut down, a lost [sic] of hope to Deaf survivors and the Deaf community at large, and panic that their children will not be safe in government administered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court will not be forced into inappropriate rulings by such assertions. It is the responsibility of plaintiffs' counsel to ensure that their clients understand the concept Mr. Berger tried so carefully to explain - that litigation is entirely separate, distinct and different in character from his inquiry and the recommended compensation/therapy program that followed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For the purposes of this litigation, the defendant is not estopped from denying the three allegations of fact set out in paragraph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third argument advanced by the plaintiff in this context is in the alternative: If the defendant is not estopped from denying the requested admissions, the plaintiffs argue that the Ombudsman and Berger Reports should be admitted for the truth of their contents; then the defendant can attempt to prove otherwise and the court can make whatever findings it chooses.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that regard, I find helpful the comments in Robb v. St. Joseph's Health Care Centre </w:t>
      </w:r>
      <w:hyperlink r:id="rId652" w:history="1">
        <w:r>
          <w:rPr>
            <w:rFonts w:ascii="arial" w:eastAsia="arial" w:hAnsi="arial" w:cs="arial"/>
            <w:i/>
            <w:color w:val="0077CC"/>
            <w:sz w:val="20"/>
            <w:u w:val="single"/>
            <w:shd w:val="clear" w:color="auto" w:fill="FFFFFF"/>
            <w:lang w:val="en-US" w:eastAsia="en-US" w:bidi="ar-SA"/>
          </w:rPr>
          <w:t>(1998), 31 C.P.C. (4th) 99</w:t>
        </w:r>
      </w:hyperlink>
      <w:r>
        <w:rPr>
          <w:rFonts w:ascii="arial" w:eastAsia="arial" w:hAnsi="arial" w:cs="arial"/>
          <w:color w:val="000000"/>
          <w:sz w:val="20"/>
          <w:lang w:val="en-US" w:eastAsia="en-US" w:bidi="ar-SA"/>
        </w:rPr>
        <w:t xml:space="preserve"> (Ont. Gen. Div.), where the plaintiffs sought a ruling that the Report of the Royal Commission of Inquiry into the Blood System (the "Krever Report") be admitted at trial for proof of the facts found in it. MacDonald J. stated at paragraph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Commissioner Krever relied on evidence which may be inadmissible in a civil trial to come to his conclusions, the defendants would be prejudiced by the introduction of such evidence. If the report were admitted, the defendants would be unable to have the opportunity to test the evidentiary findings which are contained in the report. They could not cross examine the report. They cannot know the evidence upon which the particular findings contained in the report are based. This was never a purpose for which the Krever Commission was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And further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admit the Krever Report as evidence in this trial would have the effect of converting a commission of inquiry into something that it was never intended to be. A commission of inquiry is a means by which the executive branch of government can be informed on a particular issue. A commission of inquiry cannot have the collateral purpose of providing evidence in civil proceedings. If I were to so find, parties in future civil proceedings could attempt to make use of the findings of a commission of inquiry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That reasoning is even more applicable here, where the evidence given at the two inquiries was confidential and untested. The Ombudsman and Berger Reports do not purport to make findings in the usual sense; they do not focus on any particular factual situation, set of circumstances, or specific time periods. In fact, both the Ombudsman and Mr. Berger took pains to ensure that no specific complainant, event or accused could be identified. Both reports contain broad and vague statements as to events at the school, qualifications on those statements, general conclusions, opinions and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Taken with the statements I have referred to above within the Berger Report itself, it is clear that there is no basis upon which to admit the contents of the two reports for the truth of their contents. Further, given the contents, it is difficult to imagine what probative value the reports could have for the purposes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reports and the Ministerial Statement are not admissible for the truth of of their contents. If there is some other reason to tender them at trial, I will hear argument at the appropriate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contends that the case as presently conceived and conducted by the plaintiffs is not the proceeding certified by the Court of Appeal in that it is irredeemably individual and is not manageable as a class proceeding. It should therefore be decertified pursuant to s. 10 of the Act,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limiting section 8(3), at any time after a certification order is made under this Part, the court may amend the certification order, decertify the proceeding or make any other order it considers appropriate if it appears to the court that the conditions mentioned in section 4 or 6(1) are not satisfied with respect to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Section 6(1) refers to the creation of sub-classes. Section 4(1) of the Act provides:</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9"/>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Section 4(2) requires the court to determine whether a class proceeding would be the preferable procedure for the fair and efficient resolution of common issues. In making that determination, the court must consider all relevant matters, including:</w:t>
      </w:r>
      <w:r>
        <w:rPr>
          <w:rFonts w:ascii="arial" w:eastAsia="arial" w:hAnsi="arial" w:cs="arial"/>
          <w:sz w:val="20"/>
          <w:lang w:val="en-US" w:eastAsia="en-US" w:bidi="ar-SA"/>
        </w:rPr>
        <w:cr/>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proceedings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his reasons allowing certification of the common issue, Mackenzie J.A. stated that while the existence of a duty of care to protect students from abuse is not controversial, there are issues surrounding the standard of care. In that context, he noted at paragraph 19 that the plaintiffs had chosen to restrict their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purposes of the class proceedings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namely "the failure to have in place management and operations procedures that would reasonably have prevented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abuse" [emphasis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would be preferable if he had left out the word "the", as it is only with that word omitted that these proceedings move from the particular to the general in such a way that a common issue can exist. His statements in the preceding paragraph do not contain the word "the." In other words, if this class proceeding is founded on abuse that is assumed to have taken place at Jericho Hill School, then it is, in my view, irredeemably individual in nature and unsuitable for certification because of the problems identified in paragraph 30 above. It is only if standards of care are looked at in a general way to see if they meet the prevailing standards or a reasonable standard, and if not, whether such a failure is negligent, that there can exist the potential for a manageable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Of course, the proceeding is still fraught with the problems recognized by the Court of Appeal: the standard of care may vary over 42 years, depending on a wide variety of factors; the prevailing standard of the day might be breached for some years and not for others; and the standards may differ depending on the type of abuse alleged and by whom it was inflicted. I add to that list the further difficulty of the changes in standards of care that might be required by the receipt of complaints whose validity can not be determined in this proceeding. I am of the view that variations in standard of care for specific situations involving particular students arising out of this latter point can only be dealt with in the context of the causation inquiry in the individual actions. Otherwise, the analysis will become so fragmented as to be useless for the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question then remains whether any general finding that can be made in such a class proceeding can be of any assistance to the members of the plaintiff class who must then prove on an individual basis that they suffered damage and that the systemic breach was an effective cause of their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some point, the complexity, variety and number of findings required for a useful determination of the common issue over 42 years must give way to the acknowledgement that each set of circumstances in this case is so individual that a class proceeding simply may not be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difficulty is that all of this must have been known by the Court of Appeal when they decided it was possible to certify a common issue. They had the Berger and Ombudsman Reports before them. They knew there were hundreds of members in the plaintiff class and that many complaints were being submitted to the JICP. They must have known that an assertion of sexual misconduct and the circumstances surrounding the event are as individual as the persons involved. Nevertheless, that court decided that it was possible to certify a common issue based on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There have been numerous conflicts between the parties over evidentiary and disclosure issues which illustrate the difficulty in considering the larger common issue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separately from individual allegations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Part of the problem is that plaintiffs' counsel, with the greatest of respect, have not appeared to have had a consistent vision as to how the case should be conducted in order to address the common issues rather than the individual issues. For instance, there has been considerable emphasis over the past two years on the production of individual student files and the necessity of calling as witnesses numerous members of the plaintiff class in order to testify about observations and experiences over the course of the school's operations. "Will say" statements have been produced for these potential witnesses and I have ordered limited discovery of them (see </w:t>
      </w:r>
      <w:hyperlink r:id="rId653" w:history="1">
        <w:r>
          <w:rPr>
            <w:rFonts w:ascii="arial" w:eastAsia="arial" w:hAnsi="arial" w:cs="arial"/>
            <w:i/>
            <w:color w:val="0077CC"/>
            <w:sz w:val="20"/>
            <w:u w:val="single"/>
            <w:shd w:val="clear" w:color="auto" w:fill="FFFFFF"/>
            <w:lang w:val="en-US" w:eastAsia="en-US" w:bidi="ar-SA"/>
          </w:rPr>
          <w:t>[2002] B.C.J. No. 2695</w:t>
        </w:r>
      </w:hyperlink>
      <w:r>
        <w:rPr>
          <w:rFonts w:ascii="arial" w:eastAsia="arial" w:hAnsi="arial" w:cs="arial"/>
          <w:color w:val="000000"/>
          <w:sz w:val="20"/>
          <w:lang w:val="en-US" w:eastAsia="en-US" w:bidi="ar-SA"/>
        </w:rPr>
        <w:t>). The defendant has always taken the position that the individual files are not relevant to the common issue. It is the insistence by plaintiffs' counsel on the relevance of the files and testimony of individual members of the plaintiff class that has led to this motion to decertify.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During argument on the present motions, Ms. Sheane for the plaintiffs was prepared to concede that the wide admissions sought in the "estoppel admissions" and the notices to admit, while apparently desirable so that a wide factual basis would not have to be proven through the files and witnesses, were not in fact necessary for their case, though she was of the view it would give the plaintiffs' position "a boost."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During argument on the motion to decertify, the plaintiffs contended that the student files are necessary in this proceeding because they will show a continuing pattern of lack of supervision over 42 years that is relevant to the common issue, in that possession of reports of troublesome incidents must fix the defendant with knowledge of them and of ongoing problems described in them or inferred from them. The defendant takes the position that any evidence of individual complaints must be irrelevant for purposes of the common issue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both parties spent considerable time taking me through large volumes of excerpts from student files, the defendant to show that the type of evidence the plaintiffs seek to have admitted is individual and not systemic, and the plaintiffs to show that a pattern emerges from the files which is valuable to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one set of approximately 40 files which comprise about 600 pages, and which were not selectively screened by plaintiffs' counsel, there are perhaps 13 reports that might be taken to be references to sexual abuse, though two were later noted to be false reports. In the second set of about 60 files, which counsel for the plaintiffs had sifted through to extract the documents they feel show knowledge of a continued pattern of sexual abuse on the part of the defendant, there are continued references to general discipline problems and failure and/or inability to properly supervise, and many references to sexual activity. Most are undefined reports of "activity" or "interest" or "displays of affection" between students, and the use of "dirty" signs, but there are also several references to kissing and hugging, group masturbation and intercourse, again all between students. A couple of students appear to have been particularly troublesome.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say the pattern of reports over many years which emerges from all of the files is relevant and would not be available in individual actions, thus showing that a class proceeding is preferable. The issue of how these documents would actually become evidence at trial and for what purpose was not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have also served at least two Notices to Admit under Rule 31. The admissions sought by the plaintiffs in November of 2001 are 53 paragraphs long, and are, in essence, a request to admit the substance of the Ombudsman and Berger Reports, including the conclusions regarding specific sets of circumstances. The second Notice to Admit sent in December 2001 is 42 paragraphs long, one paragraph for each year: "There is no dispute that abuse occurred at Jericho Hill School 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insistence by the plaintiffs on this broad factual base, to be proved either through admissions or through calling evidence, has been troublesome for me as the trial judge in trying to come to grips with the type of proceeding contemplated by the Court of Appeal and the Supreme Court of Canada. I have outlined those problems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I have set out above, to make the broad admissions sought in the second notice to admit, aside from not being necessarily accurate for every year, provides no helpful basis from which to assess an allegation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other than through a general "res ipsa loquitur" type of analysis. The place for that was in the Berger inquiry and the subsequent JICP.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To make the more specific, but still vague, admissions sought in the first notice to admit inevitably brings the action down from the analysis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an assessment of individual circumstances and the consequent consideration of specific complaints and reactions to them, for the reasons outlined in paragraph 30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All the evidentiary and disclosure issues illustrate the difficulty the plaintiffs have in keeping the issues focused on the alleged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the individual issues of alleged abuse. The argument now advanced by the defendant in favour of decertification, that is, that plaintiffs' counsel are attempting to make this trial into something different from the class proceeding contemplated by the Court of Appeal, in my view, can be handled by aggressive case management, if I can come to terms with the type of proceeding envisioned by the Court of Appeal when the issues were certified. I have already restricted the discovery questions of the individual plaintiffs and have indicated that I will likely restrict their evidence in chief at trial so that only evidence respecting reports of alleged abuse are relevant at this stage. I am prepared to make even more restrictive orders if it means that some sort of common issue can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more difficult and sensitive issue for me is, knowing what I now know about this case after two years of case management, is it possible to conduct any trial at all on a common issue that will be of any benefit to the individual plaintiffs when they come to present their claims? The Court of Appeal emphasized several times that the certification was being made on limited grounds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they characterized at paragraph 19 of their judgment as "the failure to have in place management and operations </w:t>
      </w:r>
      <w:r>
        <w:rPr>
          <w:rFonts w:ascii="arial" w:eastAsia="arial" w:hAnsi="arial" w:cs="arial"/>
          <w:color w:val="000000"/>
          <w:sz w:val="20"/>
          <w:u w:val="single"/>
          <w:lang w:val="en-US" w:eastAsia="en-US" w:bidi="ar-SA"/>
        </w:rPr>
        <w:t>procedures</w:t>
      </w:r>
      <w:r>
        <w:rPr>
          <w:rFonts w:ascii="arial" w:eastAsia="arial" w:hAnsi="arial" w:cs="arial"/>
          <w:color w:val="000000"/>
          <w:sz w:val="20"/>
          <w:lang w:val="en-US" w:eastAsia="en-US" w:bidi="ar-SA"/>
        </w:rPr>
        <w:t xml:space="preserve"> that would reasonably have prevented the abuse [emphasis mine]." The Supreme Court of Canada acknowledged that limiting the common issue to one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well make the individual component of the proceedings more difficult. However, they adopted the Court of Appeal's statement that the respondent plaintiffs were entitled to restrict the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make the case more amenable to class proceedings if they choose.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Part of the problem is that the time period contained within the certified common issue (1950-1992) is so wide. The Supreme Court of Canada, when considering the difficulties inherent in assessing a changing standard of care (which they found to be "not infeasible" and "not insurmountable") at paragraph 32 of their judgment, referred only to the period between 1982 and 1991. The Ombudsman's Report as well deals only with the period from 1982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 to Mr. Berger, the majority of claims arise out of the period from 1978-1987. It is clear that he also had difficulty formulating a common concern for the early years in anything other than the broadest of terms - that the children were vulnerable because they were deaf and so they should not be excluded from the JICP if they could establish their claims according to the parameters of that body. (The test used was "reasonable likelihood", described as more than a mere possibility, less than a balance of probabilities, with the claimant receiving the benefit of the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Berger had the same difficulty for the period 1987-1992 but noted that the few claims in that period were all based on alleged abuse that began in the 1978-1987 period. Basically, Mr. Berger felt there should be consistency of treatment in the compensation scheme or any cut-off date would appear arbitrary to the deaf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period from 1950-1977 is particularly troublesome in the context of a class proceeding. There were three dorms prior to 1978: one for younger students, one for older girls, one for older boys. Each would have to be looked at for its level of supervision, which may differ for age and gender, and will almost certainly vary over time and with individual circumstances. As I understand the claims for this period, most will allege abuse of students by certain staff members and the circumstances giving rise to a claim against the school will be inescapably individual. The issues which are of common application for that period are so general that findings based on them may have little usefulness for those individual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Nevertheless, there are questions relating to procedures which are arguably relevant to all the claims, including the earlier period. The Court of Appeal emphasized that the allegation underlying the common issue is that the defendant failed to have operations and management procedures in place which would make the school premises reasonably safe from sexual abuse for students from either staff or students. This allegation involves the examination of standards of general application to prevent prohibited activity. Mackenzie J.A. suggested that issues relating to policy and administration of the school, qualification and training of staff, and dormitory conditions are likely to have common elements. He also referred to the overall history and evolution of the school as relevant to the claims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Working from that, and from a consideration of the portions of the statement of claim that are relevant to the common issue as presently certified, as well as all the information that has been put before me at the numerous Case Management Conferences, I am of the view that the following questions have general relevance:</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operation of the school, were there management and operations procedures in place to ensure that staff could communicate through signing or other means with students? Were these procedures adequate/reasonable/in accord with existing standards?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procedures/training were in place for staff respecting recognition/discovery/prevention/reporting or otherwise dealing with sexual misconduct? Were they adequate/reasonable/in accord with existing standards?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procedures/training were in place for students respecting recognition/discovery/prevention/reporting/ or otherwise dealing with sexual misconduct? Were they adequate/reasonable/in accord with existing standards?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staff to student ratio for supervision in areas of the school apart from the dormitory/ies? Was it adequate/reasonable/in accord with existing standards? Were there procedures establishing a method of supervision for other areas of the school? If so, were these procedures adequate/reasonable/in accord with existing standards?</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staff to student ratio for supervision in the dormitories prior to 1978? Was it sufficient to provide for a level of supervision that was adequate/reasonable/in accord with existing standards? Were there procedures establishing a method of supervision for the dormitories? If so, were these procedures adequate/reasonable/in accord with existing standards?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appropriate/reasonable/in accord with existing standards to house all students in one dormitory in 1978?</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staff to student ratio for supervision in the dormitories after 1978? Was it sufficient to provide for a level of supervision that was adequate/reasonable/in accord with existing standards? Were there procedures establishing a method of supervision for the dormitories? If so, were these procedures adequate/reasonable/in accord with existing standards?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changes, if any, in the management and operations procedures of the School were taken after the Knight/Manson reports were submitted in 1982? Were the new procedures, if any, adequate/reasonable/in accord with existing standards?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changes, if any, in the management and operations procedures of the School were taken in 1987 after the Manson/Russell report and the police investigation? Were the new procedures, if any, adequate/reasonable/in accord with existing standards?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each or any of the above, if there was a failure to meet a standard which was adequate/reasonable/in accord with existing standards, was such a failure negligent or in breach of a fiduciary duty?</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fiduciary duty, does the conduct by the defendant mandate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recognize that the level of supervision/adequacy of response may well depend on activities reported or discovered, and on the unique personalities of the individuals involved (it appears from my review of the files that there were some staff members/students who were particularly problematic at various times in the school's history), but the formulation of the questions in this way, concentrating only on existing procedures, staff/student ratios and any procedural changes implemented, moves the emphasis away from anecdotal accounts or individual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Some of that evidence, which was the subject of the earlier ruling on the discovery of the additional members of the plaintiff class, may still be relevant on the issue of adequacy or reasonableness of procedures, but not as to whether a procedure failed or was not followed on a particular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to the hundreds of individual files, I realize the plaintiffs wish to use the documents in them to fix the defendant with knowledge of a pattern of wide-spread long-standing abuse arising out of a multitude of individual incidents, and that this could be relevant not only to standard of care but to punitive damages. However, I do not envision this trial as encompassing that type of evidence because the mere filing of the documents, without allowing the defendant to answer to their substance, would serve no useful purpose. The plaintiffs have that evidence and eventually may be able to make some use of it in the individual trials; in this proceeding, however, its only use would be to allow the plaintiffs to obtain admissions or information leading to a train of inquiry respecting the management and operations procedures in place at a particular time. Aside from that limited purpose, the files cannot be used to allow this proceeding to degenerate into mini-trials where the individual incidents, their prima facie validity, the need for response or the adequacy of response to a particular situation become relevant in themselves. The enumerated questions, particularly those aimed at adequacy of supervision, are wide enough to encompass the systemic issues relating to the standard of care which the plaintiffs wish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noted in the Court of Appeal judgment, issues of vicarious liability are not part of the common issue and will have to be determined individually. Also subject to individual determination are instances of alleged failures on the part of individual staff members to comply with reporting/ supervision policies or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intend to call extensive evidence on issues which might generally be described as deaf culture. Although there is no specific question directed at those issues, I expect that evidence would be essential background to a consideration of appropriate standards and the general issue of the vulnerability of the deaf community, as well as to the necessity of communication through signing. As the Court of Appeal noted, a general history and evolution of the school will also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recognize that the plaintiffs' general position is that a culture of abuse was created in the school by the abuse of students by staff in the early years, resulting in student-to-student abuse becoming prevalent in the later years, and so they may feel that to limit the trial to focus on the questions set out above is to unfairly restrict the development of their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the plaintiffs' approach rests on the conclusions reached by the Ombudsman and Mr. Berger and is based upon the unfounded assumption that there has been or should be an admission of wide-spread abuse throughout the school's history. For all the reasons I have already expressed, this proceeding is unworkable if that "factual" foundation must be proven or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considered whether a division of the plaintiffs into sub-classes is one option; I do not foreclose that approach, but for now have chosen to focus the trial through the use of a series of questions with wide relevance and application within the common issue rather than dividing up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common issue will therefore be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or in breach of fiduciary duty in failing to take reasonable measures in the operation or management of the school to protect students from misconduct of a sexual nature by employees, agents, or other students at the school, having regard to the following questions: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management and operations procedures in place to ensure that staff could communicate through signing or other means with students? Were these procedures adequate/ reasonable/in accord with existing standards?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procedures/training were in place for staff which dealt with recognition/discovery/ prevention/reporting or otherwise dealing with sexual misconduct? Were they adequate/reasonable/in accord with existing standards?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procedures/training were in place with for students which dealt with recognition/discovery/ prevention/reporting/or otherwise dealing with sexual misconduct? Were they adequate/reasonable/in accord with existing standards?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staff to student ratio for supervision in areas of the school apart from the dormitory/ies? Was it adequate/reasonable/in accord with existing standards? Were there procedures establishing a method of supervision for other areas of the school? If so, were these procedures adequate/reasonable/in accord with existing standards?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staff to student ratio for supervision in the dormitories prior to 1978? Was it sufficient to provide for a level of supervision that was adequate/reasonable/ in accord with existing standards? Were there procedures establishing a method of supervision? If so, were these procedures adequate/reasonable/in accord with existing standards?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appropriate/reasonable/in accord with existing standards to house all students in one dormitory in 1978?</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staff to student ratio for supervision in the dormitory after 1978? Was it sufficient to provide for a level of supervision that was adequate/reasonable/ in accord with existing standards? Were there procedures establishing a method of supervision? If so, were these procedures adequate/reasonable/in accord with existing standards?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changes, if any, in the management and operations procedures of the School were taken after the Knight/Manson reports were submitted in 1982? Were the new procedures, if any, adequate/ reasonable/in accord with existing standards?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changes, if any, in the management and operations procedures of the School were taken in 1987 after the Manson/Russell report and the police investigation? Were the new procedures, if any, adequate/reasonable/in accord with existing standards?</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each or any of the above, if there was a failure to meet a standard which was adequate/ reasonable/in accord with existing standards, was such a failure negligent or in breach of a fiduciary duty?</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fiduciary duty, does the conduct of the defendant mandate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This approach is an attempt to confine the parameters of the trial to the common issue as originally certified by the Court of Appeal - that is to a common issue that is concerned only with procedures, not with individual occurrences. Such an approach is not the direct result of submissions by counsel, although it is implicit in the defendant's position and counsel for the plaintiffs urged me to take as aggressive an approach as necessary in order to avoid decertification. If there is a need to reword, amend or add to the questions I have set out, counsel may address that at the next Case Management Conference. However, I should warn the plaintiffs that I have, in my view, reached a precarious balance between a potentially workable class proceeding and unmanageable confusion, and efforts to extend the parameters of the trial beyond the questions already set out will be approached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application to estop the defendant from denying the "estoppel admissions" is dismissed. The plaintiffs' application to have the Ombudsman and Berger Reports admitted for the truth of their contents is dismissed. The defendant's application to decertify the proceedings is dismissed, but the common issue is amended, as set out in paragraph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HUMPHRIES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SUPPLEMENTARY 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first sentence of para. [90] (7) of my reasons for judgment dated February 11, 2003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was the staff to student ratio for supervision in the dormitory after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first sentence of para. [53] in the same reasons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reports and the Ministerial Statement are not admissible for the truth of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The third common issue set out in para. [2] of the reasons remains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Lynskey (Litigation guardian of) v. MacDougall, [2010] B.C.J. No. 1471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S055782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1471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1019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1965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Ben Stuart Lynskey, an infant, by his Litigation Guardian, Jeffrey William Lynskey, Plaintiff, and Cameron Hugh MacDougall, Bruce MacDougall and Natalie Dakers, Defendants, and Robert Telling and Her Majesty the Queen in Right of the Province of British Columbia,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5" w:name="Keywords_29"/>
      <w:bookmarkEnd w:id="205"/>
      <w:r>
        <w:rPr>
          <w:rFonts w:ascii="arial" w:eastAsia="arial" w:hAnsi="arial" w:cs="arial"/>
          <w:b/>
          <w:color w:val="000000"/>
          <w:sz w:val="20"/>
          <w:lang w:val="en-US" w:eastAsia="en-US" w:bidi="ar-SA"/>
        </w:rPr>
        <w:t>Civil litigation — Civil procedure — Parties — Adding or substituting — After expiry of limitation period — Necessary or proper — Application by plaintiff to add third party Crown and parole officer as defendants allowed — Plaintiff sustained brain injury in 2003 beating — Plaintiff also alleged defendant's parents were liable for not properly supervising defendant — Plaintiff attained age of majority May 27, 2007 — No notice given to accelerated limitation and third parties were notified of plaintiff's intention February 23, 2010 — Third parties liable to claim by plaintiff until May 27, 2009 and service by May 27, 2010 — Delay minimal and third parties not prejudiced, given they were already joined by defendant's father.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Crown liability for acts of servants — Act within scope of duty or employment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Practice and procedure — Limitations periods — Application by plaintiff to add third party Crown and parole officer as defendants allowed — Plaintiff sustained brain injury in 2003 beating — Plaintiff also alleged defendant's parents were liable for not properly supervising defendant — Plaintiff attained age of majority May 27, 2007 — No notice given to accelerated limitation and third parties were notified of plaintiff's intention February 23, 2010 — Third parties liable to claim by plaintiff until May 27, 2009 and service by May 27, 2010 — Delay minimal and third parties not prejudiced, given they were already joined by defendant's father.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6" w:name="Case Summary_29"/>
            <w:bookmarkEnd w:id="2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add the third party Crown and defendant's parole officer as defendants. The plaintiff, a 15-year-old infant at the time, was viciously beaten by the defendant in 2003. The plaintiff sustained a brain injury in the assault. The defendant had already been found liable for the assault and had pled guilty to assault causing bodily harm. The defendant had a history of criminal activity and violence and was on probation at the time of the assault with a condition that he lived with one of his parents. The plaintiff also alleged that the defendant's parents were negligent in their failure to supervise the defendant. The plaintiff was granted access to the defendant's court records in 2005 but did not give notice of his intention to add the third parties as defendants until February 23, 2010. The plaintiff argued that the third parties' liability was not apparent until the defendant's mother brought a motion to dismiss the action against her on the basis the father and parole officer were liable for the defendant's supervision. The plaintiff and the defendant's father had reached a tentative settlement that would discontinue proceedings against the father and the third party proceedings, since only the father had joined the third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7" w:name="Holdings of Court_22"/>
            <w:bookmarkEnd w:id="20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assault occurred when the plaintiff was an infant. He reached the age of majority May 27, 2007 and no notice was served to accelerate the limitation. The plaintiff was claiming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third parties so the limitation period was two years. The third parties were still liable to the claim by the plaintiff until May 27, 2009 and service by the plaintiff until May 27, 2010. The delay was minimal and could be attributed to the plaintiff's involvement in negotiations with the defendant's parents. The third parties were not prejudiced by the delay since they had already been joined by the defendant's father. It was just and convenient to add the third parties as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8" w:name="Legislation Cited_25"/>
      <w:bookmarkEnd w:id="2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6"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4(4), s.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15(5), Rule 18A, Rule 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9" w:name="Counsel_29"/>
      <w:bookmarkEnd w:id="2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D.M. Rosenberg,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K.L.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30"/>
      <w:bookmarkEnd w:id="210"/>
      <w:r>
        <w:pict>
          <v:line id="_x0000_s1178"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MASTER D. BAKER"/>
            <w:bookmarkEnd w:id="211"/>
            <w:r>
              <w:rPr>
                <w:rFonts w:ascii="arial" w:eastAsia="arial" w:hAnsi="arial" w:cs="arial"/>
                <w:b/>
                <w:color w:val="000000"/>
                <w:sz w:val="30"/>
                <w:lang w:val="en-US" w:eastAsia="en-US" w:bidi="ar-SA"/>
              </w:rPr>
              <w:t>MASTER D.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to add as defendants Mr. Telling and Her Majesty the Queen, in Right of the Province of British Columbia ("HMTQ"). They are already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October 31st, 2003, 15 1/2 year-old Ben Lynskey was minding his own business in a Vancouver restaurant when, without reason or provocation, he was viciously beaten by Cameron MacDougall. The beating was sufficiently severe that, apparently, Mr. Lynskey suffered brain injury. No defence has been offered or filed on behalf of Cameron MacDougall, and judgment in default (in respect of liability by Cameron MacDougall only) has been entered. In fact, Mr. MacDougall pled guilty April 19, 2004 to assault causing bodily harm arising from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Bruce MacDougall and Natalie Dakers are Cameron's parents. They were divorced, apparently, well before the incident. Mr. Lynskey alleges that they were negligent in not supervising Cameron or in not reporting his apparent breach of probation to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Cameron MacDougall had a history of violence and criminal activity before he ever encountered Ben Lynskey. In June 2001 he was sentenced to 60 hours community work service for robbery and in August 2002 Ms. Dakers reported to police that Cameron had stolen her car. He had been expelled or suspended from at least three separate schools. In January 2003 he was convicted for assault and sentenced to 45 days incarceration and probation, the terms of which included mandatory residence with either his father or mother. It must have been obvious by 2003 that Cameron had major problems. It seems that counsel for Mr. Lynskey, at some point, were made aware of much of this, and in particular that there had been criminal proceedings against Mr. MacDougall for some time. In fact they obtained access to his file through an order in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chronology of the proceedings flowing from the assault on Ben Lynskey includes: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31, 2003</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Lynskey is assaulted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14, 2005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Provincial Court order grants plaintiff's counsel access to Cameron MacDougall's Provincial Court records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28, 2005</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Writ and claim issued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23, 2007</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Discovery of Ms. Dakers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16, 2007</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Discovery of Mr. MacDougall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8, 2009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MacDougall (Sr.) Third parties Mr. Telling and HMTQ</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25, 2010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Dakers applies under Rule 18A to have the proceedings dismissed against her. Transcribed oral reasons are received May 12, 2010.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23, 2010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counsel advises Mr. Telling and Her Majesty of an intention to apply to add them as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We needn't review Cameron MacDougall's criminal past in great detail, save to say that he was convicted in January 2003 of assault and was sentenced to 45 days in jail and probation. The probation included among other things a requirement that he reside with one or the other of his parents. Mr. Telling was the probation officer supervising Mr. MacDougall's probation.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seems an inescapable conclusion to me that with access to the Provincial Court record of proceedings plaintiff's counsel must have known that Mr. MacDougall was under probation, the terms of that probation, and the very compelling reasons for that probation.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understood Mr. Rosenberg's submission to be that the potential liability of Mr. Telling and HMTQ only became evident when Ms. Dakers brought her Rule 18A application before Mr. Justice Grauer. In oral reasons Grauer J. dismissed the application and in doing so commented</w:t>
      </w:r>
      <w:bookmarkStart w:id="212"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12"/>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difficulties I have with this matter is that of the parties who may be found to have had responsibility to some degree for the supervision of Cameron MacDougall, Ms. Dakers takes a position that it was not her, but it was one or more of the others, Mr. MacDougall </w:t>
      </w:r>
      <w:r>
        <w:rPr>
          <w:rFonts w:ascii="arial" w:eastAsia="arial" w:hAnsi="arial" w:cs="arial"/>
          <w:i/>
          <w:color w:val="000000"/>
          <w:sz w:val="20"/>
          <w:lang w:val="en-US" w:eastAsia="en-US" w:bidi="ar-SA"/>
        </w:rPr>
        <w:t>and Mr. Telling in particular</w:t>
      </w:r>
      <w:r>
        <w:rPr>
          <w:rFonts w:ascii="arial" w:eastAsia="arial" w:hAnsi="arial" w:cs="arial"/>
          <w:color w:val="000000"/>
          <w:sz w:val="20"/>
          <w:lang w:val="en-US" w:eastAsia="en-US" w:bidi="ar-SA"/>
        </w:rPr>
        <w:t>, who had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bookmarkStart w:id="213"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13"/>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note in this regard that the plaintiff is applying to make the third party Robert Telling a defendant in this action, and proposes further discovery of Ms. Dakers on the basis of the evidence disclosed by Mr. Telling and Her Majesty the Queen.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Rosenberg also argued that the addition of Mr. Telling and HMTQ as defendants is necessary, as, apparently, a tentative settlement has been reached between the plaintiff and Bruce MacDougall. The exact terms of the settlement remain without prejudice, but the parties agreed that I could be informed of its existence, and of the fact that it remains contingent upon the fulfilment of certain (undisclosed) steps. One fact is certain, though: upon completion of that settlement the proceedings will be discontinued or dismissed as against Bruce MacDougall which, in turn, will end the Third Party proceedings, as only Mr. MacDougall joined Mr. Telling and HMTQ.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there is evidence of negotiations between the plaintiff and Bruce MacDougall, there is no indication of any negotiations between the plaintiff and either Mr. Telling or Her Majesty.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two appellate cases that serve as bookends to this area of the law are </w:t>
      </w:r>
      <w:r>
        <w:rPr>
          <w:rFonts w:ascii="arial" w:eastAsia="arial" w:hAnsi="arial" w:cs="arial"/>
          <w:i/>
          <w:color w:val="000000"/>
          <w:sz w:val="20"/>
          <w:lang w:val="en-US" w:eastAsia="en-US" w:bidi="ar-SA"/>
        </w:rPr>
        <w:t>Teal Cedar Products (1977) Ltd. v. Dale Intermediaries Ltd.</w:t>
      </w:r>
      <w:bookmarkStart w:id="214"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14"/>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Amezcua v. Taylor</w:t>
      </w:r>
      <w:bookmarkStart w:id="215"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15"/>
      <w:r>
        <w:rPr>
          <w:rFonts w:ascii="arial" w:eastAsia="arial" w:hAnsi="arial" w:cs="arial"/>
          <w:color w:val="000000"/>
          <w:sz w:val="20"/>
          <w:lang w:val="en-US" w:eastAsia="en-US" w:bidi="ar-SA"/>
        </w:rPr>
        <w:t xml:space="preserve"> the former being probably most frequently cited and the latter being the most recent authority. It is interesting that, judicially speaking, the law relating to adding parties has been conflated with the law on amendments to pleadings post-limitation. Finch J.A., for example, in writing for the court in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considered the plaintiff's application to amend after the expiration of a limitation to add a new cause of action. Notwithstanding that Rule 24 and s. 4(4) of the Limitation Act</w:t>
      </w:r>
      <w:bookmarkStart w:id="216"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16"/>
      <w:r>
        <w:rPr>
          <w:rFonts w:ascii="arial" w:eastAsia="arial" w:hAnsi="arial" w:cs="arial"/>
          <w:color w:val="000000"/>
          <w:sz w:val="20"/>
          <w:lang w:val="en-US" w:eastAsia="en-US" w:bidi="ar-SA"/>
        </w:rPr>
        <w:t xml:space="preserve"> specifically address amendments, his analysis (at paras. 36-39) incorporated the law and cases relating to adding a party and in so doing read into rule and statutory provisions on amendments the "just and convenient" standard that is expressly provided by Rule 15(5) in respect of adding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Another impression gathered from reviewing the cases is that appellate authority has seemed more and more inclined to apply the law liberally, and to favour allowing the addition of parties, the amendment to pleadings, or the extension of expired writs. An example of this liberality is the extension of the time for consideration or calculation of prejudice. It is the rule in this province that typically prejudice is calculated from the expiry of the limitation period plus a further year for service of the writ</w:t>
      </w:r>
      <w:bookmarkStart w:id="217"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17"/>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basic considerations distilled from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offered for the delay</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amendments) the extent of the connection between existing claims and the proposed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interesting that Finch J.A. in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revisiting earlier appellate decisions, discounted</w:t>
      </w:r>
      <w:bookmarkStart w:id="218"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18"/>
      <w:r>
        <w:rPr>
          <w:rFonts w:ascii="arial" w:eastAsia="arial" w:hAnsi="arial" w:cs="arial"/>
          <w:color w:val="000000"/>
          <w:sz w:val="20"/>
          <w:lang w:val="en-US" w:eastAsia="en-US" w:bidi="ar-SA"/>
        </w:rPr>
        <w:t xml:space="preserve"> as an overriding consideration, any concept of culpability or fault in the sense of "intentional but mistaken conduct" in not joining a party or pleading a cause of action within the limitation period. That perspective, it seems, is subsumed in the five considerations listed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Delay, then, is central to the analysis. A subset of discussion has concerned the question of prejudice. The Court of Appeal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w:t>
      </w:r>
      <w:bookmarkStart w:id="219"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19"/>
      <w:r>
        <w:rPr>
          <w:rFonts w:ascii="arial" w:eastAsia="arial" w:hAnsi="arial" w:cs="arial"/>
          <w:color w:val="000000"/>
          <w:sz w:val="20"/>
          <w:lang w:val="en-US" w:eastAsia="en-US" w:bidi="ar-SA"/>
        </w:rPr>
        <w:t>, apparently reluctantly, accepted the concept of "presumed prejudice"</w:t>
      </w:r>
      <w:bookmarkStart w:id="220"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20"/>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two aspects of appellate discussion on prejudice that are interesting. Firstly, who is potentially prejudiced and secondly what is the consequence if prejudice is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the first question McEachern C.J.B.C. stated what is to me the obvious in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 74 when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most important considerations, not necessarily in the following order, are the length of the delay, prejudice </w:t>
      </w:r>
      <w:r>
        <w:rPr>
          <w:rFonts w:ascii="arial" w:eastAsia="arial" w:hAnsi="arial" w:cs="arial"/>
          <w:i/>
          <w:color w:val="000000"/>
          <w:sz w:val="20"/>
          <w:lang w:val="en-US" w:eastAsia="en-US" w:bidi="ar-SA"/>
        </w:rPr>
        <w:t>to the respondents</w:t>
      </w:r>
      <w:r>
        <w:rPr>
          <w:rFonts w:ascii="arial" w:eastAsia="arial" w:hAnsi="arial" w:cs="arial"/>
          <w:color w:val="000000"/>
          <w:sz w:val="20"/>
          <w:lang w:val="en-US" w:eastAsia="en-US" w:bidi="ar-SA"/>
        </w:rPr>
        <w:t>, and the overriding question of what is just and convenient.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This conclusion was expressly adopted by Finch J.A. for the majority, and all discussion of prejudice necessarily implied that the only perspective on the matter was that of possible prejudice </w:t>
      </w:r>
      <w:r>
        <w:rPr>
          <w:rFonts w:ascii="arial" w:eastAsia="arial" w:hAnsi="arial" w:cs="arial"/>
          <w:i/>
          <w:color w:val="000000"/>
          <w:sz w:val="20"/>
          <w:lang w:val="en-US" w:eastAsia="en-US" w:bidi="ar-SA"/>
        </w:rPr>
        <w:t>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Kirkpatrick J.A., on the other hand, in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xml:space="preserve"> broadened this to a bilateral consideration, and concluded that any prejudice to the respondent must be weighed against prejudice to the applicant. She found further that the prejudice to the applicant, in almost all cases, will be the loss of a cause of action and "... the inability to pursue the claim in a separate action"</w:t>
      </w:r>
      <w:bookmarkStart w:id="221"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221"/>
      <w:r>
        <w:rPr>
          <w:rFonts w:ascii="arial" w:eastAsia="arial" w:hAnsi="arial" w:cs="arial"/>
          <w:color w:val="000000"/>
          <w:sz w:val="20"/>
          <w:lang w:val="en-US" w:eastAsia="en-US" w:bidi="ar-SA"/>
        </w:rPr>
        <w:t>. Surely there is no real balancing to be done with the equation posed thusly: in every single case the respondent must fail the test, as in any given case the loss of a cause of action will outweigh the late imposition of a need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Then there is the question of presumed prejudice. In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xml:space="preserve"> Kirkpatrick J.A. acknowledged that, the limitation period having passed, "there is presumed prejudice"</w:t>
      </w:r>
      <w:bookmarkStart w:id="222"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222"/>
      <w:r>
        <w:rPr>
          <w:rFonts w:ascii="arial" w:eastAsia="arial" w:hAnsi="arial" w:cs="arial"/>
          <w:color w:val="000000"/>
          <w:sz w:val="20"/>
          <w:lang w:val="en-US" w:eastAsia="en-US" w:bidi="ar-SA"/>
        </w:rPr>
        <w:t>. The very next observation, however,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chambers judge did not identify any </w:t>
      </w:r>
      <w:r>
        <w:rPr>
          <w:rFonts w:ascii="arial" w:eastAsia="arial" w:hAnsi="arial" w:cs="arial"/>
          <w:i/>
          <w:color w:val="000000"/>
          <w:sz w:val="20"/>
          <w:lang w:val="en-US" w:eastAsia="en-US" w:bidi="ar-SA"/>
        </w:rPr>
        <w:t>actual</w:t>
      </w:r>
      <w:r>
        <w:rPr>
          <w:rFonts w:ascii="arial" w:eastAsia="arial" w:hAnsi="arial" w:cs="arial"/>
          <w:color w:val="000000"/>
          <w:sz w:val="20"/>
          <w:lang w:val="en-US" w:eastAsia="en-US" w:bidi="ar-SA"/>
        </w:rPr>
        <w:t xml:space="preserve"> prejudice to the Minister if he were added. Further, the Minister provided no evidence as to when he became aware that he might be added as a party or as to what prejudice he might experience if he were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prejudice is presumed, does that not create an onus on the applicant to rebut the presumption? If a presumption is established, how can the onus then rest on the respondent to offer evidence to further bolster what is already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any event, I will now consider the factors as I understand the law to pose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extent of delay. The measure of delay commences with the expiry of the limitation followed by one year allowed for service (para. 7, above). Has the limitation elapsed? In my view it has. The assault occurred October 31st, 2003 while Ben was an infant. He attained majority May 27, 2007, and no notice was served under s. 7(6) of the Limitation Act (which would have accelerated the limitation). The start of any delay, then, would be taken as May 27, 2010. The motion, interestingly, is dated May 27, 2010, but it has to be noted that even the proposed defendants acknowledge that they were notified of an intention to add them prior to the expiry of the limitation (on February 23rd, 2010; para. 5, above). With this chronology, it cannot be said that there has been significant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Plaintiff's counsel submitted that the limitation may actually be six years, as the plaintiff intends to claim the breach of a fiduciary duty owed him by Mr. Telling. If that is the intention it is not pleaded in the proposed amendments. Quite the contrary: para. 23 of the proposed amendments make clear the plaintiff's claim against Mr. Telling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Surely that offers a two-year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delay has been so slight that a satisfactory explanation would not be overly onerous. In fact the plaintiff has been preoccupied by negotiations with Ms. Dakers and Mr. MacDougall Sr. While the negotiations have not been anywhere near as lengthy as those that satisfied the Court of Appeal in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I accept them as justifying the slight delay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degree of prejudice. In the circumstances of this case I need not perform the bilateral analysis suggested by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Mr. Telling and HMTQ were liable to a claim by Ben Lynskey up to May 27, 2009, and to service of a properly issued writ up to May 27, 2010. I cannot see that the passage of time or any events since either of those dates has prejudiced the proposed defendants. Indeed, they were joined by Bruce MacDougall as Third Parties June 8, 2009 and would be presumed to have recognized their potential liability (even if only to Mr. MacDougall)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Is it just and convenient to add the new parties at this stage, and in these circumstances? It ultimately is, and the order will go as requested by the plaintiff's motion.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79" style="position:absolute;z-index:25188761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23"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23"/>
      <w:r>
        <w:rPr>
          <w:rFonts w:ascii="arial" w:eastAsia="arial" w:hAnsi="arial" w:cs="arial"/>
          <w:sz w:val="20"/>
          <w:lang w:val="en-US" w:eastAsia="en-US" w:bidi="ar-SA"/>
        </w:rPr>
        <w:tab/>
      </w:r>
      <w:r>
        <w:rPr>
          <w:rFonts w:ascii="arial" w:eastAsia="arial" w:hAnsi="arial" w:cs="arial"/>
          <w:color w:val="6D6E71"/>
          <w:sz w:val="18"/>
          <w:lang w:val="en-US" w:eastAsia="en-US" w:bidi="ar-SA"/>
        </w:rPr>
        <w:t>at para. 6</w:t>
      </w:r>
    </w:p>
    <w:p>
      <w:pPr>
        <w:spacing w:before="120" w:after="20" w:line="240" w:lineRule="atLeast"/>
        <w:ind w:left="720" w:hanging="360"/>
        <w:jc w:val="both"/>
        <w:rPr>
          <w:rFonts w:ascii="arial" w:eastAsia="arial" w:hAnsi="arial" w:cs="arial"/>
          <w:sz w:val="20"/>
          <w:lang w:val="en-US" w:eastAsia="en-US" w:bidi="ar-SA"/>
        </w:rPr>
      </w:pPr>
      <w:bookmarkStart w:id="224"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224"/>
      <w:r>
        <w:rPr>
          <w:rFonts w:ascii="arial" w:eastAsia="arial" w:hAnsi="arial" w:cs="arial"/>
          <w:sz w:val="20"/>
          <w:lang w:val="en-US" w:eastAsia="en-US" w:bidi="ar-SA"/>
        </w:rPr>
        <w:tab/>
      </w:r>
      <w:r>
        <w:rPr>
          <w:rFonts w:ascii="arial" w:eastAsia="arial" w:hAnsi="arial" w:cs="arial"/>
          <w:color w:val="6D6E71"/>
          <w:sz w:val="18"/>
          <w:lang w:val="en-US" w:eastAsia="en-US" w:bidi="ar-SA"/>
        </w:rPr>
        <w:t>at para 7</w:t>
      </w:r>
    </w:p>
    <w:p>
      <w:pPr>
        <w:spacing w:before="120" w:after="20" w:line="240" w:lineRule="atLeast"/>
        <w:ind w:left="720" w:hanging="360"/>
        <w:jc w:val="both"/>
        <w:rPr>
          <w:rFonts w:ascii="arial" w:eastAsia="arial" w:hAnsi="arial" w:cs="arial"/>
          <w:sz w:val="20"/>
          <w:lang w:val="en-US" w:eastAsia="en-US" w:bidi="ar-SA"/>
        </w:rPr>
      </w:pPr>
      <w:bookmarkStart w:id="225"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25"/>
      <w:r>
        <w:rPr>
          <w:rFonts w:ascii="arial" w:eastAsia="arial" w:hAnsi="arial" w:cs="arial"/>
          <w:sz w:val="20"/>
          <w:lang w:val="en-US" w:eastAsia="en-US" w:bidi="ar-SA"/>
        </w:rPr>
        <w:tab/>
      </w:r>
      <w:hyperlink r:id="rId425" w:history="1">
        <w:r>
          <w:rPr>
            <w:rFonts w:ascii="arial" w:eastAsia="arial" w:hAnsi="arial" w:cs="arial"/>
            <w:i/>
            <w:color w:val="0077CC"/>
            <w:sz w:val="18"/>
            <w:u w:val="single"/>
            <w:shd w:val="clear" w:color="auto" w:fill="FFFFFF"/>
            <w:lang w:val="en-US" w:eastAsia="en-US" w:bidi="ar-SA"/>
          </w:rPr>
          <w:t>(1996) 19 B.C.L.R. (3d) 282</w:t>
        </w:r>
      </w:hyperlink>
    </w:p>
    <w:p>
      <w:pPr>
        <w:spacing w:before="120" w:after="20" w:line="240" w:lineRule="atLeast"/>
        <w:ind w:left="720" w:hanging="360"/>
        <w:jc w:val="both"/>
        <w:rPr>
          <w:rFonts w:ascii="arial" w:eastAsia="arial" w:hAnsi="arial" w:cs="arial"/>
          <w:sz w:val="20"/>
          <w:lang w:val="en-US" w:eastAsia="en-US" w:bidi="ar-SA"/>
        </w:rPr>
      </w:pPr>
      <w:bookmarkStart w:id="226"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26"/>
      <w:r>
        <w:rPr>
          <w:rFonts w:ascii="arial" w:eastAsia="arial" w:hAnsi="arial" w:cs="arial"/>
          <w:sz w:val="20"/>
          <w:lang w:val="en-US" w:eastAsia="en-US" w:bidi="ar-SA"/>
        </w:rPr>
        <w:tab/>
      </w:r>
      <w:hyperlink r:id="rId661" w:history="1">
        <w:r>
          <w:rPr>
            <w:rFonts w:ascii="arial" w:eastAsia="arial" w:hAnsi="arial" w:cs="arial"/>
            <w:i/>
            <w:color w:val="0077CC"/>
            <w:sz w:val="18"/>
            <w:u w:val="single"/>
            <w:shd w:val="clear" w:color="auto" w:fill="FFFFFF"/>
            <w:lang w:val="en-US" w:eastAsia="en-US" w:bidi="ar-SA"/>
          </w:rPr>
          <w:t>2010 BCCA 128</w:t>
        </w:r>
      </w:hyperlink>
    </w:p>
    <w:p>
      <w:pPr>
        <w:spacing w:before="120" w:after="20" w:line="240" w:lineRule="atLeast"/>
        <w:ind w:left="720" w:hanging="360"/>
        <w:jc w:val="both"/>
        <w:rPr>
          <w:rFonts w:ascii="arial" w:eastAsia="arial" w:hAnsi="arial" w:cs="arial"/>
          <w:sz w:val="20"/>
          <w:lang w:val="en-US" w:eastAsia="en-US" w:bidi="ar-SA"/>
        </w:rPr>
      </w:pPr>
      <w:bookmarkStart w:id="227"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27"/>
      <w:r>
        <w:rPr>
          <w:rFonts w:ascii="arial" w:eastAsia="arial" w:hAnsi="arial" w:cs="arial"/>
          <w:sz w:val="20"/>
          <w:lang w:val="en-US" w:eastAsia="en-US" w:bidi="ar-SA"/>
        </w:rPr>
        <w:tab/>
      </w:r>
      <w:r>
        <w:rPr>
          <w:rFonts w:ascii="arial" w:eastAsia="arial" w:hAnsi="arial" w:cs="arial"/>
          <w:color w:val="6D6E71"/>
          <w:sz w:val="18"/>
          <w:lang w:val="en-US" w:eastAsia="en-US" w:bidi="ar-SA"/>
        </w:rPr>
        <w:t>R.S.B.C. 1979, ch. 236</w:t>
      </w:r>
    </w:p>
    <w:p>
      <w:pPr>
        <w:spacing w:before="120" w:after="20" w:line="240" w:lineRule="atLeast"/>
        <w:ind w:left="720" w:hanging="360"/>
        <w:jc w:val="both"/>
        <w:rPr>
          <w:rFonts w:ascii="arial" w:eastAsia="arial" w:hAnsi="arial" w:cs="arial"/>
          <w:sz w:val="20"/>
          <w:lang w:val="en-US" w:eastAsia="en-US" w:bidi="ar-SA"/>
        </w:rPr>
      </w:pPr>
      <w:bookmarkStart w:id="228"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28"/>
      <w:r>
        <w:rPr>
          <w:rFonts w:ascii="arial" w:eastAsia="arial" w:hAnsi="arial" w:cs="arial"/>
          <w:sz w:val="20"/>
          <w:lang w:val="en-US" w:eastAsia="en-US" w:bidi="ar-SA"/>
        </w:rPr>
        <w:tab/>
      </w:r>
      <w:r>
        <w:rPr>
          <w:rFonts w:ascii="arial" w:eastAsia="arial" w:hAnsi="arial" w:cs="arial"/>
          <w:b/>
          <w:i/>
          <w:color w:val="6D6E71"/>
          <w:sz w:val="18"/>
          <w:lang w:val="en-US" w:eastAsia="en-US" w:bidi="ar-SA"/>
        </w:rPr>
        <w:t>McIntosh v. Nilsson Bros., Inc.</w:t>
      </w:r>
      <w:r>
        <w:rPr>
          <w:rFonts w:ascii="arial" w:eastAsia="arial" w:hAnsi="arial" w:cs="arial"/>
          <w:color w:val="6D6E71"/>
          <w:sz w:val="18"/>
          <w:lang w:val="en-US" w:eastAsia="en-US" w:bidi="ar-SA"/>
        </w:rPr>
        <w:t xml:space="preserve"> </w:t>
      </w:r>
      <w:hyperlink r:id="rId662" w:history="1">
        <w:r>
          <w:rPr>
            <w:rFonts w:ascii="arial" w:eastAsia="arial" w:hAnsi="arial" w:cs="arial"/>
            <w:i/>
            <w:color w:val="0077CC"/>
            <w:sz w:val="18"/>
            <w:u w:val="single"/>
            <w:shd w:val="clear" w:color="auto" w:fill="FFFFFF"/>
            <w:lang w:val="en-US" w:eastAsia="en-US" w:bidi="ar-SA"/>
          </w:rPr>
          <w:t>2005 BCCA 297</w:t>
        </w:r>
      </w:hyperlink>
      <w:r>
        <w:rPr>
          <w:rFonts w:ascii="arial" w:eastAsia="arial" w:hAnsi="arial" w:cs="arial"/>
          <w:color w:val="6D6E71"/>
          <w:sz w:val="18"/>
          <w:lang w:val="en-US" w:eastAsia="en-US" w:bidi="ar-SA"/>
        </w:rPr>
        <w:t>, at para. 8</w:t>
      </w:r>
    </w:p>
    <w:p>
      <w:pPr>
        <w:spacing w:before="120" w:after="20" w:line="240" w:lineRule="atLeast"/>
        <w:ind w:left="720" w:hanging="360"/>
        <w:jc w:val="both"/>
        <w:rPr>
          <w:rFonts w:ascii="arial" w:eastAsia="arial" w:hAnsi="arial" w:cs="arial"/>
          <w:sz w:val="20"/>
          <w:lang w:val="en-US" w:eastAsia="en-US" w:bidi="ar-SA"/>
        </w:rPr>
      </w:pPr>
      <w:bookmarkStart w:id="229"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229"/>
      <w:r>
        <w:rPr>
          <w:rFonts w:ascii="arial" w:eastAsia="arial" w:hAnsi="arial" w:cs="arial"/>
          <w:sz w:val="20"/>
          <w:lang w:val="en-US" w:eastAsia="en-US" w:bidi="ar-SA"/>
        </w:rPr>
        <w:tab/>
      </w:r>
      <w:r>
        <w:rPr>
          <w:rFonts w:ascii="arial" w:eastAsia="arial" w:hAnsi="arial" w:cs="arial"/>
          <w:color w:val="6D6E71"/>
          <w:sz w:val="18"/>
          <w:lang w:val="en-US" w:eastAsia="en-US" w:bidi="ar-SA"/>
        </w:rPr>
        <w:t>at paras. 59 and 64</w:t>
      </w:r>
    </w:p>
    <w:p>
      <w:pPr>
        <w:spacing w:before="120" w:after="20" w:line="240" w:lineRule="atLeast"/>
        <w:ind w:left="720" w:hanging="360"/>
        <w:jc w:val="both"/>
        <w:rPr>
          <w:rFonts w:ascii="arial" w:eastAsia="arial" w:hAnsi="arial" w:cs="arial"/>
          <w:sz w:val="20"/>
          <w:lang w:val="en-US" w:eastAsia="en-US" w:bidi="ar-SA"/>
        </w:rPr>
      </w:pPr>
      <w:bookmarkStart w:id="230"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230"/>
      <w:r>
        <w:rPr>
          <w:rFonts w:ascii="arial" w:eastAsia="arial" w:hAnsi="arial" w:cs="arial"/>
          <w:sz w:val="20"/>
          <w:lang w:val="en-US" w:eastAsia="en-US" w:bidi="ar-SA"/>
        </w:rPr>
        <w:tab/>
      </w:r>
      <w:hyperlink r:id="rId663" w:history="1">
        <w:r>
          <w:rPr>
            <w:rFonts w:ascii="arial" w:eastAsia="arial" w:hAnsi="arial" w:cs="arial"/>
            <w:i/>
            <w:color w:val="0077CC"/>
            <w:sz w:val="18"/>
            <w:u w:val="single"/>
            <w:shd w:val="clear" w:color="auto" w:fill="FFFFFF"/>
            <w:lang w:val="en-US" w:eastAsia="en-US" w:bidi="ar-SA"/>
          </w:rPr>
          <w:t>(1987) 11 B.C.L.R. (2d) 273</w:t>
        </w:r>
      </w:hyperlink>
    </w:p>
    <w:p>
      <w:pPr>
        <w:spacing w:before="120" w:after="20" w:line="240" w:lineRule="atLeast"/>
        <w:ind w:left="720" w:hanging="360"/>
        <w:jc w:val="both"/>
        <w:rPr>
          <w:rFonts w:ascii="arial" w:eastAsia="arial" w:hAnsi="arial" w:cs="arial"/>
          <w:sz w:val="20"/>
          <w:lang w:val="en-US" w:eastAsia="en-US" w:bidi="ar-SA"/>
        </w:rPr>
      </w:pPr>
      <w:bookmarkStart w:id="231"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231"/>
      <w:r>
        <w:rPr>
          <w:rFonts w:ascii="arial" w:eastAsia="arial" w:hAnsi="arial" w:cs="arial"/>
          <w:sz w:val="20"/>
          <w:lang w:val="en-US" w:eastAsia="en-US" w:bidi="ar-SA"/>
        </w:rPr>
        <w:tab/>
      </w:r>
      <w:r>
        <w:rPr>
          <w:rFonts w:ascii="arial" w:eastAsia="arial" w:hAnsi="arial" w:cs="arial"/>
          <w:color w:val="6D6E71"/>
          <w:sz w:val="18"/>
          <w:lang w:val="en-US" w:eastAsia="en-US" w:bidi="ar-SA"/>
        </w:rPr>
        <w:t>Finch J.A., in obiter, at para. 44</w:t>
      </w:r>
    </w:p>
    <w:p>
      <w:pPr>
        <w:spacing w:before="120" w:after="20" w:line="240" w:lineRule="atLeast"/>
        <w:ind w:left="720" w:hanging="360"/>
        <w:jc w:val="both"/>
        <w:rPr>
          <w:rFonts w:ascii="arial" w:eastAsia="arial" w:hAnsi="arial" w:cs="arial"/>
          <w:sz w:val="20"/>
          <w:lang w:val="en-US" w:eastAsia="en-US" w:bidi="ar-SA"/>
        </w:rPr>
      </w:pPr>
      <w:bookmarkStart w:id="232"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232"/>
      <w:r>
        <w:rPr>
          <w:rFonts w:ascii="arial" w:eastAsia="arial" w:hAnsi="arial" w:cs="arial"/>
          <w:sz w:val="20"/>
          <w:lang w:val="en-US" w:eastAsia="en-US" w:bidi="ar-SA"/>
        </w:rPr>
        <w:tab/>
      </w:r>
      <w:r>
        <w:rPr>
          <w:rFonts w:ascii="arial" w:eastAsia="arial" w:hAnsi="arial" w:cs="arial"/>
          <w:color w:val="6D6E71"/>
          <w:sz w:val="18"/>
          <w:lang w:val="en-US" w:eastAsia="en-US" w:bidi="ar-SA"/>
        </w:rPr>
        <w:t>at para. 55</w:t>
      </w:r>
    </w:p>
    <w:p>
      <w:pPr>
        <w:spacing w:before="120" w:after="20" w:line="240" w:lineRule="atLeast"/>
        <w:ind w:left="720" w:hanging="360"/>
        <w:jc w:val="both"/>
        <w:rPr>
          <w:rFonts w:ascii="arial" w:eastAsia="arial" w:hAnsi="arial" w:cs="arial"/>
          <w:sz w:val="20"/>
          <w:lang w:val="en-US" w:eastAsia="en-US" w:bidi="ar-SA"/>
        </w:rPr>
      </w:pPr>
      <w:bookmarkStart w:id="233"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233"/>
      <w:r>
        <w:rPr>
          <w:rFonts w:ascii="arial" w:eastAsia="arial" w:hAnsi="arial" w:cs="arial"/>
          <w:sz w:val="20"/>
          <w:lang w:val="en-US" w:eastAsia="en-US" w:bidi="ar-SA"/>
        </w:rPr>
        <w:tab/>
      </w:r>
      <w:r>
        <w:rPr>
          <w:rFonts w:ascii="arial" w:eastAsia="arial" w:hAnsi="arial" w:cs="arial"/>
          <w:color w:val="6D6E71"/>
          <w:sz w:val="18"/>
          <w:lang w:val="en-US" w:eastAsia="en-US" w:bidi="ar-SA"/>
        </w:rPr>
        <w:t>at para. 49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Marigold Nursery Ltd. v. Victoria Ford Alliance Ltd., [2009] B.C.J. No. 1836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 and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07 1956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2534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174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Marigold Nursery Ltd., Plaintiff, and Victoria Ford Alliance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4" w:name="Keywords_30"/>
      <w:bookmarkEnd w:id="234"/>
      <w:r>
        <w:rPr>
          <w:rFonts w:ascii="arial" w:eastAsia="arial" w:hAnsi="arial" w:cs="arial"/>
          <w:b/>
          <w:color w:val="000000"/>
          <w:sz w:val="20"/>
          <w:lang w:val="en-US" w:eastAsia="en-US" w:bidi="ar-SA"/>
        </w:rPr>
        <w:t>Commercial law — Consumer agreements — Leases of goods — What constitutes — Consumer agreement for lease of goods — Disclosure obligations — Action by plaintiff for $82,465 in lease overpayments dismissed — Counterclaim by defendant for $53,179 in unpaid lease payments dismissed — Plaintiff leased vehicles from defendant and extended lease at end of term — Extension had offer to purchase at expiry or lease went month-to-month — Plaintiff kept vehicles and continued payments until 2007, resulting in $82,465 overpayment — Defendant owed plaintiff no duty of care to advise plaintiff lease had expired — Plaintiff ceased paying in 2007, but kept vehicles in breach of contract — Given overpayment, defendant suffered no damages — Defendant ordered to transfer ownership to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Terms — Express terms — Renewal — Action by plaintiff for $82,465 in lease overpayments dismissed — Counterclaim by defendant for $53,179 in unpaid lease payments dismissed — Plaintiff leased vehicles from defendant and extended lease at end of term — Extension had offer to purchase at expiry or lease went month-to-month — Plaintiff kept vehicles and continued payments until 2007, resulting in $82,465 overpayment — Defendant owed plaintiff no duty of care to advise plaintiff lease had expired — Plaintiff ceased paying in 2007, but kept vehicles in breach of contract — Given overpayment, defendant suffered no damages — Defendant ordered to transfer ownership to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5" w:name="Case Summary_30"/>
            <w:bookmarkEnd w:id="2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$82,465 in lease overpayments. Counterclaim by the defendant for $53,179 in unpaid lease payments since action commenced. Plaintiff leased three vehicles from defendant. Original lease expired and plaintiff claimed to have entered into lease extension agreement that ran until November 2003. After that date, the plaintiff contacted the defendant and was informed that the lease was still in effect. The defendant faxed documents to the plaintiff for review, but the plaintiff did not look at them. The plaintiff kept the vehicles and continued to make lease payments until April 2007, when a bookkeeper asked why the vehicles were still being leased. Given the residual value of the vehicles when the extension expired and what plaintiff paid, the plaintiff had overpaid $82,465. The plaintiff went to speak to the defendant, who offered to refund $6,000 and transfer ownership for $1 per vehicle. The plaintiff refused, kept the vehicles but stopped making lease payments and commenced this action. The defendant argued that, since the plaintiff kept the vehicles, it was owed $53,179 in outstanding lease payments from April 2007. The defendant denied the existence of a lease extension agreement but said if there was one, it would have had same terms as original lease and gone month-to-month if plaintiff gave no notice of intention to purchase at its expiry.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6" w:name="Holdings of Court_23"/>
            <w:bookmarkEnd w:id="236"/>
            <w:r>
              <w:rPr>
                <w:rFonts w:ascii="arial" w:eastAsia="arial" w:hAnsi="arial" w:cs="arial"/>
                <w:color w:val="000000"/>
                <w:sz w:val="20"/>
                <w:lang w:val="en-US" w:eastAsia="en-US" w:bidi="ar-SA"/>
              </w:rPr>
              <w:t>HELD: Action and counterclaim both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Since the defendant never denied the existence of the lease extension agreement when the plaintiff went to discuss the problem in 2007, it was clear an extension had been entered into. The defendant's offer to refund money and transfer ownership was an acknowledgement that there had been a mistake. Since no one except the defendant's lease manager recalled the terms of the extension, his version was accepted. The extension was found to be the same as the original lease, which gave the plaintiff an option to purchase the vehicles at its expiry, with 30 days notice. The extension also contained overholding provisions, which stated if the plaintiff kept the vehicles without giving notice of an intention to purchase, the lease went month-to-month. The plaintiff did not give any notice of an intention to purchase and, instead, kept the vehicles, continued making lease payments and deducting these payments from its tax returns. The defendant had not owed the plaintiff a duty of care to inform it that the lease extension was about to expire. The manager's statement that the lease was still in effect, when the plaintiff called to inquire about the lease in 2003, was somewhat misleading, because the lease had expired and gone month-to-month. However, the defendant then faxed over proper documentation and the plaintiff was negligent in not reading it.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reviewing the lease documents, continuing to use the vehicles and deduct lease payments from its taxes mitigated against the overpayment. The plaintiff then stopped paying and kept the vehicles, which was a breach of contract. However, given the $82,465 overpayment, the defendant had certainly not sustained any damages. Even though the overpayment had been due to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would be unduly harsh to require the plaintiff to now return the vehicles after overpaying so much. The defendant was ordered to transfer ownership to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7" w:name="Counsel_30"/>
      <w:bookmarkEnd w:id="2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 Coad.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E. Drown.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8" w:name="Judgment_31"/>
      <w:bookmarkEnd w:id="238"/>
      <w:r>
        <w:pict>
          <v:line id="_x0000_s1183" style="position:absolute;z-index:2517934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9" w:name="K.M. KER J."/>
            <w:bookmarkEnd w:id="239"/>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Marigold Nurseries Ltd. ("Marigold"), the plaintiff in this action, is a family owned and operated garden centre business on Vancouver Island, started by Raymond Smith's father in 1944. Raymond Smith has spent his entire working life at Marigold Nurseries, starting there on a full-time basis after graduating in 1968. Mr. Smith's father was fully active in the family business until his death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Raymond Smith and his brother, Leonard, assumed ownership of the business on their father's death and ran it jointly until 2001 when Raymond Smith bought out his brother and became the sole owner and operator of the business. The business has 25 full-time employees and during the high season employs about 40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Since 1970, Marigold has leased various vehicles as part of its business operations including eight pickup trucks, five cube vans and a variety of other vehicles. Marigold has always leased Ford vehicles as that was the brand preferred by Mr. Smith's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December 1997, Marigold negotiated three vehicle lease agreements with Victoria Ford Alliance Ltd., the defendant in this action, through the Glenoak Ford dealership in Victoria ("the dealership"), to be executed in the spring of 1998 once new vehicle stock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vehicle lease agreements were for a term of 36 months with an option to purchase the vehicles for their residual values at the end of their leases in the spring of 2001. Marigold asserts that rather than purchasing the three vehicles in the spring of 2001, it then entered into three vehicle lease extension agreements with Murrage Savage, the Fleet and Lease Manager with the dealership, in order to finance the purchase of the vehicles over a further 30 month period. Marigold would then purchase the three vehicles for their residual value, totalling approximately $10,655, at the end of the lease extension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November 2003, at about the time the lease extension agreements were due to expire, an employee of Marigold, operating on instructions from Raymond Smith, made inquiries of the dealership as to the status of Marigold's vehicle leases. The employee was verbally told that "the leases were still in effect" but received faxed documents indicating the actual signed lease extension agreements were missing. Raymond Smith was advised of the status update and that documents about the lease extension agreements, faxed from the dealership to Marigold, were on his desk for review. Mr. Smith failed to look at the documents and made no follow-up inquiries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Notwithstanding annual insurance authorization documents forwarded by the dealership to Marigold, referencing the vehicles as "leased", and Marigold continuing to claim the vehicle lease payments on its annual income tax return as a business operating expense, the issue of the leases did not arise again until the spring of 2007 when Marigold's bookkeeper queried Mr. Smith as to why Marigold continued to make lease payments on the three vehicles. Mr. Smith stopped payment on the leases in April 2007, contacted the dealership, and expressed dissatisfaction that the leases had continued for as long as they had. The parties were unable to reach a satisfactory resolution and Marigold initiated proceedings against the dealership. The dealership initiated a counterclaim against Marigold for damages for the unpaid monthly lease payments from April 2007 until the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Marigold is suing the dealership for monies it argues were wrongfully removed from its bank account by the dealership when Marigold overpaid, by three and a half years, on the vehicle lease extension agreements. Marigold seeks the return of $82,465.31 representing the amount it says it overpaid between November 2003 and April 2007 when it ceased making any lease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Marigold further argues that the dealership owed it a "duty of care" to advise it as to the proper status of the leases when inquiries were made by an employee of Marigold in November 2003. It is Marigold's position that the response by the dealership's employee that "the leases were still in effect" was misleading and in breach of the duty of care it owed to Marigold.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its part, the dealership denies that any lease extension agreements existed, arguing that no such lease extension agreements were authorized by its principal owner, James Carson. Moreover, argues the dealership, the absence of any actual executed lease extension agreement documents in its master or accounts receivable files is proof that no lease extension agreements were made in this case. The dealership argues Marigold simply continued to lease the three vehicles from the dealership on a month to month lease pursuant to the overholding provisions of the original lease agreements from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alternative, the dealership argues that even if lease extension agreements were granted in this case, the terms of the extension agreements would be the same as the standard form for the original lease agreements from 1998. The terms of the standard form contract provide that where the lessee does not notify the lessor that it intends to exercise its option to purchase 30 days before the expiry of the lease agreements, the lessor has the option to permit the lessee to continue to use the vehicles provided the monthly lease payments continue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Accordingly, even if the lease extension agreements are found to have been made in this case they nonetheless converted to month to month leases at the expiry of the extension agreements in November 2003. As Marigold failed to notify the dealership that it was exercising its option to purchase prior to the expiry of the agreements and simply continued to make the lease payments, the dealership argues the lease extension agreements converted to month to month leases pursuant to the overholding terms of the standard form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dealership further argues that it did not owe Marigold any duty of care in November 2003 when Murray Savage advised Marigold that the leases were still in effect, arguing that the standard form contract clearly outlines the terms of the 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the dealership sues Marigold by way of counterclaim for damages in the sum of $53,179.68 plus contractual interest at a rate of 34.5% per annum, compounded and calculated monthly, as the amount due and owing on the continuing month to month leases on the three vehicles which Marigold has failed to pay since April 2007. The dealership seeks an order for damages in this amount and an order that Marigold surrender the three vehicles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Raymond Smith, the owner/operator of Marigold, and Brooke Smith, his daughter and Marigold's Retail Manager, testified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James Carson, the dealer principal and general manager for the dealership, and Carolyn Bruce, the payroll clerk and accounts receivable manager for the dealership, were the only defence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addition to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an agreed statement of facts was filed and marked Exhibit #1 in the trial. It outlines the non-contentious issues and appends various lease agreements, work sheets and other documents germane to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a number of contested factual questions for determination. They can be conveniently divided into the following four issues:</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parties enter into lease extension agreements with respect to the three vehicle leases in question?</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parties entered into lease extension agreements, what were the terms of those further agreements and have the vehicle leases in question become month to month leases by virtue of the overholding terms contained in the standard form lease agreements?</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dealership owe Marigold any "duty of care" to advise it of the proper status of the leases when inquiries were made in November 2003?</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vehicle leases in question are month to month leases under the original lease agreement or by the lapse of any lease extension agreement, what, if any, damages does Marigold owe the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Evidentiary Synopsis and Findings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Agreed Statement of Facts and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details of the three original lease agreements are outlined in Exhibit #1, the agreed statement of facts, which provides the following:</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 corporation duly incorporated under the laws of British Columbia and carries on business at 7874 Lochside Drive, Saanichton, B.C.</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a corporation duly incorporated under the laws of British Columbia and carries on business at 3377 Douglas Street, Victoria, B.C.</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December 1997, the Plaintiff entered into three lease agreements with the Defendant for the purchase of two 3 ton cube vans (serial numbers IFDXE40F0WHB03338 and IFDXE40F0WHA08147) and one 3/4 ton regular van (serial number IFTPE2421WHB32878). Copies of the Motor Vehicle Purchase Agreements pertaining to these transactions are attached as Schedule "A" to this Agreed Statement of Facts. Copies of the Lease Agreements are attached as Schedule "B" to this Agreed Statement of Facts.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lease that was entered into between the parties for the two 3 ton cube vans was a 36-month lease. The lease was based on a purchase price of $37,742.29 per vehicle with fixed regular monthly payments of $1,815.34 at an interest rate of 8.25%. At the end of the term of the lease, the terms of the lease gave the Plaintiff the option to purchase each cube van for $16,500.00.</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lease that was entered into between the parties for the 3/4 ton regular van was a 36-month lease. The lease was based on a purchase price of $23,262.68 with fixed regular monthly payments of $517.27 at an interest rate of 8.25%. At the end of the term of the lease the terms of the lease gave the Plaintiff the option to purchase the 3/4 ton regular van for $12,000.00.</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signed an authorization to allow the Defendant to automatically withdraw the lease payments from the Plaintiff's bank account.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2003, the Plaintiff made enquiries of the Defendant to determine when the leases were up and was advised by an employee and/or agent of the Defendant that the leases were still in effect. Attached as Schedule "C" to the Agreement is a Fax from the Defendant's Employee to the Plaintiff indicating the same. Attached as Schedule "D" to this Agreement are three quotes prepared by the Defendant for the Plaintiff.</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regularly withdrawn funds from the Plaintiff's account pursuant to the Plaintiff's signed authorization. Such payments are set out in the attached Schedule "E" to this Agreed Statement of Facts.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1, 2007, the Plaintiff quit making monthly payments to the Defendant.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date, the Plaintiff continues to have the vehicles in its possession.</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date, the Defendant remains the registered owner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three original lease agreements from 1998 all contain as a clear term of the contract that the Net Lease Purchase Option places the onus on the lessee to notify the lessor 30 days prior to the expiry of the lease if it wishes to exercise its option to purchase the vehicle at the end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All three original lease agreements also include a term for "overholding" that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OVERHOLDING: if the Lessee fails to return the Vehicle to the Lessor on the earlier of the expiry or termination date, the Lessor may elect not to terminate this lease and allow it to continue on a month to month basis in which the Lessee shall pay to the Lessor the monthly payment, any applicable late charges, and other such amounts as the Lessor shall deem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two documents faxed to Marigold in November 2003 as referred to in point # 7 of the agreed statement of facts outlined above, were sent on November 13, 2003, by Murray Savage, the Fleet and Lease Manager of the dealership. The document in Exhibit #1 at Tab C contains two pages - a fax cover sheet and a letter dated November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fax cover sheet indicates that five pages including the cover sheet were sent and the cover sheet contains the following handwritten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have reprinted the info from the lease extensions from March April 2001. I don't have the original signed copies of the extension</w:t>
      </w:r>
      <w:r>
        <w:rPr>
          <w:rFonts w:ascii="arial" w:eastAsia="arial" w:hAnsi="arial" w:cs="arial"/>
          <w:color w:val="000000"/>
          <w:sz w:val="20"/>
          <w:lang w:val="en-US" w:eastAsia="en-US" w:bidi="ar-SA"/>
        </w:rPr>
        <w:t>, only the original lease from 1998. Any questions please call me.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letter of November 13, 2003 that accompanied the fax cover sheet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Attached are copies of the work sheets used to determine the lease payments on the two cube vans and 1 cargo van that you are currently leasing from us. For some reason, </w:t>
      </w:r>
      <w:r>
        <w:rPr>
          <w:rFonts w:ascii="arial" w:eastAsia="arial" w:hAnsi="arial" w:cs="arial"/>
          <w:color w:val="000000"/>
          <w:sz w:val="20"/>
          <w:u w:val="single"/>
          <w:lang w:val="en-US" w:eastAsia="en-US" w:bidi="ar-SA"/>
        </w:rPr>
        <w:t>I am unable to locate the signed contracts that were issued for the extensions in 2001. These are the work sheets that were in the computer to calculate the extensions.</w:t>
      </w:r>
      <w:r>
        <w:rPr>
          <w:rFonts w:ascii="arial" w:eastAsia="arial" w:hAnsi="arial" w:cs="arial"/>
          <w:color w:val="000000"/>
          <w:sz w:val="20"/>
          <w:lang w:val="en-US" w:eastAsia="en-US" w:bidi="ar-SA"/>
        </w:rPr>
        <w:t xml:space="preserve"> If you have any questions please feel free to contact me. Murray Savage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Attached to the fax cover sheet and letter of November 13 were three work sheets, referred to as Schedule D in the agreed statement of facts and which are found at Tab D of Exhibit #1. The handwriting on the work sheets was not that of any of the witnesses called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contract date for two of the work sheets shows as November 13, 2003, presumably the date the work sheets were printed from the dealership's computer system by Mr. Savage and faxed to Brooke Smith at Marigold. On the third work sheet, however, the November date is crossed out and the contract date is handwritten in as May 1, 2001. All three work sheets show the term of the lease extension agreements to be 30 months, which would result in the extension agreements expiring in November 2003, at a time contemporaneous with Mr. Smith's recollection that the lease agreements were about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three work sheets contain figures as to the amount of the monthly lease payments, the value of the vehicles at the time of the lease extension discussions ($16,500 for each of the E450 Cube Vans and $12,000 for the E250 Cargo Van) and the proposed residual value of the vehicles which represents the proposed purchase price for each vehicle at the end of the 30 month lease extension agreement ($2,514 for each of the E450 cube vans and $5,627.04 for the E250 Cargo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fax cover sheet, the November 13, 2003, letter signed by Murray Savage, and the three work sheets were found by Ms. Bruce in April 2007 in the dealership's master files when she briefly searched the files for evidence of the lease extension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two parties have given sharply conflicting testimony with respect to the events and circumstances in relation to the critical fact of whether a lease extension agreement was in fact executed and it is appropriate at this juncture to comment on the credibility of the parties. My findings on essential facts are addressed in the course of the evidentiary review and findings of fact component of these reasons contained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 the Court of Appeal stated the following test for the assessment of credibility of interested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Smith presented himself as an earnest and honest individual but not the most thorough of businessmen in his approach to the business and financial arrangements of Marigold and in particular the details of the leasing arrangements. However, his assertion that he entered into the three lease extension agreements is confirmed by the documents sent to him by Murray Savage at the dealership, on November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Mr. Carson and Ms. Bruce appear to have convinced themselves of the truth of their testimony that lease extension agreements were never signed, authorized or granted, and I accept that they were honestly attempting to tell the truth as they recall it, there are aspects of their evidence and the evidence as a whole that demonstrate that their evidence on the lack of existence of any lease extension agreements has to be rejected. To put it another way, there is no harmony of either witness's evidence with the preponderance of the probabilities which a practical and informed person would readily recognize as reasonable in the circumstances, viewing the plain and unequivocal meaning of the words contained in Mr. Savage's letter to Marigold on November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Some examples of Ms. Bruce's evidence which demonstrate that it has to be rejected as unreliable are as follows: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Bruce, although prepared to outline in detail the paperwork process for lease extension agreements, in fact admitted she had never done such an agreement in her 16 years with the dealership.</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appeared unprepared to admit the possibility of documents being misplaced notwithstanding the clear evidence from the materials in the defendant's own files that would suggest the contrary. Namely, Mr. Savage's letter, stating that lease extension agreements had been signed but were missing from the dealership's files.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tautological reasoning of her evidence that because there were no lease extension agreements in the file they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Carson presented as resentful and defensive about the circumstances in which the dealership found itself over the leasing issue with Marigold. Although his evidence outlines a standard business practice that he engages in when a lease extension agreement is finalized, it fails to address the clear meaning of the materials faxed from the dealership by Murray Savage.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Moreover, Mr. Carson endeavoured to have the Court believe that the first time he ever really considered the actual contents of the materials faxed by Murray Savage to Marigold was the day he testified in this trial. Such a proposition is inconceivable given the fact that the action centres on the existence or otherwise of vehicle lease extension agreements. Furthermore, and significantly, the documents were produced from the dealership's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there are some inconsistencies in Mr. Smith's evidence, I am not persuaded that in the context of all the evidence they are particularly significant. For the most part, he responded to questions carefully and was forthright when he could not recall details about the particular transactions or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Moreover, Mr. Smith's evidence is confirmed by the contents of the materials faxed by Murray Savage to Marigold on November 13, 2003. Overall I find Mr. Smith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Except where other evidence confirms Mr. Carson's evidence, where his evidence conflicts with the evidence of Mr. Smith, Mr. Carson's evidence must be rejected as unreliable and therefore not credible with respect to the existence of the lease extension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Bruce's evidence about the existence of lease extension agreements or otherwise is of no assistance in confirming Mr. Carson given her admission that she had never done a lease extension agreement during her tenure at the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Raymond Smith, the owner/operator of Marigold, testified that Marigold had always leased Ford vehicles, since at least 1970. In December 1997, Mr. Smith and his brother negotiated lease agreements for the three vehicles in issue in this case. The vehicle lease agreements, signed in March, April and May of 1998, were for 36 months and expired in the spring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Sometime in the spring of 2001, Mr. Smith recalled it to be May, Murray Savage, the Fleet and Lease Manager of the dealership, came out to Marigold's Nursery to review the vehicles for damage and mileage and to discuss the state of the leases. Marigold did not want to purchase the three vehicles at that time for the total residual values on the leases (about $45,000) but instead wished to finance the purchase of the vehicles by extending all three leases over a further 30 month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arrangement Mr. Smith made with Murray Savage was that Marigold would continue to make the same monthly payments on all three vehicles over 30 months to reduce the residual values to a reasonable residual purchase price of approximately $2,500 for each of the cube vans and about $5,000 for the cargo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Smith testified that at the end of Murray Savage's visit to the nursery, they both signed some documents and then Mr. Savage left. Murray Savage later faxed the final agreements to Marigold and the documents were placed in Marigold's business files and placed in a filing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Thinking that the lease extensions agreements must be "coming due," Mr. Smith instructed his daughter, in November 2003, to contact the dealership and inquire about the status of the vehicle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Brooke Smith largely confirmed her father's evidence as to the steps she took to determine the status of the vehicle leases Marigold held with the dealership in November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Smith telephoned the dealership and spoke to a man named "Murray" who advised her that "the leases were still in effect" and that he would fax over the documents. Murray Savage then faxed Ms. Smith the documents contained in Schedule C and D of Exhibit #1 on November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Smith informed her father she had spoken to "Murray" and was advised "the leases were still in effect." Ms. Smith also told her father that she had placed the documents faxed by the dealership on his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Smith testified that he knew his daughter placed some documents on his desk that addressed the vehicle leases but failed to review the documents. Mr. Smith indicated he simply forgot about the details, notwithstanding he used the vehicles every day. When asked why he failed to review the documents, Mr. Smith replied "just forgot. Busy with other things. Just slipped through the cracks I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Nothing further was done about the leases until the spring of 2007 when the bookkeeper for Marigold, who had been with Marigold for at least two years at that point in time, questioned Mr. Smith as to why Marigold was still paying for the vehicle leases. Mr. Smith did not realize the leases were still being paid as he did not sign any monthly cheques as the lease payments were made by means of automatic bank withdrawals.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a result of this discussion, Marigold placed a stop payment on all further automatic debits for the lease payments. Mr. Smith contacted the dealership and went in to meet with John Malone, the dealership's General Sales Manager, to discuss the fact that Marigold had overpaid on the vehicle leases for a significant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 to Raymond Smith, his first meeting was just with Mr. Malone. After Mr. Malone admitted there was a problem and acknowledged the leases had gone on longer than they should have, he left the room to speak to Mr. Carson. When Mr. Malone returned, he offered Mr. Smith some compensation which Mr. Smith rejected as inadequate. Mr. Smith's evidence is uncontradicted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When Mr. Smith rejected the compensation offer as inadequate, both Mr. Malone and Mr. Smith went in to meet with Mr. Carson. At this time, according to Mr. Smith, Mr. Carson also admitted there was a problem, although he could not recall the exact wording used, and that Mr. Carson then offered him an agreement to help him out on the purchase of a new vehicle, which Mr. Smith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Smith testified that when he told Mr. Carson he was not interested in a new vehicle, Mr. Carson got up, leaned over his desk and told Mr. Smith "you'll be lucky if you get one f'ing cent, and I know where you are going from here, you're going to see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no time during this meeting did Mr. Carson or Mr. Malone ever advise Raymond Smith that he had not signed any lease extension agreement in May 2001 nor did they advise him that he was on a month to month lease by virtue of the overholding terms of the original 1998 lease agreement. The first time Mr. Smith became aware that the dealership's position was that the three vehicle lease agreements were on a month to month basis was when he received and reviewed the statement of defence filed in this case. Mr. Smith is uncontradicted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Smith testified he no longer had his copy of the faxed sheets for the lease extension agreements, explaining that at the time the agreements were sent to him in May 2001, Marigold had an older style fax machine that used thin rolled sheets of thermal paper. Since this action was commenced, Marigold's copy of the lease extension agreements on the thermal fax paper had faded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faded thermal fax sheets were thrown out because there was nothing left on them. Mr. Smith could not recall who threw the documents out or when but thought it was unlikely to have been done before any meeting at the dealership in 2007 because there was no reason for the matter to come to his attention before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Smith explained that between May 2001 and November 2003 there were a number of significant changes in the life of the business and in his own personal circumstances. In the spring of 2001 there was an abrupt change in the office management with no transition training for the new manager. On the personal side, on November 11, 2001, Mr. Smith was involved in a head-on motor vehicle collision on the Malahat Pass outside Victoria. Mr. Smith, who was not at fault, sustained head and knee injuries. As a consequence of this accident, Mr. Smith suffers from memory loss and is forgetful about some things, although not everything, and his memory for events prior to the accident is unaffected. Finally, sometime in 2001 or 2002, Mr. Smith bought out his brother's share of the business and took over responsibility for all facets of Marigold's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Smith acknowledged that he is ultimately responsible for Marigold's financial statements and tax returns although he has a bookkeeper, an accountant, and a tax lawyer taking care of the details of those matters. He also acknowledged reviewing Marigold's financial statements and going through the statements by general item category, including items such as vehicle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Smith explained that Marigold decided to lease the three vehicles with the option to purchase for cash flow and tax reasons as it made business sense to pay monthly payments rather than a large initial lump sum for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Smith read the lease agreements "in detail" when he signed them, as they were legal documents, but did not read the fine print and was unaware, notwithstanding it being clearly marked on the lease agreement, that he had to notify the lessor 30 days prior to the expiry of the lease if he wished to exercise the option to purchase the vehicles at the end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Smith acknowledged that he did not provide any written notification to the dealership indicating an intention to exercise the option to purchase at the end of the lease. The only notification Mr. Smith provided the dealership of a desire to purchase the vehicles was in the spring of 2001 when he verbally advised Mr. Savage that he wished to re-lease the residual on the vehicles to reduce the residual value and purchase price to a reasonable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Smith testified he received the faxed lease extension agreements from Mr. Savage in May 2001 but did not recall what they looked like. He thought that the terms contained in the work sheets filed in this trial represented the agreement he reached with Mr. Savage in the spring of 2001. He was unable, however, to recall if he paid the initial "Amount Due At Start" amounts as shown on each of the work sheets. He was only able to assume that if it was part of the agreement, those amounts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Smith acknowledged receiving Exhibit #2, a fax from the dealership on April 13, 2006, with a cover sheet and letters for the insurance authorization for the three vehicles he continued to lease from the dealership. Despite the fact that the fax cover sheet refers to "all three of your vehicles leased through Glenoak Ford" and the authorizations themselves clearly refer to "the dealership" as the owner/lessor of the vehicles and Marigold being entitled to be registered as the lessee on the insurance certificates, these reference to the three vehicles continuing to be leased escaped Mr. Smith's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Smith agreed that nowhere between 2003 and 2007 did he seek to have the dealership transfer ownership of the vehicles to Marigold. And, although the monthly payments would continue to be withdrawn and show up on Marigold's financial statements, he acknowledged that a further three and a half years elapsed before his bookkeeper noticed and questioned the continuation of the lease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Smith admitted he was aware that if did not renew the lease or surrender the vehicles at the expiry of the lease agreement that it would turn into a month to month lease, but denied that was what happened in this case. Mr. Smith disagreed with the suggestion that he only discussed the various options available with Mr. Savage in the spring of 2001 at the end of the original lease agreements but never entered into any new agreement or extension. As far as the lease extension agreements were concerned, Mr. Smith testified he signed the extension agreements when Mr. Savage was out at the Nursery looking at the vehicles in May 2001 and then Mr. Savage faxed the final agreements back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Smith also acknowledged that the vehicles continued to be shown as leased vehicles on Marigold's tax returns for the period of 2003 through 2007 and were written off on its tax returns as business operating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James Carson, the owner and general manager of the dealership, testified that the original vehicle lease agreements that Marigold entered into with the dealership in the spring of 1998 were done with the previous owners of Glenoak Ford. Mr. Carson bought the dealership in July 1998 and assumed the lease portfolio and the vehicle leases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noted, Carolyn Bruce, the payroll clerk and accounts receivable manager for the dealership, has worked there for the past 16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Both Mr. Carson and Ms. Bruce outlined in their evidence the usual operating process for any vehicle lease and lease extension agreements made with the dealership. Ms. Bruce's evidence on the extension process is of no assistance however, given her acknowledgement in cross-examination that in her 16 years of work at the dealership she had never processed a vehicle lease extension agreement and that they were done very rarely. Mr. Carson, on the other hand, seemed to recall authorizing about 5 to 10 vehicle lease extension agreements during his ownership of the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thrust of Mr. Carson's evidence on the usual extension process was that if a customer seeks to extend a vehicle lease, the customer first discusses the matter with the sales representative administering the lease files in question. Before they can enter into any sort of extension agreement, the sales representative must then obtain Mr. Carson's authorization of the 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 to Mr. Carson, the usual course for authorization involves him initialling the work sheet that sets out the terms and conditions of the proposed lease extension agreement and thus indicating his approval and authorization of the lease extension agreement. Ms. Bruce's evidence was slightly vaguer on this point, simply indicating that a signature is placed on the dealership's lease file to indicate authorization of the lease or its extension. Both witnesses stated that the dealership's salesmen are not able to finalize a lease extension agreement without Mr. Carson's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Generally, after the terms and conditions for any lease extension agreements are outlined in the work sheets, approved, and authorized, a new net lease agreement, in the same standard form as the original lease agreement found at Tab B of Exhibit #1, is prepared and signed by all the parties. Any initial start up payment, such as an amount due at the start of the lease agreement or customer cash down amounts included in the work sheet terms, is paid by the customer to the dealership at the time the lease agreement is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 to both Mr. Carson and Ms. Bruce, when a vehicle lease term approaches expiry, it is the responsibility of the lessee to contact the dealership and come in and either re-negotiate the lease or buy the lease out. The dealership does not have a computerized system that alerts them that a lease term is about to expire. So long as the payments continue to be made on the lease agreement, the original lease converts to a month to month lease by virtue of the overholding terms of the lease. The dealerships system is, as Mr. Carson testified, "geared up to collect the money and unless the money isn't being collected, there's no red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standard form contract used by the dealership on all its lease agreements and lease extension agreements provides for a net lease purchase option, permitting the lessee to purchase the vehicle at the end of the lease, provided the lessee notifies the lessor of this intention 30 days prior to the expiry of the contract. If the lessee does not notify the lessor of an intention to purchase the vehicle at the expiry of the lease agreement but continues to make the monthly payments, the lessor may, pursuant to the "overholding" terms of the contract, allow the lease to continue on a month to month basis. It was Mr. Carson's evidence that this is what happened in the case of Marigold's three vehicle leases from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Bruce's evidence as to the steps involved in processing lease agreements largely confirmed Mr. Carson's general evidence on the business practice he employed at the dealership. However, this general process evidence does not help address the critical point of whether vehicle lease extension agreements were issued to Marigold in May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spring of 2001 when Marigold's three 1998 vehicle lease agreements were about to expire, Mr. Carson did not have any discussions with Marigold about the state of their leases. Nor did Murray Savage have any discussions with him about any lease extension agreements with Marigold. And, according to Mr. Carson, he did not authorize any lease extension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Similarly, Ms. Bruce had no recollection of processing any paperwork for lease extension agreements that pertained to the three vehicles leased by Marigold. Nor did she ever speak to Mr. Savage about the three vehicle leases in issue in 2001. As noted earlier though, Ms. Bruce's evidence on this particular point is of no assistance as she has never processed a lease extension agreement in her 16 years employment at the dealership. Clearly, however, lease extension agreements have been authorized and done at the dealership since Mr. Carson assumed ownership of the dealership in the summer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Carson testified that the documents faxed by Murray Savage to Marigold did not accurately represent the state of affairs with respect to Marigold's vehicle leases in November 2003 as he had not authorized any lease extension agreements. However, he could not explain why Murray Savage had written what was contained in the faxed letter and cover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directed to look at the materials faxed by Mr. Savage to Marigold and asked what he made of them he replied: "I don't really know what to make of them, to tell you the truth. I think it - - it means what it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April 2007, Ms. Bruce simply checked the contents of each of the Marigold vehicle lease files in an effort to locate the lease extension agreements but found no such document in the files. Ms. Bruce did find the fax cover page, letter and work sheets Mr. Savage sent to Marigold in November 2003, and agreed that someone reading Mr. Savage's communications could reasonably infer that lease extensions had been granted. I infer from Ms. Bruce's evidence that no other files or areas of the dealership were searched in an effort to try and locate the missing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far as Mr. Carson and Ms. Bruce were concerned there were no other agreements between the parties in respect of the three vehicles other than the original lease agreements of 1998 as contained in Tab B of Exhibit #1 simply because the dealership files do not contain any of the required paperwork to support the existence of any lease extension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Both Mr. Carson and Ms. Bruce were adamant that the files in issue were never misplaced. However, Mr. Carson could not explain why the defendant's counsel had written the plaintiff's counsel asking for copies of the lease extension agreements "[i]n order to assist our client in locating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seems clear, and I find from the totality of the evidence adduced in this case, particularly the written documents generated by the dealership through Mr. Savage, that the lease extension agreements were granted but were misplaced before making it into the dealership's lease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two defence witnesses have differing recollections as to how the issue of Marigold's vehicle leases surfaced in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was Mr. Carson's evidence that in April 2007, the issue of Marigold's leases first came to his attention when he instructed Ms. Bruce and John Malone to contact Marigold and discuss bringing the leases to a conclusion. Mr. Carson explained that the dealership was in the process of liquidating its lease fleet and wanted to remove the leases, and the attendant liability, from the defendant's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Within a week or two of instructing his staff to contact Marigold, Mr. Carson recalled meeting with Mr. Smith, who expressed his displeasure over the situation. Mr. Smith told him he had signed a lease extension agreement with Murray Savage in 2001. Mr. Carson told Mr. Smith he would investigate the matter and get back to him and hopefully they could reach an amicable solution. It was Mr. Carson's recollection that once it became apparent that a lawsuit was going to be launched, the defendant decided not to make things worse and stopped collecting the monthly payments and agreed not to repossess the vehicle so the plaintiff could continue to conduct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Carson did not think that matters came to a head because Mr. Smith contacted the dealership to complain that they had been withdrawing money for too long on the leases. He explained that he had no inkling that there was any problem until he actually met with Mr. Smith and Mr. Smith raised his concerns about the lease extension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respect of the three vehicle lease agreements with Marigold, Mr. Carson recalled asking Ms. Bruce in April 2007 to bring him the master files for the Marigold leases. He searched Marigold's master files, which should contain all the paperwork for any particular lease agreement, but found no lease extension agreements. The contents of the files were simply the original 1998 lease agreements, paperwork associated to those lease agreements and the fax cover sheet, letter and work sheets of November 2003 from Murray Savage.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contrast to Mr. Carson's evidence on how the issue of Marigold's leases came to the dealership's attention in April 2007, Ms. Bruce testified that it was not until after Marigold placed a stop payment on the automatic withdrawals to the dealership in April 2007 that the matter came to the attention of the accounts receivable department. When this happened, Ms. Bruce took the files to Mr. Carson and asked him what was to be done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Bruce recalled she was asked by Mr. Carson to look at the lease files for Marigold to ensure they were current and to look for any lease extension documents in the files as Mr. Smith was saying he had signed lease extension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Bruce quickly checked the contents of each of the Marigold vehicle lease files in an effort to find the lease extension agreements but found no such document in the files, only find the fax cover page, letter and work sheets Mr. Savage sent to Marigold Nursery on November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Mr. Carson's evidence, Marigold would have been alerted to the issue of the leases by the dealership contacting it to discuss bringing the matters to a close. Mr. Smith was never asked about this scenario. Moreover, it is contradicted by Ms. Bruce's recollection of the matter first coming to the defendant's attention through the accounts receivable department when Marigold stopped making payments on the lease, and Mr. Smith's recollection that he brought the matter up with the dealership before they were aware of anything. I find Mr. Carson to be mistaken on his recollection as to how the matter was first raised with Marigold. I accept Mr. Smith's evidence on this point that he raised the matter with the dealership, meeting first with Mr. Malone and then with both Mr. Malone and Mr. Carson. Mr. Carson's recollection that he knew nothing of Mr. Smith's concern about the lease extension agreements until he met with him is not inconsistent with Mr. Smith's explanation of meeting with Mr. Malone first and then both men meeting with Mr.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Carson testified that at no time during the meetings with Mr. Smith did he admit that the dealership had made a mistake. He agreed in cross-examination that at one point in the discussions with Mr. Smith he offered to settle the matter by paying Marigold $6,000 and turning over ownership of the vehicles to Mr. Smith for the sum of $1.00 per vehicle but that this was purely a good faith business decision, to avoid going to court and paying legal fees. I do not accept Mr. Carson's evidence on this point. When one looks at the content of the documents faxed by Murray Savage and how the matter was raised first by Marigold stopping the automatic withdrawal payments for the leases and then arranging a meeting with Mr. Malone to clarify the matter, it is entirely conceivable, and I accept Mr. Smith's evidence, that both Mr. Malone and then Mr. Carson acknowledged making a mistake in this case. Moreover, Mr. Carson's offer to settle by refunding $6,000 and turning over ownership in the three vehicles can be fairly interpreted as an acknowledgment of a mistake and problem over the lease agreements. The offer is in my view inconsistent with any belief that the lease agreements were simply month to month leases by virtue of the overholding provisions of the original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Neither party called Mr. Savage as a witness to provide any evidence about his recollection of signing lease extension agreements with Marigold or as to what he meant by his cover sheet and faxed letter of November 13, 2003, that clearly indicate the existence of "signed contracts that were issued for the extensions in 2001". Accordingly the Court is left to simply construe the meaning of the faxed materials from the words contained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Bruce testified that she reviews all the vehicle lease files annually for insurance purposes as the dealership has to send the lessee's insurance company an authorization letter saying they authorize the vehicles to be insured. In Marigold's case, Ms. Bruce would either send the authorization directly to the insurance company if they requested it or she would send it the plaintiff if they had requested the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April 13, 2006, Ms. Bruce faxed to "Ray" at Marigold Nurseries three authorization letters for the three vehicles he leased through the Glenoak Ford dealership in order for Marigold to reinsure the three leased vehicles. No one from Marigold contacted her about the contents of this fax or the three vehicles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Bruce reviewed the accounts receivable for the three vehicle leases held by Marigold and noted that only the monthly lease payments had been made. Although the three work sheets all contain a value for "Amount Due At Start" at line 25 of the documents, line 23 of the documents, "Customer Cash Down", contains no sum at all. This evidence might suggest that Marigold had not actually entered into the lease extension agreement. However, it is not inconceivable that the "Amount Due At Start" was somehow waived given the fact that Marigold had been overholding and on a month to month lease with the original 1998 lease agreements for one vehicle for three months, one vehicle for two months and the third vehicle for one month at the time Mr. Savage attended at Marigold's business premises on May 2001. No evidence was adduced by either party to show what specific payments were made by Marigold at the time of the lease extension agreements that Mr. Savage's correspondence indicates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Were lease extension agreements completed in the spring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Bruce simply checked the dealership lease files and flipped through the file to try and locate the lease extension agreements. Both Mr. Carson and Ms. Bruce maintained the position that because no lease extension agreements and authorizations were in the lease files, no extensions had been granted. Ms. Bruce went one step further in her evidence and suggested that the reason Mr. Savage could not find any lease extension agreements was because there were none, as none had crossed her desk. This rather simplistic reasoning is of no assistance in this matter, particularly in light of her admission in cross-examination that she had never "done" a lease extension agreement in her 16 years with the dealership. Clearly, on Mr. Carson's evidence, vehicle lease extension agreements had been done at the dealership. Simply because Ms. Bruce did not see or process any such agreements in her entire career with the dealership does not support the conclusion that no lease extension agreements were granted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logical inference available on all the evidence, particularly in light of the clear wording of the documents produced by Mr. Savage on November 13, 2003, is that lease extension agreements were made between Mr. Savage on behalf of the dealership and Mr. Smith on behalf of Marigold. Sometime after the extension agreements were signed and faxed to Marigold, the original documents were misplaced, possibly misfiled, and did not make it into the dealership's lease files for Marigold, which were kept in the general office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reinforced in my conclusion that lease extension agreements were granted but misplaced in this case by the fact that no one from the dealership told Mr. Smith or Marigold during their meetings with him in April 2007 that there were no lease extension agreements and that he was simply on a month to month lease pursuant to the overholding provisions of the 1998 agreements. If Mr. Carson had believed that this was the case he would have clearly said so in this meeting with Mr. Smith, and neither he or Mr. Malone would have admitted to Mr. Smith that there was a problem and offered a settlement to address it. Had no lease extensions ever been granted, furthermore, Mr. Savage would not have written what he did to Marigold in November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Carson and Ms. Bruce were clear in their evidence that no other lease agreements for the three vehicles leased by Marigold were in place apart from the original vehicle lease agreements signed in 1998, simply because no lease extension agreements had been authorized by him and the master files contained none of the usual documentation. The logic of that position, however, ignores the reality of the situation, namely that Murray Savage had forwarded documents to Marigold in November 2003 that clearly assumed and supported the existence of signed vehicle lease extension agreements. The documents suggested that lease extensions were in fact executed, but misplaced. The documents did not suggest that no lease extensions had ever been signed. These documents were then placed in the dealership's master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Based on the evidence of Mr. Smith as confirmed by the documents generated by Mr. Savage on November 13, 2003, I find that there were lease extension agreements for the three vehicles Marigold was leasing from the dealership. The documents faxed to Marigold by Mr. Savage on November 13, 2003, simply admit of no other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What were the terms of the lease extension agreements and did the leases become month to month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Smith is unable to recall what the exact terms of the lease extension agreements were apart from what was contained in the work sheets faxed to Marigold by Mr. Savage in November 2003. Nor did Mr. Smith recall what the documents that he signed with Mr. Savage in May 2001 looked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Consequently, the issue of the terms of the lease extension agreements falls to be decided based upon the evidence of Mr.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Although I have rejected Mr. Carson's evidence on the point that no lease extension agreements were granted in this case, I do accept his evidence that any extension agreement would be in the same form as the standard form vehicle lease agreement Mr. Smith and Marigold originally signed in 1998 as contained in Schedule B of Exhibit #1. Accordingly, the lease extension agreements would contain the same net option to purchase term that requires 30 days notice by the lessee to the lessor of any intention to purchase the vehicles. The standard form lease agreements, and by inference, the lease extension agreements that were entered into between Marigold and the dealership in May 2001, therefore also contain the overholding provisions that I have previously outlined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By virtue of the evidence of Mr. Smith and the documents generated by Mr. Savage, the lease extension agreements were dated May 1, 2001, and were for a further 30 month term. The residual values for each E450 Cube Van was $2,514 and for the E250 Cargo Van $5,627.40.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lease extension agreements, as evidenced by the work sheets, were for a 30 month term commencing on May 1, 2001. Accordingly, the lease extension agreements would have expired on or about October 31, 2003. By virtue of the 30 day notice requirement, Marigold was required to give the dealership notice of its intention to purchase the vehicles on or about October 1, 2003. It did not do so and it did not return the vehicles to the dealership on the expiry of the extension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overholding provisions of the lease extension agreements would come into effect on November 1, 2003, provided the lessor elects not to terminate the lease. The dealership in this case very clearly elected not to terminate the lease and continued to accept the monthly payments made by Marigold treating the agreements as month to month leases. The fact that Marigold did not exercise its option to purchase the vehicles at the expiry of the 30 month lease term and the dealership did not seek the return on the vehicles at that time, coupled with the continuing payments on the lease extension agreements, supports the conclusion that the lease extension agreements did become month to month leases upon expiry of the 30 month term of the lease extension agreements by virtue of the overholding provisions of the standard form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Did Victoria Ford Alliance owe a "Duty of Care" to Marigold?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Marigold has pleaded in its Statement of Claim that the dealership owed it a "duty of care" to advise when the lease terms had expired and failed to do so in November 2003 when the three vehicle lease extension agreements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Smith testified that when he had leased from Ford Canada he always received notification that a lease was about to expire so that the customer would get into the dealership to have the vehicle inspected and terminate the lease. However, that was not the standard practice of the dealership involved in this case as Mr. Carson and Ms. Bruce so clearly outlined. Moreover, there is no evidence that Ford Canada's lending and leasing practices or vehicle lease agreements are the same as those used in dealership arranged vehicle lease agreements such as occurred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clear terms of the contract, with the net purchase option term, and the overholding term, clearly place the onus on the lessee to monitor when the lease is set to expire, not the lessor. There is no duty of care to advise a lessee as to when a contract is about to expire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argument however, Marigold refined its position and argued that the materials Mr. Savage faxed to Marigold and his representation to Brooke Smith during their telephone conversation on November 13, 2003, that "the leases were still in effect" amount to a negligent misrepresentation as to the true status of the leases and as such breached the duty of care the dealership owed to Marigold to properly advise of the status of the leases when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For its part, the dealership argues it owed no duty of care in the circumstances and that the terms of the contract clearly delineated the legal and other interests of the parties, both sophisticated corporations familiar with the business and process of leasing vehicles. As this was a business arrangement, argues the dealership, Marigold had no reasonable expectation that the dealership would protect its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Payne v. Eagle Ridge Pontiac GMC Ltd.</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2009 BCSC 530</w:t>
        </w:r>
      </w:hyperlink>
      <w:r>
        <w:rPr>
          <w:rFonts w:ascii="arial" w:eastAsia="arial" w:hAnsi="arial" w:cs="arial"/>
          <w:color w:val="000000"/>
          <w:sz w:val="20"/>
          <w:lang w:val="en-US" w:eastAsia="en-US" w:bidi="ar-SA"/>
        </w:rPr>
        <w:t xml:space="preserve">, Madam Justice Smith helpfully summarized the current law on negligent misrepresentation, commencing with </w:t>
      </w: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[1964] A.C. 465, [1963] All E.R. 575 (H.L.), the starting point for the law of negligent misstatement, has been significantly modified by more recent jurisprudence in Canada. In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a bank (Heller) negligently provided a positive credit report to the plaintiff in respect of one of the plaintiff's customers, Easipower. The plaintiff relied on the information and took responsibility for some of Easipower's business liabilities, suffering a loss when Easipower went bankrupt. The bank had sought to shield itself from liability by including a written disclaimer in its original report. The House of Lords found that the relationship between Hedley Byrne and Heller was sufficiently proximate to create a duty of care: Heller should have known that Hedley Byrne would rely on its representations. However, in the outcome, Heller was absolved of liability for Hedley Byrne's loss because of it had employed an effective disclaimer.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has adopted and modified the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principle concerning duty of care for negligent misstatement: see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45 C.C.E.L. 153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w:t>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the Court referred (at 110) to the five criteria established in </w:t>
      </w:r>
      <w:r>
        <w:rPr>
          <w:rFonts w:ascii="arial" w:eastAsia="arial" w:hAnsi="arial" w:cs="arial"/>
          <w:i/>
          <w:color w:val="000000"/>
          <w:sz w:val="20"/>
          <w:lang w:val="en-US" w:eastAsia="en-US" w:bidi="ar-SA"/>
        </w:rPr>
        <w:t>Hedley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Byrne</w:t>
      </w:r>
      <w:r>
        <w:rPr>
          <w:rFonts w:ascii="arial" w:eastAsia="arial" w:hAnsi="arial" w:cs="arial"/>
          <w:color w:val="000000"/>
          <w:sz w:val="20"/>
          <w:lang w:val="en-US" w:eastAsia="en-US" w:bidi="ar-SA"/>
        </w:rPr>
        <w:t xml:space="preserve"> for a finding of negligent misrepresentation: (1) the duty of care must be founded on a special relationship between the person making the representation and the person receiving it; (2) the representation must be untrue, inaccurate or misleading; (3) the representor must have acted negligently in making the representation; (4) the representee must have acted reasonably in relying on it; and (5) the reliance must have been detrimental to the representee in that it resulted in damage.</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Hercules Management</w:t>
      </w:r>
      <w:r>
        <w:rPr>
          <w:rFonts w:ascii="arial" w:eastAsia="arial" w:hAnsi="arial" w:cs="arial"/>
          <w:color w:val="000000"/>
          <w:sz w:val="20"/>
          <w:lang w:val="en-US" w:eastAsia="en-US" w:bidi="ar-SA"/>
        </w:rPr>
        <w:t xml:space="preserve">, a case concerning alleged misrepresentations made to shareholders in an auditor's report, the Supreme Court reconciled the negligent misrepresentation cases with the overarching principles regarding duty of care that were stated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[1977] 2 All E.R. 492 (H.L.). It ruled that the two-stage test from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should be applied, with some modifications, to determine whether a duty of care exists. This approach has more recently been affirmed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explained in </w:t>
      </w:r>
      <w:r>
        <w:rPr>
          <w:rFonts w:ascii="arial" w:eastAsia="arial" w:hAnsi="arial" w:cs="arial"/>
          <w:i/>
          <w:color w:val="000000"/>
          <w:sz w:val="20"/>
          <w:lang w:val="en-US" w:eastAsia="en-US" w:bidi="ar-SA"/>
        </w:rPr>
        <w:t>Hercules Management</w:t>
      </w:r>
      <w:r>
        <w:rPr>
          <w:rFonts w:ascii="arial" w:eastAsia="arial" w:hAnsi="arial" w:cs="arial"/>
          <w:color w:val="000000"/>
          <w:sz w:val="20"/>
          <w:lang w:val="en-US" w:eastAsia="en-US" w:bidi="ar-SA"/>
        </w:rPr>
        <w:t xml:space="preserve"> that the first stage of the Anns test requires a decision as to whether the defendant-representor and plaintiff-representee were in a relationship of proximity or neighbourhood (at para. 22). The Court then stated at paras. 23-24: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order to render "proximity" a useful tool in defining when a duty of care exists in negligent misrepresentation cases, therefore, it is necessary to infuse that term with some meaning. In other words, it is necessary to set out the basis upon which one may properly reach the conclusion that proximity inheres between a representor and a representee.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can be done most clearly as follows. The label "proximity", as it was used by Lord Wilberforce in </w:t>
      </w:r>
      <w:r>
        <w:rPr>
          <w:rFonts w:ascii="arial" w:eastAsia="arial" w:hAnsi="arial" w:cs="arial"/>
          <w:i/>
          <w:color w:val="000000"/>
          <w:sz w:val="20"/>
          <w:lang w:val="en-US" w:eastAsia="en-US" w:bidi="ar-SA"/>
        </w:rPr>
        <w:t>Anns, supra</w:t>
      </w:r>
      <w:r>
        <w:rPr>
          <w:rFonts w:ascii="arial" w:eastAsia="arial" w:hAnsi="arial" w:cs="arial"/>
          <w:color w:val="000000"/>
          <w:sz w:val="20"/>
          <w:lang w:val="en-US" w:eastAsia="en-US" w:bidi="ar-SA"/>
        </w:rPr>
        <w:t xml:space="preserve">, was clearly intended to connote that the circumstances of the relationship inhering between the plaintiff and the defendant are of such a nature that the defendant may be said to be under an obligation to be mindful of the plaintiff's legitimate interests in conducting his or her affairs. Indeed, this idea lies at the very heart of the concept of a "duty of care", as articulated most memorably by Lord Atkin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at pp. 580-81. In cases of negligent misrepresentation, the relationship between the plaintiff and the defendant arises through reliance by the plaintiff on the defendant's words. Thus, if "proximity" is meant to distinguish the cases where the defendant has a responsibility to take reasonable care of the plaintiff from those where he or she has no such responsibility, then in negligent misrepresentation cases, it must pertain to some aspect of the relationship of reliance. </w:t>
      </w:r>
      <w:r>
        <w:rPr>
          <w:rFonts w:ascii="arial" w:eastAsia="arial" w:hAnsi="arial" w:cs="arial"/>
          <w:color w:val="000000"/>
          <w:sz w:val="20"/>
          <w:u w:val="single"/>
          <w:lang w:val="en-US" w:eastAsia="en-US" w:bidi="ar-SA"/>
        </w:rPr>
        <w:t xml:space="preserve">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 To use the term employed by my colleague, Iacobucci J., in </w:t>
      </w:r>
      <w:r>
        <w:rPr>
          <w:rFonts w:ascii="arial" w:eastAsia="arial" w:hAnsi="arial" w:cs="arial"/>
          <w:i/>
          <w:color w:val="000000"/>
          <w:sz w:val="20"/>
          <w:u w:val="single"/>
          <w:lang w:val="en-US" w:eastAsia="en-US" w:bidi="ar-SA"/>
        </w:rPr>
        <w:t>Cognos</w:t>
      </w:r>
      <w:r>
        <w:rPr>
          <w:rFonts w:ascii="arial" w:eastAsia="arial" w:hAnsi="arial" w:cs="arial"/>
          <w:color w:val="000000"/>
          <w:sz w:val="20"/>
          <w:u w:val="single"/>
          <w:lang w:val="en-US" w:eastAsia="en-US" w:bidi="ar-SA"/>
        </w:rPr>
        <w:t>, supra, at p. 110, the plaintiff and the defendant can be said to be in a "special relationship" whenever these two factors inhere</w:t>
      </w:r>
      <w:r>
        <w:rPr>
          <w:rFonts w:ascii="arial" w:eastAsia="arial" w:hAnsi="arial" w:cs="arial"/>
          <w:color w:val="000000"/>
          <w:sz w:val="20"/>
          <w:lang w:val="en-US" w:eastAsia="en-US" w:bidi="ar-SA"/>
        </w:rPr>
        <w: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Thus, the key questions are: 1) whether it was reasonably foreseeable that the plaintiff would rely on the representation, and 2) whether reliance by the plaintiff was reasonable in the circumstances.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(at para. 43) listed five indicia of reasonable reliance: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 (this factor is often referred to simply as "pecuniary interest");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possessed of special skill, judgment or knowledge;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was given deliberately and not at a social event;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was given in response to a specific inquiry or request.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overarching question is set out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at paras. 33-34: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this Court stated in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at para. 24, per La Forest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label "proximity", as it was used by Lord Wilberforce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was clearly intended to connote that the circumstances of the relationship inhering between the plaintiff and the defendant are of such a nature that the defendant may be said to be under an obligation to be mindful of the plaintiff's legitimate interests in conducting his or her affairs. [Emphasis added by the Court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stage, requiring determination of whether a finding of a prima facie duty of care should be negated on public policy grounds, arises only when the case is "novel" and does not fall within a previously recognized category: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at para. 39. The Court referred, at para. 36, to liability for negligent misstatement as a previously recognized category of recovery.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Micron Construction Ltd. v. Hongkong Bank</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2000 BCCA 141</w:t>
        </w:r>
      </w:hyperlink>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184 D.L.R. (4th) 75</w:t>
        </w:r>
      </w:hyperlink>
      <w:r>
        <w:rPr>
          <w:rFonts w:ascii="arial" w:eastAsia="arial" w:hAnsi="arial" w:cs="arial"/>
          <w:color w:val="000000"/>
          <w:sz w:val="20"/>
          <w:lang w:val="en-US" w:eastAsia="en-US" w:bidi="ar-SA"/>
        </w:rPr>
        <w:t>, at para. 103, Esson J.A. for the majority in the Court of Appeal suggested that the confusion inherent in the term "reasonable reliance" might be reduced if the term "justifiable reliance" were used to state the test for imposing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confusion inherent in the term "reasonable reliance" might be reduced if the term "justifiable reliance" was employed to state the test for imposing liability. That is a term which Professor Blom has employed in this context, as in this passage in his 1986-1987 article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para. 86) at p. 283: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suggest the following general proposition, the underlying rationale of which extends beyond negligent misstatement to all forms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case of negligent misstatement causing pure economic loss on a contract or other financial transaction, it is not enough that the average person would foreseeably rely on the defendant's statements. The defendant owes the plaintiff no duty of care unless a reasonably prudent and sceptical person, in the plaintiff's position, would have been led by the defendant's words or conduct to believe that he had an assurance of the defendant's taking reasonable care, equivalent in weight to the defendant's promise.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in such a case can the plaintiff truly be said to have placed justifiable reliance on the defendant. This distinction between the plaintiff who foreseeably relies, and the plaintiff who is justified in relying, also mitigates the risk of liability to an indeterminately large group. The relationship between the defendant and such a large group will seldom justify the inference of an assurance like the one suggested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Considering and applying the principles set out above to the circumstances that exist in this case, it is not unreasonable to infer that Marigold and the dealership were in a special relationship, i.e. a sufficiently close relationship such that it is within the reasonable contemplation of the dealership that carelessness on its part in terms of the information it imparted might cause damage to Marigold.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dealership in this case ought reasonably to have foreseen that Marigold would rely on the representations made by Murray Savage in the telephone conversation and through his faxed correspondence, and that reliance by Marigold on the representations would, in the circumstances, be reasonable. I am reminded of the oft cited statement of Lord Reid at p. 583 (All E.R.) in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reasonable man, knowing that he was being trusted or that his skill and judgment were being relied on, would, I think, have three courses open to him. He could keep silent or decline to give the information or advice sought; or he could give an answer with a clear qualification that he accepted no responsibility for it or that it was given without that reflection or inquiry which a careful answer would require; or he could simply answer without any such qualification. </w:t>
      </w:r>
      <w:r>
        <w:rPr>
          <w:rFonts w:ascii="arial" w:eastAsia="arial" w:hAnsi="arial" w:cs="arial"/>
          <w:color w:val="000000"/>
          <w:sz w:val="20"/>
          <w:u w:val="single"/>
          <w:lang w:val="en-US" w:eastAsia="en-US" w:bidi="ar-SA"/>
        </w:rPr>
        <w:t>If he chooses to adopt the last course he must, I think, be held to have accepted some responsibility for his answer being given carefully, or to have accepted a relationship with the inquirer which requires him to exercise such care as the circumstances require</w:t>
      </w:r>
      <w:r>
        <w:rPr>
          <w:rFonts w:ascii="arial" w:eastAsia="arial" w:hAnsi="arial" w:cs="arial"/>
          <w:color w:val="000000"/>
          <w:sz w:val="20"/>
          <w:lang w:val="en-US" w:eastAsia="en-US" w:bidi="ar-SA"/>
        </w:rPr>
        <w:t xml:space="preserve"> ...</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terms of reasonable or justifiable reliance, however, Marigold cannot argue that it simply relied upon the information provided in the telephone conversation between Brooke Smith and Murray Savage as that information was clearly qualified and placed in question by the faxed materials that Mr. Savage forwarded to Marigold right after the telephone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Indeed, although the comment "the leases were still in effect" might be construed as misrepresenting the facts, the statement was not entirely inaccurate either, since the lease extension agreements </w:t>
      </w:r>
      <w:r>
        <w:rPr>
          <w:rFonts w:ascii="arial" w:eastAsia="arial" w:hAnsi="arial" w:cs="arial"/>
          <w:i/>
          <w:color w:val="000000"/>
          <w:sz w:val="20"/>
          <w:lang w:val="en-US" w:eastAsia="en-US" w:bidi="ar-SA"/>
        </w:rPr>
        <w:t>were</w:t>
      </w:r>
      <w:r>
        <w:rPr>
          <w:rFonts w:ascii="arial" w:eastAsia="arial" w:hAnsi="arial" w:cs="arial"/>
          <w:color w:val="000000"/>
          <w:sz w:val="20"/>
          <w:lang w:val="en-US" w:eastAsia="en-US" w:bidi="ar-SA"/>
        </w:rPr>
        <w:t xml:space="preserve"> still in effect, albeit having just converted to a month to month basis through the overholding provisions of the contract. As such, and despite the comments made by Mr. Savage over the telephone, the content of the faxed materials clearly put Marigold on notice not only that the original signed lease extension agreements were missing, but that the 30 month term of the contract outlined in the work sheets had expired. In other words, for Marigold to rely solely on the brief words stated by Mr. Savage, when it had further documentation in its possession that called those words into question, would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Although Mr. Smith explained in his evidence that when he had leased from Ford Canada he had always received notification that a lease was about to expire so that the customer would get into the dealership to have the vehicle inspected and terminate the lease, that was not the standard practice of the dealership involved in this case. Moreover, there is no evidence that Ford Canada's lending and leasing practices or vehicle lease agreements are the same as those used in dealership-arranged vehicle lease agreements such as occurred in this case. As such, Mr. Smith's failure to follow up or even check the documents that had been faxed to Marigold by Mr. Savage vitiates any notion of reliance on the information conveyed. The documentary information conveyed certainly put Marigold on notice that the lease extension agreements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Moreover, it is not unreasonable to infer that a prudent and diligent businessperson would have reviewed the documents forwarded by Mr. Savage and made immediate inquiries as to the status of their own business files in an effort to locate a copy of the executed lease extension agreements. The dealership owes no enhanced duty of care to protect Mr. Smith from his careless and haphazard approach to the business and status of the vehicle leases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While the dealership, through the verbal and written representations made by Mr. Savage did have a duty of care to provide accurate information to Marigold as to the status of the leases when those inquiries were made, they clearly discharged that burden with the materials faxed to Marigold.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Finally, Mr. Smith and Marigold were clearly on notice that the lease extension agreements were continuing on a month to month basis through the insurance renewal authorizations faxed to his attention on April 13, 2006, which clearly state the vehicles were subject to lease agreements. Mr. Smith and Marigold would also have been on notice that the leases were continuing through the company's annual tax returns generated in the years since the expiry of the agreement in 2004, 2005 and 2006 as the vehicle lease payments were claimed as part of the business operating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Mr. Smith's failure to review the documents Marigold received on November 13, 2003, and his seemingly lax approach to certain business and financial details cannot be visited upon the dealership. Any duty of care the dealership may have owed Marigold to provide accurate information about the leases when asked was discharged by the documents faxed to Marigold. And, even if the materials could be construed to constitute a negligent misrepresentation, Marigold did not rely upon them but simply ignored them and continued to make the lease payments and obtain the benefit of the tax deductions. As Marigold failed to take any further steps to follow up on the notice of a problem with the existence of the signed lease extension agreements it received in November 13, 2003, it can hardly benefit from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do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combination of the plaintiff having failed to establish that the defendant breached any duty of care it may have owed the plaintiff in November 2003 and the plaintiff's continued use and enjoyment of the vehicles and the tax benefits of claiming the lease payments as a business operating expense militate against granting any order that the defendant must return the sum of $82,465.31 to the plaintiff as the amount the plaintiff overpaid on the vehicle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Has Victoria Ford Alliance sustained damages as a result of the unpaid lease payments since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Having found that lease extension agreements were made in this case and that they converted to month to month leases on the expiry of the 30 month term in November 2003, the next issue to determine is whether Marigold owes the dealership further lease payments for the period of time between April 1, 2007, and the time of trial, as it continued to have the benefit of the use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is important at this point to recall that by the time the lease extension agreements expired in November 2003, the combined residual value of the three vehicles, as evidenced in the work sheets, was approximately $10,655. By continuing to make lease payments for a further three and a half years, Marigold paid $93,120.35 in additional lease payments. Deducting the residual values of the vehicles at the expiry of the lease extension agreement results in Marigold having paid an extra $82,465.31.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total original value of the three vehicles when the leases were first executed in 1998 was $93,703.00. Over the course of the 66 month lease period covered by the original lease agreements in 1998 and the extension agreement that expired in November 2003, Marigold paid a total of $164,640.30 for the lease of the three vehicles. When the extra lease payments are added to this, Marigold, through a combination of business decisions and carelessness, has paid a total of $257,760.65 in payments for the leased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these circumstances, it is difficult to conceive what damages the dealership has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Marigold continued to make payments on the lease agreements until April 2007 when it placed a stop payment on the automatic withdrawal payments for the leases. The dealership, not wanting to disrupt Marigold's business, continued to permit Marigold to use the vehicles while this action was outstanding but placed Marigold on notice that it was seeking the payment of the monthly lease amount for the three vehicles pursuant to the overholding provisions from April 2007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While the dealership may have made this claim, and Marigold was in breach of the contract by failing to continue to pay the monthly lease fees or return the vehicle, there remains the issue of what actual damages the dealership truly sustained in this case. Clearly both parties acknowledged and were aware that there was a problem in April 2007 and that each side, as Marigold's counsel argued, "dropped the ball"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Furthermore, in admitting that there was a problem on the lease agreements in the April 2007 meeting, the dealership was prepared to rectify the matter by refunding Marigold $6,000 and transferring ownership of the vehicles to Marigold.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Had Marigold followed through on its intention to purchase the vehicles at the end of the 30 month term for the lease extension agreements, the dealership would only have received an additional $10,655 from Marigold for the residual value of the vehicles. Instead, in light of Marigold's overpayment on the lease extension agreements by a significant amount ($82,465.31), albeit through its own carelessness, it seems unrealistic to reach any conclusion other than that the dealership has failed to establish what its true damages were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Should Marigold forfeit the leased vehicles and return them to the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addition to damages, the dealership seeks the immediate return of the three leased vehicles which it still owns. However, Marigold, has significantly overpaid the value of the leased vehicles, albeit through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this is a case where, in effect, forcing Marigold to forfeit its option to purchase the vehicles under the lease extension agreement, which I have found existed, despite having more than paid the total value of the residual purchase price of the vehicles, would be overly severe in the circumstances. This is particularly so given that the dealership has not established any damages as a result of Marigold's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Under s. 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the Court has the discretion to provide relief from forfeiture: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relieve against all penalties and forfeitures, and in granting relief may impose any terms as to costs, expenses, damages, compensations and all other matters that the court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Having regard to the considerable overpayment on the leases made by Marigold, and the dealership receiving considerably more than the residual values of the vehicles through Marigold's carelessness on the leases, coupled with the dealership's admission of a problem in April 2007 and its then willingness to refund $6,000 and turn over ownership in the vehicles for an additional $1.00 each, I find it would be unduly harsh and inequitable to require Marigold to return the vehicles to the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While Marigold's breach in failing to return the vehicles and ceasing payment on the lease extension agreements in April 2007 ought not to be endorsed, the gravity of its breach of the ongoing month to month leases is, in the circumstances of this unusual case, minimal. Moreover, there is a significant disparity between the likely nominal but unsubstantiated damages sustained by the dealership and the fairly large replacement costs that Marigold would incur in having to replace the three vehicles if ordered to forfeit them to the dealership: </w:t>
      </w:r>
      <w:r>
        <w:rPr>
          <w:rFonts w:ascii="arial" w:eastAsia="arial" w:hAnsi="arial" w:cs="arial"/>
          <w:i/>
          <w:color w:val="000000"/>
          <w:sz w:val="20"/>
          <w:lang w:val="en-US" w:eastAsia="en-US" w:bidi="ar-SA"/>
        </w:rPr>
        <w:t>Saskatchewan River Bungalows v. Maritime Life Assurance Co.</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Given that there was no serious financial loss or prejudice suffered by the dealership and the lease was in good standing for a significant period of time following the expiration of the lease extension agreements, this is a proper case in which the Court should exercise its discretion to grant relief from forfeiture: </w:t>
      </w:r>
      <w:r>
        <w:rPr>
          <w:rFonts w:ascii="arial" w:eastAsia="arial" w:hAnsi="arial" w:cs="arial"/>
          <w:i/>
          <w:color w:val="000000"/>
          <w:sz w:val="20"/>
          <w:lang w:val="en-US" w:eastAsia="en-US" w:bidi="ar-SA"/>
        </w:rPr>
        <w:t>H. Y. Louie Co. v. Whistler Noodle House Ltd.,</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2002 BCSC 1120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Accordingly, Marigold is entitled to have the ownership in the three vehicles transferred to it and the dealership will execute whatever transfer documents are necessary to transfer title in the two E450 Cube Vans and the E250 Cargo van to Marigold within 30 days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Based on the foregoing, Marigold has established on a balance of probabilities that it entered into the three vehicle lease extensions agreements with the dealership on May 1, 2001, when Mr. Smith met with Murray Savage from the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the lease extension agreements were in the same standard form as the initial lease agreements of 1998, when the lease extension agreements expired, the agreements became month to month lease agreements by virtue of the overholding terms that I have found were part of the lease extension agreement. Marigold therefore continued to operate on a month to month lease with the dealership when the 30 month terms of those lease extension agreements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Any duty of care the dealership may have owed Marigold to properly advise as to the status of the lease extension agreements when inquiries were made in November 2003 was properly discharged when Mr. Savage faxed to Marigold the documents contained in Schedules C and D of Exhibit #1. Marigold failed to take any steps to act upon the information it received and which clearly put it on notice that there was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plaintiff's claim for damages in the amount of $82,465.31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dealership has failed to establish the true nature of the damages it sustained in this case and, accordingly, its counterclaim for damages in the sum of $53,179.68 plus contractual interest at a rate of 34.5% per annum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Marigold, having significantly overpaid the value of the leased vehicles, albeit through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entitled to have the ownership in the three vehicles transferred to it despite failing to return the vehicles and continue paying on a month to month basis after April 2007. I find that this is a case where, in effect, forcing Marigold to forfeit its option to buy the vehicles under the lease extension agreement, which I have found existed, despite having more than paid the total value of the residual purchase price of the vehicles, would be overly severe and inequitable in the circumstances. This is particularly so given that the dealership has not established any damages as a result of Marigold's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dealership will execute whatever transfer documents are necessary to transfer title in the two E450 Cube Vans and the E250 Cargo Van to Marigold within 30 days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Neither party having succeeded in their actions, the parties shall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Maughan v. University of British Columbia, [2003] B.C.J. No. 2080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S025856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2080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Cynthia Maughan, plaintiff, and The University of British Columbia, Lorraine Weir, Susanna Egan, Anne Scott and Judy Segal,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31"/>
      <w:bookmarkEnd w:id="240"/>
      <w:r>
        <w:rPr>
          <w:rFonts w:ascii="arial" w:eastAsia="arial" w:hAnsi="arial" w:cs="arial"/>
          <w:b/>
          <w:color w:val="000000"/>
          <w:sz w:val="20"/>
          <w:lang w:val="en-US" w:eastAsia="en-US" w:bidi="ar-SA"/>
        </w:rPr>
        <w:t>Practice — Pleadings — Striking out pleadings — Grounds, failure to disclose a cause of action or defence — Grounds, unnecessary, irrelevant, immaterial or redundant.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31"/>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the University of British Columbia and four of its professors, to strike Maughan's statement of claim as disclosing no cause of action. Maughan pleaded that the defendants by conduct or communication promoted hatred or contempt on the basis of religion or ethnic origin or place of origin, and as such breached her civil rights.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24"/>
            <w:bookmarkEnd w:id="24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 of claim met the limited threshold test of pleading a cause of action. However, several paragraphs of the statement of claim were struck as irrelevant and embarrassing, in that they did not advance Maughan's claims or did not disclose any claim known to law.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26"/>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Rule 19(24). Civil Rights Protection Act, </w:t>
      </w:r>
      <w:r>
        <w:rPr>
          <w:rFonts w:ascii="arial" w:eastAsia="arial" w:hAnsi="arial" w:cs="arial"/>
          <w:i/>
          <w:color w:val="000000"/>
          <w:sz w:val="20"/>
          <w:lang w:val="en-US" w:eastAsia="en-US" w:bidi="ar-SA"/>
        </w:rPr>
        <w:t>R.S.B.C. 1996, c. 49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31"/>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G.D. Chipeur, for the plaintiff. T.A. Roper, Q.C. and M. Cooperwilliams,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32"/>
      <w:bookmarkEnd w:id="245"/>
      <w:r>
        <w:pict>
          <v:line id="_x0000_s1188"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BROWN J."/>
            <w:bookmarkEnd w:id="246"/>
            <w:r>
              <w:rPr>
                <w:rFonts w:ascii="arial" w:eastAsia="arial" w:hAnsi="arial" w:cs="arial"/>
                <w:b/>
                <w:color w:val="000000"/>
                <w:sz w:val="30"/>
                <w:lang w:val="en-US" w:eastAsia="en-US" w:bidi="ar-SA"/>
              </w:rPr>
              <w:t>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Ms. Maughan seeks damages from the University of British Columbia and four professors who she says breached her civil rights pursuant to the Civil Rights Protection Act, </w:t>
      </w:r>
      <w:r>
        <w:rPr>
          <w:rFonts w:ascii="arial" w:eastAsia="arial" w:hAnsi="arial" w:cs="arial"/>
          <w:i/>
          <w:color w:val="000000"/>
          <w:sz w:val="20"/>
          <w:lang w:val="en-US" w:eastAsia="en-US" w:bidi="ar-SA"/>
        </w:rPr>
        <w:t>R.S.B.C. 1996, c. 49</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this application, the defendants ask to have Ms. Maughan's statement of claim dismissed as disclosing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an application such as this, the court considers only whether the statement of claim pleads a cause of action. It is the form of the pleadings, not the substance of the cause of action which is in issue. The court does not weigh the evidence to determine whether the claim is valid. The court must assume, for the purposes of the application, that the facts pleaded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am satisfied that the statement of claim meets this very limited threshold test. However, there are portions of the claim which otherwise offend the pleadings rules and those portions of the claim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test which I am to apply is: as long as the pleadings disclose a triable issue, either as it exists, or as it may be amended, then the issue should go to trial. The mere fact that the case is weak or not likely to succeed is no ground for striking it out under the provisions of Rule 19(24) (Minnes v. Minnes and Rees-Davies </w:t>
      </w:r>
      <w:hyperlink r:id="rId683" w:history="1">
        <w:r>
          <w:rPr>
            <w:rFonts w:ascii="arial" w:eastAsia="arial" w:hAnsi="arial" w:cs="arial"/>
            <w:i/>
            <w:color w:val="0077CC"/>
            <w:sz w:val="20"/>
            <w:u w:val="single"/>
            <w:shd w:val="clear" w:color="auto" w:fill="FFFFFF"/>
            <w:lang w:val="en-US" w:eastAsia="en-US" w:bidi="ar-SA"/>
          </w:rPr>
          <w:t>(1962), 34 D.L.R. (2d) 497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thrust of the plaintiff's claim is that the defendants breached her civil rights, entitling her to damages pursuant to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Act provides that a prohibited act is conduct or communication which has as its purpose interference with the civil rights of a person by promoting hatred or contempt or inferiority of a person on the basis of religion, ethnic origin or place of origin. A prohibited act is a tort for which a person may receive damages as provided by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carefully reviewed the statement of claim. I am satisfied that the plaintiff has pleaded the necessary elements of the tort set out in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Specifically, at para. 29, the plaintiff pleads, with respect to the defendant Weir,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June emails...promoted hatred and contempt toward the Plaintiff because of her religion.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the defendant Scott, at para. 41, the plaintiff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Scott letter was conduct designed to ... expose the Plaintiff to hatred and contempt because of her religion.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defendant Segal, the plaintiff pleads at paras. 44 and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the Segal letter, Segal indicated discrimination or an intention to discriminate.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[It]subjected...the plaintiff to contempt and suggested she was inferior. The effect of such a statement is to expose the plaintiff to ridicule, hatred and contempt.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Discrimination is a defined term in the statement of claim. Discrimination is defined at para. 7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or communication...promoting hatred or contempt of the Plaintiff or a class of persons, or the inferiority of the Plaintiff or a class of person in comparison with others on the basis of religion or ethnic origin or place of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claim against the defendant Egan is set forth in paragraphs 7 and 46 to 49. At paragraph 7, the plaintiff pleads that the Defendants by conduct or communication promoted hatred or contempt of the Plaintiff on the basis of religion or ethnic origin or place of origin. The defendant Egan's behaviour, which the plaintiff says offends the Act, is described in paragraphs 46 to 49 and includes being a "partisan, aggressive and officious advocate against the Plaintiff, particularly at the Plaintiff's final appeal before the U.B.C. Senate."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Further particulars may be required to determine what the plaintiff says was done to promote hatred or contempt, but the pleading is sufficient to disclose a cause of action against the defendant 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defendant, UBC, there is no allegation that the university is liable for the acts of its professors on the basis of vicarious liability. However, there is a pleading at para. 70.1 specifically involving the defendant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that paragraph, the plaintiff alleges that UBC placed a link in its website to a publication intended to generate contempt for the plaintiff because of her religion. Although the defendant UBC asserts that the website referred to is not its official website, on this application, I must assume that the allegations contained in the statement of claim are true. Hence, para. 70.1 is sufficient to set forth a cause of action against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At para. 36 of the statement of claim, the plaintiff asserts that the defendants were negligent. The defendants say that there is no cause of action for educational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known to the law. They ask to have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been adequately pleaded. It is not possible to determine the duty of care which the plaintiff asserts the defendants owed to her, nor to determine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however, a claim known to law. On an application of this sort, any doubt should be resolved in favour of permitting the pleadings to stand. It may be that if the claim were amended, with particulars, it would be possible to appreciate the claim which the plaintiff proposes to bring against the defendant Weir and the other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I will not strike this aspect of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Offending Portions of the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19(24) sets out four bases on which the court may strike a statement of claim, in whole or in part: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a fair trial; or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Portions of the statement of claim offend Rule 19 in the sense that they are irrelevant and legally embarrassing. As Mr. Justice Romilly has noted in Citizens for Foreign Aid Reform Inc. v. Canadian Jewish Congress, </w:t>
      </w:r>
      <w:hyperlink r:id="rId684"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a pleading is unnecessary or vexatious if it does not go to establishing the plaintiff's cause of action or does not advance any claim known in law. For this reason, I am of the view that paras. 57 - 65 and 68 - 70,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paras. 57 - 61, the plaintiff asserts that she has not received full disclosure of documents from UBC, that the Freedom of Information Office has not disclosed all information as required by the University of British Columbia policies. These allegations do not advance the plaintiff's claims pursuant to the Act, nor do they disclose any other claim known to law and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paras. 62 - 65, the plaintiff refers to the findings of the Senate Committee of the University of British Columbia on her grade appeal. This, too, is an embarrassing pleading in the sense that it is irrelevant to claims advanced by the plaintiff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paras. 68 - 70, the plaintiff asserts that the defendants violated UBC's standards of non-discrimination. There may well be processes within the university to address this issue. However, assuming that UBC did not follow its policies, as the plaintiff alleges, this failure alone would not be a breach of the Act or otherwise constitute a cause of action. For this reason, these paragraphs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Finally, the defendants have asserted that in determining whether material facts required to support the claim have been pleaded, it is appropriate for the court to consider the documents referred to in the statement of claim, as did the Supreme Court of Canada in Monenco Ltd. v. Commonwealth Insurance Co., </w:t>
      </w:r>
      <w:hyperlink r:id="rId224"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In that case, the Supreme Court of Canada looked to documents referred to in the pleadings to determine whether there was a claim pleaded which could come within an insurance policy and trigger an insurer's duty to defend. Here, the defendants asked me to look to the documents to determine whether those documents are capable of forming the material facts necessary to support the plaintiff's claim. In doing so, it seems to me that I would be weighing the evidence, rather than merely looking to see whether facts have been pleaded to support a claim. In my view, on an application of this nature, the court must give the plaintiff the benefit of the doubt. In other words, rather than looking to the documents to which the plaintiff has referred to assess whether the facts in those documents support the plaintiff's claim, the court can only look to see whether allegations have been made which, if true, are sufficient to set forth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summary, paragraphs 57 - 65 and 68 - 70 of the statement of claim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Strata Plan VR 2275 v. Davidson, [2008] B.C.J. No. 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19 and 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S77473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67 C.L.R. (3d)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6 W.W.R. 676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165 A.C.W.S. (3d) 571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79 B.C.L.R. (4th) 160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VR 2275, Shon Yee Housing Society and British Columbia Housing Management Commission, Plaintiffs, and John B. Davidson, David H. Simpson, Ronald Yuen, Davidson/Yuen Partners, Northmark Projects Inc., Northmark Construction Ltd., 334888 B.C. Ltd. formerly known as Northmark Construction Ltd., Concost Properties Inc., DNG Services Inc., Robertson, Kolbeins, Teevan &amp; Gallaher Ltd. doing business as Robertson Kolbeins Teevan Gallaher Associates and Robertson, Kolbeins, Teevan &amp; Gallaher Ltd., NDC Construction Ltd. and David Nairne &amp; Associates Ltd., Defendants, and Canada Mortgage and Housing Corporation,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7" w:name="Keywords_32"/>
      <w:bookmarkEnd w:id="247"/>
      <w:r>
        <w:rPr>
          <w:rFonts w:ascii="arial" w:eastAsia="arial" w:hAnsi="arial" w:cs="arial"/>
          <w:b/>
          <w:color w:val="000000"/>
          <w:sz w:val="20"/>
          <w:lang w:val="en-US" w:eastAsia="en-US" w:bidi="ar-SA"/>
        </w:rPr>
        <w:t>Civil litigation — Civil procedure — Parties — Third party procedure — Availability — Judgments and orders — Summary judgments — No triable issue — In this action where the plaintiffs sought damages against the defendant architects for deficiencies in a social housing project, a declaration issued that the third party Canada Mortgage and Housing Corporation did not owe a duty of care to the defendants; however, CMHC's motion to summarily dismiss the third party claims against it was dismissed as the issues were not suitable for summary disposition.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Other — Architects and engineers — In this action where the plaintiffs sought damages against the defendant architects for deficiencies in a social housing project, a declaration issued that the third party Canada Mortgage and Housing Corporation did not owe a duty of care to the defendants; however, CMHC's motion to summarily dismiss the third party claims against it was dismissed as the issues were not suitable for summary disposition.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In this action where the plaintiffs sought damages against the defendant architects for deficiencies in a social housing project, a declaration issued that the third party Canada Mortgage and Housing Corporation did not owe a duty of care to the defendants; however, CMHC's motion to summarily dismiss the third party claims against it was dismissed as the issues were not suitable for summary disposition.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8" w:name="Case Summary_32"/>
            <w:bookmarkEnd w:id="2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Presently, the third party Canada Mortgage and Housing Corporation applied to summarily dismiss the third party claims against it -- In the underlying action, the plaintiffs, which included a housing society, a strata corporation that owned the property, and the B.C. Housing Management Commission sued the defendant architects for damages caused by alleged water ingress defects and deficiencies in a social housing project -- Meanwhile, the defendants brought a third party claim against the Canada Mortgage and Housing Corporation, claiming it owed a duty to the plaintiffs and the defendants to disclose to them knowledge it possessed or ought to have obtained about the inadequacy of the design principles, construction methods and inspection procedures employed at the development -- CMHC argued it did not owe a duty of care to either party as there was no proximity between them, or alternatively, that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HELD: A declaration issued that CMHC did not owe a duty of care to the defendant architects, while CMHC's other applications were dismissed -- The architects had no contractual or other direct relationship with CMHC, and their claims were not analogous to any category of cases in which a duty of care had been found -- The Architects provided design services to a developer who in turn contracted with the society, which obtained mortgage insurance and funding under the Non-Profit Housing Program which was directed and administered by B.C. Housing and to which CMHC provided mortgage insurance -- There was nothing in the statutory provisions that created a duty of care on CMHC to architects or other professionals within the housing construction industry -- CMHC owed no duty of care to the architects -- There was no reason not to decide the issue on a summary trial application, as there was no factual or legal issue likely to arise that would be impacted by the decision reached -- It was clear CHMC owed duties to B.C. Housing and the Province arising from the global and operating agreements, and those agreements contemplated responsibility on its part for claims arising from their application -- It was arguable that the duty of care might extend to the sharing of information resulting from research, studies, surveys and other activities carried out by CMHC under its statutory mandate -- The allegation in the amended third party notice was broad enough to include contractual obligations and duties arising therefrom -- The relationship between CMHC and B.C. Housing was a close and direct relationship such that there was a prima facie duty of care -- The fact that the plaintiffs were not pursuing the claims against CMHC did not prevent the architects from doing so -- The issues regarding the extent of the duty of care that might be owed by CMHC to B.C. Housing and whether there was any breach of any contractual or tort duty owed by CMHC to B.C. Housing were not suitable for summary disposition.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9" w:name="Legislation Cited_27"/>
      <w:bookmarkEnd w:id="2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National Housing Act, R.S.C. 1985, c. N-11, s. 37.1, s. 56.1, s. 73, s. 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0" w:name="Counsel_32"/>
      <w:bookmarkEnd w:id="2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Scott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John B. Davidson, David H. Simpson, Ronald Yuen and Davidson/Yuen Partners: Craig A.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 Ross Clark, Q.C. and Ryan Garrett.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1" w:name="Judgment_33"/>
      <w:bookmarkEnd w:id="251"/>
      <w:r>
        <w:pict>
          <v:line id="_x0000_s1193"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2" w:name="G.B. BUTLER J."/>
            <w:bookmarkEnd w:id="252"/>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plaintiffs make allegations of water ingress defects and deficiencies in a social housing project called Shon Yee Place (the "Development"). The plaintiffs are the Shon Yee Housing Society (the "Society"), which administers and has a leasehold interest in the Development; the numbered strata corporation ("VR 2275"), which is owner of the real property the Development is built on; and the British Columbia Housing Management Commission ("B.C. Housing"). The plaintiffs have claimed against, among others, the defendants John B. Davidson, David H. Simpson, Ronald Yuen and Davidson/Yuen Partners (collectively, the "Architects") for damages caused by deficiencies in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Architects have brought a third party claim against the Canada Mortgage and Housing Corporation ("CMHC"). This claim is founded on the Architects' assertion that CMHC owed a duty to the plaintiffs and to the Architects to disclose to them knowledge it allegedly possessed, or should have obtained, about the inadequacy of the design principles, construction methods and inspection procedures employed at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CMHC has brought this Rule 18A application seeking to dismiss the third party claims. While the Statement of Claim was first filed in December 2002, the Third Party Notice against CMHC was not filed until August 2007. Examinations for discovery of CMHC have been substantially completed by the Architects and document discovery has been substantially completed by these parties. This application was heard on December 19 and 20, 2007. The trial of the action is scheduled to commence on February 4, 2008. Accordingly, the 18A application was heard one or two days more than 45 days before the date set for trial as required by Rule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Development is a social housing project run by the Society to provide low cost accommodation to seniors. The Development is a seven-storey building located at 628 East Hastings Street in Vancouver, B.C. The building exterior uses a number of building envelope design types to protect the interior spaces from water ingress including an exterior insulation finish system ("EIFS"), a face-seal water penetration control strategy. The building was designed in late 1987 and was substantially completed in October of 1988. The Architects were retained by the developer, NDC Construction Ltd., to be the architects for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CMHC's involvement in social housing arises as a result of an agreement entered into on April 23, 1986 between the Government of Canada ("Canada") and the Government of British Columbia (the "Province") for the administration and cost sharing of social housing programs (the "Global Agreement"). On July 7, 1986, CMHC and the Province, as represented by the Minister of Lands, Parks and Housing, entered into an agreement to carry into effect the principles set out in the Global Agreement (the "Operating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Social housing programs funded under the Global and Operating Agreements were designed to assist needy households to obtain affordable accommodation. The intent of the Global and Operating Agreements was to direct social housing funds to households in need, to implement an arrangement for cost sharing and to transfer responsibility for housing program delivery and administration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Under the Global Agreement, Canada and the Province agreed, among other things:</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Province would be responsible for the delivery and administration of social housing programs;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undertake a joint planning process, which included the assessment of needs, income and priority groups in different geographic areas in the province and the creation of three-year plans based on the needs assessment;</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a Planning and Monitoring Committee (the "PMC"); and</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share the costs associated with certain social housing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Under the Operating Agreement, CMHC and the Province agreed:</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Province, through its agent B.C. Housing, would be the Active Party. The Active Party was responsible for the delivery and administration of social housing programs. Delivery and administration were defined to include all activity associated with any program including direct dealings with clients or sponsors as well as loan, project and agreement administration.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two social housing programs would be sponsored: the Non-Profit Housing Program, under which the Development was constructed, and the Rent Supplement Program.</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as the Active Party, the Province would undertake the assessment of project feasibility, project selection, project development, inspection, client selection, development of occupancy guidelines, approval of project annual operating budgets, calculation of eligible project costs, and loan, subsidy and project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Under the Operating Agreement, Canada's responsibilities through CMHC were more limited. CMHC was responsible for insuring loans made by approved lenders for capital financing for housing projects under Part I of the </w:t>
      </w:r>
      <w:r>
        <w:rPr>
          <w:rFonts w:ascii="arial" w:eastAsia="arial" w:hAnsi="arial" w:cs="arial"/>
          <w:b/>
          <w:i/>
          <w:color w:val="000000"/>
          <w:sz w:val="20"/>
          <w:lang w:val="en-US" w:eastAsia="en-US" w:bidi="ar-SA"/>
        </w:rPr>
        <w:t>National Housing Act</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R.S.C. 1985, c. N-11</w:t>
        </w:r>
      </w:hyperlink>
      <w:r>
        <w:rPr>
          <w:rFonts w:ascii="arial" w:eastAsia="arial" w:hAnsi="arial" w:cs="arial"/>
          <w:color w:val="000000"/>
          <w:sz w:val="20"/>
          <w:lang w:val="en-US" w:eastAsia="en-US" w:bidi="ar-SA"/>
        </w:rPr>
        <w:t xml:space="preserve">, for making loans under s. 37.1 of the </w:t>
      </w:r>
      <w:r>
        <w:rPr>
          <w:rFonts w:ascii="arial" w:eastAsia="arial" w:hAnsi="arial" w:cs="arial"/>
          <w:b/>
          <w:i/>
          <w:color w:val="000000"/>
          <w:sz w:val="20"/>
          <w:lang w:val="en-US" w:eastAsia="en-US" w:bidi="ar-SA"/>
        </w:rPr>
        <w:t>National Housing Act</w:t>
      </w:r>
      <w:r>
        <w:rPr>
          <w:rFonts w:ascii="arial" w:eastAsia="arial" w:hAnsi="arial" w:cs="arial"/>
          <w:color w:val="000000"/>
          <w:sz w:val="20"/>
          <w:lang w:val="en-US" w:eastAsia="en-US" w:bidi="ar-SA"/>
        </w:rPr>
        <w:t xml:space="preserve"> for proposal development funding, and for making contributions pursuant to s. 56.1 of the </w:t>
      </w:r>
      <w:r>
        <w:rPr>
          <w:rFonts w:ascii="arial" w:eastAsia="arial" w:hAnsi="arial" w:cs="arial"/>
          <w:b/>
          <w:i/>
          <w:color w:val="000000"/>
          <w:sz w:val="20"/>
          <w:lang w:val="en-US" w:eastAsia="en-US" w:bidi="ar-SA"/>
        </w:rPr>
        <w:t>National Housing Act</w:t>
      </w:r>
      <w:r>
        <w:rPr>
          <w:rFonts w:ascii="arial" w:eastAsia="arial" w:hAnsi="arial" w:cs="arial"/>
          <w:color w:val="000000"/>
          <w:sz w:val="20"/>
          <w:lang w:val="en-US" w:eastAsia="en-US" w:bidi="ar-SA"/>
        </w:rPr>
        <w:t xml:space="preserve"> to eligible contribution recipients to enable them to meet the costs of rental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CMHC and the Province also agreed that they would jointly chair the PMC, which would meet to:</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a joint planning process to develop and monitor the implementation of the current three-year plan which identified the most cost-effective and appropriate social housing strategy to meet the objectives of the Global and Operating Agreements;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 modifications to the social housing programs and program guidelines, including adjustments to market rents and Maximum Unit Prices ("MUP");</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forum for the sharing of information resulting from research, studies, surveys and other activities;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compliance with the Global and Operating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Canada agreed to provide mortgage loan insurance through CMHC, under the Operating Agreement the Province was responsible for the underwriting process including site and plans examination, determination of loan amount and approval of financing terms and conditions. The Province was also responsible for authorizing all loan advances and undertaking inspections to ensure compliance with the plans and specifications and to determine the value of the work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Province developed three-year plans under the auspices of the PMC. The PMC also discussed and approved adjustments to MUPs. MUP was an estimate of construction costs of modest housing, including land purchase, and was used to forecast the number of units which could be subsidized under the housing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quarterly PMC meetings were used so that the Province could keep CMHC informed of the progress of the current three-year plan. The Province, as the Active Party, carried out the activities required to take a given housing project from concept through to completion including distribution of housing units by area within the province, allocation of funding, formal commitment of subsidies to housing sponsor groups, advancement of funds, inspection and project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British Columbia, CMHC did not take a direct role in the delivery or administration of any housing project during the relevant time period under the Non-Profit Housing Program. The only information CMHC typically received about any particular project was when funding was committed by the Province on that project and when CMHC received undertakings to insure mortgage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Shon Yee Housing Association, which is a non-profit organization related to the Society, applied to the Province under the Non-Profit Housing Program for funding to build the Development. As the Active Party, the Province had direct contact with those organizations throughout the planning and construction of the Development. B.C. Housing approved the Development under the 1987 Non-Profit Housing Program. The Province informed the Society of this in December 1987, and also informed the Society at that time that B.C. Housing would arrange for mortgage loan insurance and would act as overall administrator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Development was constructed and occupied. In March 1998, approximately ten years after occupancy, a consultant retained by the Society reported water damage, fungal growth, cracks in stucco finishing and concrete, roofing membrane failure and sealant failure in certain areas in the building. Subsequent studies have been done and rehabilitation work with a cost of approximately $1.5 million has been recommended or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gist of the plaintiffs' claims is that the Architects' designs, plans and specifications were not adequate to prevent water ingress, that they failed to test or inspect the materials to ascertain if they were reasonably fit for the purpose intended, that they failed to ensure that the design conformed with applicable bylaws and other enactments, and that they failed to warn the plaintiffs of maintenance and inspection requirements of the building envelope system. A significant part of the allegation rests on the assertion that there were significant shortcomings to the face-seal design that were known or should have been known by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Architects deny the plaintiffs' claims but say that if they are at fault, CMHC, as a result of its extensive involvement in building envelope studies in British Columbia, also knew or should have known of the problems associated with a face-seal strategy and that it failed in its duty to let B.C. Housing and others know of these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CMHC says that it does not owe a duty of care either to the plaintiffs or to the Architects. It says that the claims do not fall under one of the established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Further, if the duty analysis as set out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and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[1977] UKHL 4, [1978] A.C. 728 is performed, it is clear that there is no proximity between CMHC and the Architects or plaintiffs. Here, where CMHC is a public body, the relationship of proximity, if present, must be found within the terms of its governing statute. The relevant sections of the legislation are discretionary such that CMHC is not obliged to take any actions, and indeed has no authority to do so in relation to home construction. Further, individuals like the plaintiffs and the Architects are not contemplated in the statutory provisions and so no relationship of proximity is created. Alternatively, it says that if proximity is made out at the first stage of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policy concerns, and in particular the potential for indeterminate liability, negative a duty of care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CMHC relies on two earlier decisions of this court. In </w:t>
      </w:r>
      <w:r>
        <w:rPr>
          <w:rFonts w:ascii="arial" w:eastAsia="arial" w:hAnsi="arial" w:cs="arial"/>
          <w:b/>
          <w:i/>
          <w:color w:val="000000"/>
          <w:sz w:val="20"/>
          <w:lang w:val="en-US" w:eastAsia="en-US" w:bidi="ar-SA"/>
        </w:rPr>
        <w:t>McMillan v. Canada Mortgage and Housing Corp.</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2007 BCSC 1475</w:t>
        </w:r>
      </w:hyperlink>
      <w:r>
        <w:rPr>
          <w:rFonts w:ascii="arial" w:eastAsia="arial" w:hAnsi="arial" w:cs="arial"/>
          <w:color w:val="000000"/>
          <w:sz w:val="20"/>
          <w:lang w:val="en-US" w:eastAsia="en-US" w:bidi="ar-SA"/>
        </w:rPr>
        <w:t xml:space="preserve">, this court held that CMHC did not owe a duty of care to members of the public. In </w:t>
      </w:r>
      <w:r>
        <w:rPr>
          <w:rFonts w:ascii="arial" w:eastAsia="arial" w:hAnsi="arial" w:cs="arial"/>
          <w:b/>
          <w:i/>
          <w:color w:val="000000"/>
          <w:sz w:val="20"/>
          <w:lang w:val="en-US" w:eastAsia="en-US" w:bidi="ar-SA"/>
        </w:rPr>
        <w:t>Kimpton v. Canada Mortgage and Housing Corp.</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2002 BCSC 1645</w:t>
        </w:r>
      </w:hyperlink>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9 B.C.L.R. (4th) 139</w:t>
        </w:r>
      </w:hyperlink>
      <w:r>
        <w:rPr>
          <w:rFonts w:ascii="arial" w:eastAsia="arial" w:hAnsi="arial" w:cs="arial"/>
          <w:color w:val="000000"/>
          <w:sz w:val="20"/>
          <w:lang w:val="en-US" w:eastAsia="en-US" w:bidi="ar-SA"/>
        </w:rPr>
        <w:t>, this court held that CMHC did not owe a duty of care to individual homeowners where CMHC was the mortgage insurer. Like the present case, those decisions involved claims arising from damages allegedly suffered as a result of water ingress in condominiums. Like the present case, the claims against CMHC were premised upon the alleged knowledge possessed by CMHC as a result of the investigations made by it into housing conditions generally and building envelope failures in particular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CMHC also says that even if it does owe a duty of care to the plaintiffs or to the Architects under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there is no evidence before the court from which it could be concluded that it was negligent in any way. It says that this is a summary trial application and so the failure of the Architects to put forward sufficient evidence to establish the allegation of a breach of the alleged duty to warn or pass on its alleged knowledge should result in the dismissal of the third party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Architects agree that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is appropriate to consider whether or not a duty of care is owed by CMHC to the Architects, the Society and VR 2275. However, they say that in the circumstances of this case there is a relationship of proximity. In that regard, the Architects say that this is not a case where the duty is alleged to arise only out of CMHC's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Architects say that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does not need to be carried out with regard to its allegation that CMHC owes a duty to B.C. Housing. They say that this duty arises as a result of the Global and Operating Agreements. While B.C. Housing was not a party to those Agreements, it was the agent of the Province for the purpose of fulfilling and carrying out the Operating Agreement. Given the contractual relationship between CMHC and the Province (and thus B.C. Housing as its agent), the Architects say that there is a potential for CMHC to be found at fault for breaching the Operating Agreement by failing to share with B.C. Housing the benefits of its building envelope research,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setting MUP at a level that was too low and for failing to warn of the need for ongoing maintenance and inspection of buildings with EIFS.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Architects further say that at this stage of the proceeding the third party claim against CMHC is dependent upon the claim to be made out by the plaintiffs against the Architects and is thus inexorably intertwined with the issues to be raised in the main proceedings. In addition, the Architects say that if their third party claim is permitted to proceed against one of the parties to whom it alleges CMHC owes a duty of care, this court should not dismiss the third party claims against the others because it would be inappropriate to engage in piecemeal decision-making.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Does CMHC owe a duty of care to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Is the issue of the duty owed by CMHC to the Architects suitable for disposition under Rule 18A or would it be unjust to decide that issue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Does CMHC owe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Is the issue of the duty owed by CMHC to the plaintiffs suitable for disposition under Rule 18A or would it be unjust to decide that issue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Does CMHC owe a duty of care to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Architects?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CMHC argues that the Architects' claim that CMHC owes them a duty of care is illogical. There was no contact between CMHC and the Architects. CMHC undertook no review of the Architects' work. The Architects do have a direct relationship with the plaintiffs through their contract with the developer. It was the Architects' role and obligation as building designer to design a building envelope that would deliver an acceptable level of performance. Building envelope design is a complex task undertaken by qualified professionals. In these circumstances, I agree that there appears to be little or no rationale for the assertion that CMHC owes a duty of care to the Architects. However, the assessment of the existence of that duty requires consideration of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governing principles of the duty of care analysis are set out by the Supreme Court of Canada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Those principles are explained by C.L. Smith J. in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a case with many similarities to the present case. In brief, the analysis involves two stages. At the first stage, two questions arise: first, was the harm that occurred the reasonably foreseeable consequence of the defendant's act; and second, are there reasons, notwithstanding the proximity between the parties, that tort liability should not be recognized. The proximity analysis focuses on factors arising from the relationship between the plaintiff and the defendant. Before undertaking the full first-stage analysis, a court may consider if the relationship between the parties falls within one of the categories of relationship that our courts have recognized give rise to a duty of care. If that is the case, then it is unnecessary to go through the full analysis. When the case does not fall within an existing category, then the full analysis is carried out to determine if the characteristics of the relationship bear the hallmarks of proximity such that a duty of care may be recognized. At that point the court moves to the second stage to consider whether or not there are policy considerations outside of the relationship of the parties that may militate against the recognition of a duty of care: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at paras. 30-33 and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at paras. 42-48.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Smith J. went through a detailed analysis to consider whether the relationship between the plaintiffs and CMHC in that case fell within or was analogous to a category of cases in which a duty of care had previously been recognized. In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the plaintiffs had purchased a condominium that developed serious problems with water leaks and moisture-related damage. The plaintiffs had no contractual or other direct relationship with CMHC, but claimed that CMHC knew of the fundamental flaws in the design and construction of condominiums and that it was under a duty to pass on its knowledge to the housing industry and homeowners. They referred to s. 17 of the </w:t>
      </w:r>
      <w:r>
        <w:rPr>
          <w:rFonts w:ascii="arial" w:eastAsia="arial" w:hAnsi="arial" w:cs="arial"/>
          <w:b/>
          <w:i/>
          <w:color w:val="000000"/>
          <w:sz w:val="20"/>
          <w:lang w:val="en-US" w:eastAsia="en-US" w:bidi="ar-SA"/>
        </w:rPr>
        <w:t>Canada Mortgage and Housing Corporation Act</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R.S.C. 1985, c. C-7</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CMHC Act</w:t>
      </w:r>
      <w:r>
        <w:rPr>
          <w:rFonts w:ascii="arial" w:eastAsia="arial" w:hAnsi="arial" w:cs="arial"/>
          <w:color w:val="000000"/>
          <w:sz w:val="20"/>
          <w:lang w:val="en-US" w:eastAsia="en-US" w:bidi="ar-SA"/>
        </w:rPr>
        <w:t xml:space="preserve">") and ss. 73 and 74 of the </w:t>
      </w:r>
      <w:r>
        <w:rPr>
          <w:rFonts w:ascii="arial" w:eastAsia="arial" w:hAnsi="arial" w:cs="arial"/>
          <w:b/>
          <w:i/>
          <w:color w:val="000000"/>
          <w:sz w:val="20"/>
          <w:lang w:val="en-US" w:eastAsia="en-US" w:bidi="ar-SA"/>
        </w:rPr>
        <w:t>National Housing Act</w:t>
      </w:r>
      <w:r>
        <w:rPr>
          <w:rFonts w:ascii="arial" w:eastAsia="arial" w:hAnsi="arial" w:cs="arial"/>
          <w:color w:val="000000"/>
          <w:sz w:val="20"/>
          <w:lang w:val="en-US" w:eastAsia="en-US" w:bidi="ar-SA"/>
        </w:rPr>
        <w:t xml:space="preserve"> and argued that those provisions gave rise to the required proximity. Those are the same sections relied upon by the Architects in this case. In finding that the claim did not fall within an existing category of cases where a duty of care had been recognized, Smith J. considered not only the claim relating to the duty to warn but also potential claims for negligent misrepresentation and physical harm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analysis in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is equally applicable to the circumstances of this case. The relationship between the Architects and CMHC is similar to that between the plaintiffs in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and CMHC. Like the plaintiffs in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the Architects have no contractual relationship or other direct relationship with CMHC. Like the plaintiffs in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the Architects are members of the public in relation to CMHC. Accordingly, I conclude that the Architects' claims against CMHC do not fall within and are not analogous to any category of cases in which a duty of care has been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Having decided that the relationship between the Architects and CMHC does not fall within an existing category, I must consider whether there are any factors giving rise to proximity such that a new duty of care should be recognized. Any such factors must arise from the statutes which create CMHC and provide its mandate: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at para. 108;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at para. 43; and </w:t>
      </w:r>
      <w:r>
        <w:rPr>
          <w:rFonts w:ascii="arial" w:eastAsia="arial" w:hAnsi="arial" w:cs="arial"/>
          <w:b/>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Architects argue that the circumstances of this case provide the "close and direct relationship". They say that it is that relationship, not the statutory provisions, that gives rise to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should note initially that the relationship between CMHC and the Architects is anything but "close and direct". The Architects provided design services to a developer who in turn contracted with the Society, which obtained mortgage insurance and funding under the Non-Profit Housing Program which was directed and administered by B.C. Housing and to which CMHC provided mortgage insurance. However, the nature of the relationship cannot be looked at in isolation. It can only be considered in relation to the statutory provisions. At this stage of the analysis the statutory provisions must be considered with a view to examining the overall legislative purpose, and in particular, whether the statute is intended to benefit a particular class of individuals, rather than the public as a whole: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Kimpton</w:t>
      </w:r>
      <w:r>
        <w:rPr>
          <w:rFonts w:ascii="arial" w:eastAsia="arial" w:hAnsi="arial" w:cs="arial"/>
          <w:color w:val="000000"/>
          <w:sz w:val="20"/>
          <w:lang w:val="en-US" w:eastAsia="en-US" w:bidi="ar-SA"/>
        </w:rPr>
        <w:t>, Macaulay J. carried out a duty of care analysis with regard to the plaintiff's claim against the Attorney General of Canada which, through the National Research Council, was responsible for the creation of the National Building Code of Canada. The plaintiff claimed that Canada was in a relationship of sufficient proximity to homeowners and argued that there were deficiencies in the National Building Code which gave rise to claims for negligent misstatement and breach of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Macaulay J. considered the </w:t>
      </w:r>
      <w:r>
        <w:rPr>
          <w:rFonts w:ascii="arial" w:eastAsia="arial" w:hAnsi="arial" w:cs="arial"/>
          <w:b/>
          <w:i/>
          <w:color w:val="000000"/>
          <w:sz w:val="20"/>
          <w:lang w:val="en-US" w:eastAsia="en-US" w:bidi="ar-SA"/>
        </w:rPr>
        <w:t>National Research Council Act</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R.S.C. 1985, c. N-15</w:t>
        </w:r>
      </w:hyperlink>
      <w:r>
        <w:rPr>
          <w:rFonts w:ascii="arial" w:eastAsia="arial" w:hAnsi="arial" w:cs="arial"/>
          <w:color w:val="000000"/>
          <w:sz w:val="20"/>
          <w:lang w:val="en-US" w:eastAsia="en-US" w:bidi="ar-SA"/>
        </w:rPr>
        <w:t xml:space="preserve"> and found as follows at paras. 70-72: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proximity analysis, I must look to the NRC Act for the factors giving rise to proximity. I find that the overall legislative purpose for the Council is, as its name implies, to undertake, assist or promote scientific and industrial research. It has no other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nothing in the statute that speaks to the protection of any entity or person who might, at some point, use or rely on the research. Nor does the Council have any means of controlling the extent to which its research is disseminated, used or relied on by individuals. The obvious objective that Parliament seeks to achieve is a public benefit derived from nationally focused and broad-based research in a variety of areas; the objective is not the protection of individuals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Ms. Kimpton is a member of the public and the public stands to benefit at large from the research undertaken by the Council, that does not connote any private duty. Otherwise, apart from any specific duties owed to its principal, the Council owed, at most, only a public duty. There are simply no provisions of the NRC Act that serve to protect the interests of individual property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Holtslag v. Alberta</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2006 ABCA 51</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55 Alta. L.R. (4th) 214</w:t>
        </w:r>
      </w:hyperlink>
      <w:r>
        <w:rPr>
          <w:rFonts w:ascii="arial" w:eastAsia="arial" w:hAnsi="arial" w:cs="arial"/>
          <w:color w:val="000000"/>
          <w:sz w:val="20"/>
          <w:lang w:val="en-US" w:eastAsia="en-US" w:bidi="ar-SA"/>
        </w:rPr>
        <w:t>, the Alberta Court of Appeal considered a similar duty of care issue. The Alberta Building Code permitted the Director of Building Standards, who was appointed under the statute, to issue product listings authorizing the use of materials that, in his opinion, satisfied the requirements of the Alberta Building Code. The plaintiffs alleged that the Director of Building Standards breached a duty of care in issuing product listings authorizing the use in Alberta of untreated pine shakes for roofing. The case was brought by sample case plaintiffs for a large number of claimants who used untreated pine shakes which turned black within four to five years and extensively decayed within five to eight years after installation. The trial judge found that the defendant did not owe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dismissing the plaintiffs' appeal the court stated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there is nothing in the statute that can be said to give rise to a private duty, as opposed to a general public duty. The provisions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are technical requirements relating to minimal health and safety standards and the use of safe and adequate building materials (see para. 10 and excerpt from the Preface to the </w:t>
      </w:r>
      <w:r>
        <w:rPr>
          <w:rFonts w:ascii="arial" w:eastAsia="arial" w:hAnsi="arial" w:cs="arial"/>
          <w:i/>
          <w:color w:val="000000"/>
          <w:sz w:val="20"/>
          <w:lang w:val="en-US" w:eastAsia="en-US" w:bidi="ar-SA"/>
        </w:rPr>
        <w:t>National Building Code of Canada 1990</w:t>
      </w:r>
      <w:r>
        <w:rPr>
          <w:rFonts w:ascii="arial" w:eastAsia="arial" w:hAnsi="arial" w:cs="arial"/>
          <w:color w:val="000000"/>
          <w:sz w:val="20"/>
          <w:lang w:val="en-US" w:eastAsia="en-US" w:bidi="ar-SA"/>
        </w:rPr>
        <w:t xml:space="preserve"> in Part D above). As the respondent submitted,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cannot be said to be a textbook on building design. There are no provisions within it which address or provide for warranty of fitness or durability. The statute establishes a regulatory scheme for building products and is intended only as a set of minimum standards for the benefit of the public at large. The statute cannot be construed to impose a duty of care on the Director to consumers of building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third decision to consider legislative intent where similar claims were being made with regard to building products, building code provisions or building design is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As noted earlier, Smith J. considered the establishment of CMHC and the extent of its responsibilities and duties as set out in s. 17 of the </w:t>
      </w:r>
      <w:r>
        <w:rPr>
          <w:rFonts w:ascii="arial" w:eastAsia="arial" w:hAnsi="arial" w:cs="arial"/>
          <w:b/>
          <w:i/>
          <w:color w:val="000000"/>
          <w:sz w:val="20"/>
          <w:lang w:val="en-US" w:eastAsia="en-US" w:bidi="ar-SA"/>
        </w:rPr>
        <w:t>CMHC Act</w:t>
      </w:r>
      <w:r>
        <w:rPr>
          <w:rFonts w:ascii="arial" w:eastAsia="arial" w:hAnsi="arial" w:cs="arial"/>
          <w:color w:val="000000"/>
          <w:sz w:val="20"/>
          <w:lang w:val="en-US" w:eastAsia="en-US" w:bidi="ar-SA"/>
        </w:rPr>
        <w:t xml:space="preserve"> and ss. 73 and 74 of the </w:t>
      </w:r>
      <w:r>
        <w:rPr>
          <w:rFonts w:ascii="arial" w:eastAsia="arial" w:hAnsi="arial" w:cs="arial"/>
          <w:b/>
          <w:i/>
          <w:color w:val="000000"/>
          <w:sz w:val="20"/>
          <w:lang w:val="en-US" w:eastAsia="en-US" w:bidi="ar-SA"/>
        </w:rPr>
        <w:t>National Housing Act</w:t>
      </w:r>
      <w:r>
        <w:rPr>
          <w:rFonts w:ascii="arial" w:eastAsia="arial" w:hAnsi="arial" w:cs="arial"/>
          <w:color w:val="000000"/>
          <w:sz w:val="20"/>
          <w:lang w:val="en-US" w:eastAsia="en-US" w:bidi="ar-SA"/>
        </w:rPr>
        <w:t>. At para. 109, Smith J. reached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statutes under which the defendant exists and operates give it no regulatory responsibility with respect to the construction of housing in British Columbia. There is nothing in either the </w:t>
      </w:r>
      <w:r>
        <w:rPr>
          <w:rFonts w:ascii="arial" w:eastAsia="arial" w:hAnsi="arial" w:cs="arial"/>
          <w:i/>
          <w:color w:val="000000"/>
          <w:sz w:val="20"/>
          <w:lang w:val="en-US" w:eastAsia="en-US" w:bidi="ar-SA"/>
        </w:rPr>
        <w:t>CMHC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Housing Act</w:t>
      </w:r>
      <w:r>
        <w:rPr>
          <w:rFonts w:ascii="arial" w:eastAsia="arial" w:hAnsi="arial" w:cs="arial"/>
          <w:color w:val="000000"/>
          <w:sz w:val="20"/>
          <w:lang w:val="en-US" w:eastAsia="en-US" w:bidi="ar-SA"/>
        </w:rPr>
        <w:t xml:space="preserve"> which creates a duty of care on the CMHC to individual homeowners. The legislation is comparable to that in </w:t>
      </w:r>
      <w:r>
        <w:rPr>
          <w:rFonts w:ascii="arial" w:eastAsia="arial" w:hAnsi="arial" w:cs="arial"/>
          <w:i/>
          <w:color w:val="000000"/>
          <w:sz w:val="20"/>
          <w:lang w:val="en-US" w:eastAsia="en-US" w:bidi="ar-SA"/>
        </w:rPr>
        <w:t>Kimpton</w:t>
      </w:r>
      <w:r>
        <w:rPr>
          <w:rFonts w:ascii="arial" w:eastAsia="arial" w:hAnsi="arial" w:cs="arial"/>
          <w:color w:val="000000"/>
          <w:sz w:val="20"/>
          <w:lang w:val="en-US" w:eastAsia="en-US" w:bidi="ar-SA"/>
        </w:rPr>
        <w:t>, where no duty of care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analysis of the statutory provisions here in the context of the relationship between CMHC and the Architects leads me to the same conclusion arrived at by the courts in </w:t>
      </w:r>
      <w:r>
        <w:rPr>
          <w:rFonts w:ascii="arial" w:eastAsia="arial" w:hAnsi="arial" w:cs="arial"/>
          <w:b/>
          <w:i/>
          <w:color w:val="000000"/>
          <w:sz w:val="20"/>
          <w:lang w:val="en-US" w:eastAsia="en-US" w:bidi="ar-SA"/>
        </w:rPr>
        <w:t>Kimpton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Holtslag</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There is nothing in the statutory provisions that creates a duty of care on CMHC to architects or other professionals within the housing construction industry. There is nothing in the legislation that expresses a legislative intent to benefit or create a private duty to such a class of individuals. The discretionary power granted to CMHC to make investigations, to undertake programs of technical research and investigation into methods of construction, and to undertake publications of such research or investigations are intended to benefit the public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I conclude that there is nothing in the statutory regime that gives rise to sufficient proximity between the parties to create a duty on the part of CMHC to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Having arrived at the conclusion that CMHC owes no duty of care to the Architects, I do not need to consider the second stage of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to determine if there are residual policy considerations that would militate against the finding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 the issue of the duty owed by CMHC to the Architects suitable for disposition under Rule 18A or would it be unjust to decide that issue on this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Architects argue that it would be inappropriate to dismiss one of the third party claims and permit others to proceed to trial. They say that this would result in "piecemeal decision-making" which should be avoided. The Architects rely upon the decisions of the Court of Appeal in </w:t>
      </w:r>
      <w:r>
        <w:rPr>
          <w:rFonts w:ascii="arial" w:eastAsia="arial" w:hAnsi="arial" w:cs="arial"/>
          <w:b/>
          <w:i/>
          <w:color w:val="000000"/>
          <w:sz w:val="20"/>
          <w:lang w:val="en-US" w:eastAsia="en-US" w:bidi="ar-SA"/>
        </w:rPr>
        <w:t>B.M.P. Global Distribution Inc. v. Bank of Nova Scotia</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 B.C.L.R. (4th) 347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164 B.C.A.C. 300</w:t>
        </w:r>
      </w:hyperlink>
      <w:r>
        <w:rPr>
          <w:rFonts w:ascii="arial" w:eastAsia="arial" w:hAnsi="arial" w:cs="arial"/>
          <w:color w:val="000000"/>
          <w:sz w:val="20"/>
          <w:lang w:val="en-US" w:eastAsia="en-US" w:bidi="ar-SA"/>
        </w:rPr>
        <w:t xml:space="preserve">. In both cases, the Court of Appeal cautioned that issues often become clear only after a full trial and that the attempt to try a single issue rather than the whole case may become a hindrance to the "just, speedy and inexpensive determination" of the dispute "on its merits": </w:t>
      </w:r>
      <w:r>
        <w:rPr>
          <w:rFonts w:ascii="arial" w:eastAsia="arial" w:hAnsi="arial" w:cs="arial"/>
          <w:b/>
          <w:i/>
          <w:color w:val="000000"/>
          <w:sz w:val="20"/>
          <w:lang w:val="en-US" w:eastAsia="en-US" w:bidi="ar-SA"/>
        </w:rPr>
        <w:t>Bacchus Agents</w:t>
      </w:r>
      <w:r>
        <w:rPr>
          <w:rFonts w:ascii="arial" w:eastAsia="arial" w:hAnsi="arial" w:cs="arial"/>
          <w:color w:val="000000"/>
          <w:sz w:val="20"/>
          <w:lang w:val="en-US" w:eastAsia="en-US" w:bidi="ar-SA"/>
        </w:rPr>
        <w:t xml:space="preserve"> at para. 7, cited in </w:t>
      </w:r>
      <w:r>
        <w:rPr>
          <w:rFonts w:ascii="arial" w:eastAsia="arial" w:hAnsi="arial" w:cs="arial"/>
          <w:b/>
          <w:i/>
          <w:color w:val="000000"/>
          <w:sz w:val="20"/>
          <w:lang w:val="en-US" w:eastAsia="en-US" w:bidi="ar-SA"/>
        </w:rPr>
        <w:t>B.M.P. Global Distribution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danger of "litigating in slices" arises where the issue considered on the Rule 18A application is intertwined with other issues that may be left to be determined at trial, or where the decision on the Rule 18A issue may embarrass the subsequent trial judge, such as occurred in </w:t>
      </w:r>
      <w:r>
        <w:rPr>
          <w:rFonts w:ascii="arial" w:eastAsia="arial" w:hAnsi="arial" w:cs="arial"/>
          <w:b/>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100 B.C.L.R. (3d) 44</w:t>
      </w:r>
      <w:r>
        <w:rPr>
          <w:rFonts w:ascii="arial" w:eastAsia="arial" w:hAnsi="arial" w:cs="arial"/>
          <w:color w:val="000000"/>
          <w:sz w:val="20"/>
          <w:lang w:val="en-US" w:eastAsia="en-US" w:bidi="ar-SA"/>
        </w:rPr>
        <w:t>. Here, these concerns do not arise. The analysis of the duty of care based on the relationship between CMHC and the Architects is separate and distinct from all of the other duty of care issues that arise in this case. There is no factual or legal issue likely to arise that will be impacted by the decision that I have arrived at in relation to the lack of a duty of care owed by CMHC to the Architects. Accordingly, there is no reason why this issue should not be decided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Does CMHC owe a duty of care to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plaintiffs?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Architects argue that the existence of a duty of care owed by CMHC to B.C. Housing is plain and obvious. It arises out of the Global and Operating Agreements which follow from the legislative provisions in the </w:t>
      </w:r>
      <w:r>
        <w:rPr>
          <w:rFonts w:ascii="arial" w:eastAsia="arial" w:hAnsi="arial" w:cs="arial"/>
          <w:b/>
          <w:i/>
          <w:color w:val="000000"/>
          <w:sz w:val="20"/>
          <w:lang w:val="en-US" w:eastAsia="en-US" w:bidi="ar-SA"/>
        </w:rPr>
        <w:t>National Housing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CMHC Act</w:t>
      </w:r>
      <w:r>
        <w:rPr>
          <w:rFonts w:ascii="arial" w:eastAsia="arial" w:hAnsi="arial" w:cs="arial"/>
          <w:color w:val="000000"/>
          <w:sz w:val="20"/>
          <w:lang w:val="en-US" w:eastAsia="en-US" w:bidi="ar-SA"/>
        </w:rPr>
        <w:t>. Accordingly, I will examine the issue as to that duty of care prior to any consideration of the relationship of proximity between CMHC and the other two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powers of CMHC as set out in the </w:t>
      </w:r>
      <w:r>
        <w:rPr>
          <w:rFonts w:ascii="arial" w:eastAsia="arial" w:hAnsi="arial" w:cs="arial"/>
          <w:b/>
          <w:i/>
          <w:color w:val="000000"/>
          <w:sz w:val="20"/>
          <w:lang w:val="en-US" w:eastAsia="en-US" w:bidi="ar-SA"/>
        </w:rPr>
        <w:t>National Housing Act</w:t>
      </w:r>
      <w:r>
        <w:rPr>
          <w:rFonts w:ascii="arial" w:eastAsia="arial" w:hAnsi="arial" w:cs="arial"/>
          <w:color w:val="000000"/>
          <w:sz w:val="20"/>
          <w:lang w:val="en-US" w:eastAsia="en-US" w:bidi="ar-SA"/>
        </w:rPr>
        <w:t>, include the following:</w:t>
      </w:r>
      <w:r>
        <w:rPr>
          <w:rFonts w:ascii="arial" w:eastAsia="arial" w:hAnsi="arial" w:cs="arial"/>
          <w:sz w:val="20"/>
          <w:lang w:val="en-US" w:eastAsia="en-US" w:bidi="ar-SA"/>
        </w:rPr>
        <w:cr/>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responsibility of the Corporation to cause investigations to be made into housing conditions and the adequacy of existing housing accommodation in Canada or in any part of Canada and to cause steps to be taken for the distribution of information leading to the construction or provision of more adequate and improved housing accommodation and the understanding and adoption of community plans in Canada.</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carrying out its responsibility under this Part, the Corporation may cause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investigations to be made into housing conditions and the adequacy of existing housing accommodation in Canada or in any part of Canada and into measures that may be taken for the improvement thereof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Global Agreement established "a framework within which Programs can be planned, developed, delivered, administered and cost-shared" (s. 2.2). Pursuant to that agreement Canada was to "define the principal objectives to be achieved and the guidelines to be complied with regarding the manner of applying federal funds made available to Programs" (s. 4.1(3)). Canada was also empowered to "design, modify and deliver Programs" (s. 4.1(4)). The Global Agreement also contemplated the creation of the PMC, the joint evaluation of all Programs and the carrying out of joint operational audits (ss. 4.3, 4.5 and 4.6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to its other duties, the PMC was responsible under the Operating Agreement for "providing a forum for the sharing of information resulting from research, studies, surveys and other activities" (s. 6(e)(ix)). The Operating Agreement also provided for Program evaluations and joint operational audits. Pursuant to s. 21(d), CMHC and the Province (through its agent B.C. Housing) agreed to be "jointly responsible for all claims resulting from the application of both the Global and Operating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clear that CMHC owes duties to B.C. Housing (and the Province) arising from the Global and Operating Agreements. It is also clear that those Agreements contemplate responsibility on the part of CMHC for claims arising from their application. On the face of the Agreements, a duty of care may be said to arise. Further, it is arguable that the duty of care may extend to the sharing of information resulting from research, studies, surveys and other activities carried out by CMHC under its statutory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Smith J. summarized the inquiry to be made at the first stage of the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in </w:t>
      </w:r>
      <w:r>
        <w:rPr>
          <w:rFonts w:ascii="arial" w:eastAsia="arial" w:hAnsi="arial" w:cs="arial"/>
          <w:b/>
          <w:i/>
          <w:color w:val="000000"/>
          <w:sz w:val="20"/>
          <w:lang w:val="en-US" w:eastAsia="en-US" w:bidi="ar-SA"/>
        </w:rPr>
        <w:t>McMillan</w:t>
      </w:r>
      <w:r>
        <w:rPr>
          <w:rFonts w:ascii="arial" w:eastAsia="arial" w:hAnsi="arial" w:cs="arial"/>
          <w:color w:val="000000"/>
          <w:sz w:val="20"/>
          <w:lang w:val="en-US" w:eastAsia="en-US" w:bidi="ar-SA"/>
        </w:rPr>
        <w:t xml:space="preserve"> at para.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overall question at the first stage is whether there was a "close and direct" relationship between the plaintiffs and the defendant such that the defendant may have been obliged to be mindful of the plaintiffs' interests in conducting its affairs, taking into account expectations, representations, reliance, and the property or other interests involved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need to carry out the full analysis here because there is no doubt that having entered into a contractual relationship with the Province, CMHC was obliged to be mindful of B.C. Housing's interests in conducting its affairs. The contractual relationship is without doubt a relationship of proximity from which a duty of care may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CMHC raises two arguments against the finding of a duty of care:</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Notice makes no reference to the Global and Operating Agreements nor does it specifically allege the existence of a duty of care based on those Agreements;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B.C. Housing, not CMHC, was the Active Party responsible for the Development and CMHC's only real connection with the Development was the granting of mortgage loan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Failure to Plead the Agreements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gist of the third party claims by the Architects is set out in paragraph 14 of the Amended Third Party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as alleged by the Plaintiffs in the Fourth Further Amended Statement of Claim, the design, plans and specifications for the Development were not adequate to prevent against the Defects, then CMHC, by reason of its statutory obligations, its specialized knowledge and its knowledge of the design principles, construction methods and inspection procedures employed in the Development, knew or ought to have known of such inadequacy and CMHC owed a duty to the Plaintiffs and/or these Defendants, to pass on to them the knowledge it had gained, and to warn them of the likelihood of the Development suffering from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heading in the Amended Third Party Notice that describes the Architects' claims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CMHC". It refers to the statutory provisions outlined above. It also refers at paragraph 8 to CMHC's involvement in "funding the Development, and/or wholly or partially insuring the funding of the Development, and ... setting the budget for the Development." At paragraph 9 the Amended Third Party Notice refers to CMHC's involvement in preparing, publishing and distributing information on the performance, durability and suitability of building materials, systems and equipment for use in housing developments. At paragraphs 10 through 12, it alleges that CMHC was aware of the creation by B.C. Housing of housing standards for the design and construction of housing developments. It further alleges that CMHC was aware of the design principles, construction methods and inspection procedures employed in the Development as well as being aware of the widespread utilization of similar principles, methods and procedures in housing developments in British Columbia in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the allegations do not refer to the Global or Operating Agreements, it was evident to me from the references to discovery, the expert reports and the affidavits utilized on the 18A application that the Architects and CMHC were fully aware of the Global and Operating Agreements and were advancing their positions in reliance upon the terms of those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circumstances, and for the purpose of considering whether a duty was owed by CMHC to B.C. Housing, I conclude that the allegation in paragraph 14 of the Amended Third Party Notice that CMHC "owed a duty to the Plaintiffs" is broad enough to include contractual obligations and duties arising therefrom. There is no doubt that the relationship between CMHC and B.C. Housing and the Development arose as a result of the Global and Operating Agreements and that this was well known to the parties. The Architects submit that for the purpose of the application their pleadings should be read as if amended to accommodate contractual duties owed by CMHC to B.C. Housing and this is the approach that I have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B.C. Housing was the Active Party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CMHC says that the only real connection between it and B.C. Housing with respect to the Development was through the exchange of information relating to the granting of mortgage insurance. In essence, CMHC says that if it did not owe a duty to the plaintiff in </w:t>
      </w:r>
      <w:r>
        <w:rPr>
          <w:rFonts w:ascii="arial" w:eastAsia="arial" w:hAnsi="arial" w:cs="arial"/>
          <w:b/>
          <w:i/>
          <w:color w:val="000000"/>
          <w:sz w:val="20"/>
          <w:lang w:val="en-US" w:eastAsia="en-US" w:bidi="ar-SA"/>
        </w:rPr>
        <w:t>Kimpton</w:t>
      </w:r>
      <w:r>
        <w:rPr>
          <w:rFonts w:ascii="arial" w:eastAsia="arial" w:hAnsi="arial" w:cs="arial"/>
          <w:color w:val="000000"/>
          <w:sz w:val="20"/>
          <w:lang w:val="en-US" w:eastAsia="en-US" w:bidi="ar-SA"/>
        </w:rPr>
        <w:t xml:space="preserve"> where it provided mortgage insurance, it cannot owe a duty to B.C. Housing. The attempted application of the </w:t>
      </w:r>
      <w:r>
        <w:rPr>
          <w:rFonts w:ascii="arial" w:eastAsia="arial" w:hAnsi="arial" w:cs="arial"/>
          <w:b/>
          <w:i/>
          <w:color w:val="000000"/>
          <w:sz w:val="20"/>
          <w:lang w:val="en-US" w:eastAsia="en-US" w:bidi="ar-SA"/>
        </w:rPr>
        <w:t>Kimpton</w:t>
      </w:r>
      <w:r>
        <w:rPr>
          <w:rFonts w:ascii="arial" w:eastAsia="arial" w:hAnsi="arial" w:cs="arial"/>
          <w:color w:val="000000"/>
          <w:sz w:val="20"/>
          <w:lang w:val="en-US" w:eastAsia="en-US" w:bidi="ar-SA"/>
        </w:rPr>
        <w:t xml:space="preserve"> decision to the relationship between CMHC and B.C. Housing is misconstrued. B.C. Housing, unlike </w:t>
      </w:r>
      <w:r>
        <w:rPr>
          <w:rFonts w:ascii="arial" w:eastAsia="arial" w:hAnsi="arial" w:cs="arial"/>
          <w:b/>
          <w:i/>
          <w:color w:val="000000"/>
          <w:sz w:val="20"/>
          <w:lang w:val="en-US" w:eastAsia="en-US" w:bidi="ar-SA"/>
        </w:rPr>
        <w:t>Kimpton</w:t>
      </w:r>
      <w:r>
        <w:rPr>
          <w:rFonts w:ascii="arial" w:eastAsia="arial" w:hAnsi="arial" w:cs="arial"/>
          <w:color w:val="000000"/>
          <w:sz w:val="20"/>
          <w:lang w:val="en-US" w:eastAsia="en-US" w:bidi="ar-SA"/>
        </w:rPr>
        <w:t>, was not the borrower. The relationship between B.C. Housing and CMHC as a result of the Global and Operating Agreements is close and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What CMHC is really inviting the court to do here is to make findings based on the contractual terms and the facts of this case as to the obligations between B.C. Housing and CMHC under the Operating Agreement. CMHC says that, properly construed, it had an extremely limited role in relation to the Development such that it could not be found to be in breach of the alleged duties. This is not an issue to be considered when deciding whether or not there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owed. This argument would require a fuller hearing of the evidence and would require me to make findings of mixed fact and law to construe the duties owed under the contract. For the reasons set out below, I am not prepared to do that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summary, I find that the relationship between CMHC and B.C. Housing is a close and direct relationship such that there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existence of the Operating Agreement results in different considerations than those that are applied where the statutory provisions are the only source of the private or public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light of my conclusion regarding the duty of care owed by CMHC to B.C. Housing, and in light of my decision with regard to the last issue, it is unnecessary for me to consider whether or not CMHC owes a duty of care to the other two plaintiffs, the Society and VR 2275.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 the issue of the duty owed by CMHC to the plaintiffs suitable for disposition under Rule 18A or would it be unjust to decide that issue on this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claims against the Architects are predicated upon the assertion that it should have been well known to architects in 1987 and 1988 that a face-seal water penetration control strategy was not appropriate in Vancouver. The plaintiffs' experts assert that there was a body of knowledge and research to that effect at the time that the Development was built. The Architects' third party claim based on the duty allegedly owed by CMHC to B.C. Housing is for a declaration that any loss, damage or expense suffered by the plaintiffs was caused or contributed to by CMHC. The Architects say that the extensive involvement of CMHC in research regarding building envelopes put it in a unique position with regard to possession of knowledge and dissemination of research. They further say that if the plaintiffs are able to successfully make out their case at trial that the shortcomings of a face-seal strategy were well known, then CMHC must have breached its duty to B.C. Housing under the Operating Agreement to share that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Architects seek apportionment of fault against CMHC. In </w:t>
      </w:r>
      <w:r>
        <w:rPr>
          <w:rFonts w:ascii="arial" w:eastAsia="arial" w:hAnsi="arial" w:cs="arial"/>
          <w:b/>
          <w:i/>
          <w:color w:val="000000"/>
          <w:sz w:val="20"/>
          <w:lang w:val="en-US" w:eastAsia="en-US" w:bidi="ar-SA"/>
        </w:rPr>
        <w:t>Crown West Steel Fabicators v. Capri Insurance Services Ltd.</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2002 BCCA 417</w:t>
        </w:r>
      </w:hyperlink>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 B.C.L.R. (4th) 272</w:t>
        </w:r>
      </w:hyperlink>
      <w:r>
        <w:rPr>
          <w:rFonts w:ascii="arial" w:eastAsia="arial" w:hAnsi="arial" w:cs="arial"/>
          <w:color w:val="000000"/>
          <w:sz w:val="20"/>
          <w:lang w:val="en-US" w:eastAsia="en-US" w:bidi="ar-SA"/>
        </w:rPr>
        <w:t xml:space="preserve">, the Court of Appeal ruled that the provisions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cover the contractual liability of parties at least where there is concurrent liability in tort and contract. I find that the claims based on the Operating Agreement that the Architects are advancing regarding the duties owed by CMHC to B.C. Housing fall within the category of claims where there could be concurrent liability. Accordingly, they are entitled to pursue that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fact that the plaintiffs are not pursuing the claims against CMHC does not prevent the Architects from doing so. The Architects are entitled to bring a third party action for a declaration as to the degree of fault attributable to CMHC: </w:t>
      </w:r>
      <w:r>
        <w:rPr>
          <w:rFonts w:ascii="arial" w:eastAsia="arial" w:hAnsi="arial" w:cs="arial"/>
          <w:b/>
          <w:i/>
          <w:color w:val="000000"/>
          <w:sz w:val="20"/>
          <w:lang w:val="en-US" w:eastAsia="en-US" w:bidi="ar-SA"/>
        </w:rPr>
        <w:t>British Columbia Ferry Corp. v. T&amp;N plc</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CMHC argues that there is insufficient evidence on this application for the Architects to succeed with this claim such that the Third Party Notice should be dismissed. The Architects respond by saying that they deny the plaintiffs' allegation that the shortcomings of a face-seal strategy were well known at the time that the Development proceeded. As a result, they are not in a position on this Rule 18A application to provide evidence in support of the allegations. That evidence will be provided by the plaintiffs at trial. Accordingly, they say it is inappropriate to embark upon an assessment of the evidence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agree that a consideration of this issue should not be undertaken on this Rule 18A application. The question as to whether or not there was a body of knowledge regarding the shortcomings of the face-seal strategy at the time of the Development is critical to the plaintiffs' claim against the Architects. The issue as to whether or not sufficient evidence has been put forward by the Architects against CMHC regarding research and studies into face-seal design is closely intertwined with that issue between the plaintiffs and the Architects. Any findings that I might make could potentially embarrass the trial judge. They might make it difficult for the trial judge to arrive at findings that are contrary. Further, they could be highly prejudicial to the interests of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these circumstances I find that the issues regarding the extent of the duty of care that might be owed by CMHC to B.C. Housing and whether there is any breach of any contractual or tort duty owed by CMHC to B.C. Housing are not suitable for disposition under Rule 18A. Further, I find that it would be unjust to decide those issues on this application. Given this conclusion, there is no reason to consider the question regarding whether CMHC owes a duty of care to the plaintiffs other than B.C. Housing. Such a decision would not assist the efficient resolution of the claims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will be a declaration that CMHC does not owe a duty of care to the Architects. CMHC's other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Given the divided result, there will be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Netupsky v. Assn. of Professional Engineers and Geoscientists of British Columbia, [2003] B.C.J. No. 1599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16 - 18,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S003178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1599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C.L.R. (3d) 283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587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Boris Netupsky, plaintiff, and Association of Professional Engineers and Geoscientists of the Province of British Columbia, R.T. Martin, J.E. Vernon, P.A. Darling, E.A. Portfors, F.A.R. Willis, H. McBride, D.G.G. MacLeod, Ministry of Forests of the Province of British Columbia, the Honourable David Zirnhelt, Minister, M.Y. Mirza, R.L. Davis, Skeena Cellulose Inc., Division of the Ministry of Forests of British Columbia, D.N. Tuomi, W.E. Southgate, Journal of Commerce Publications, Brian Martin, Buckland &amp; Taylor Ltd., B.D. Morgenstern, Transit Bridge Group Ltd., G.W. Taylor, G.S. Prince, PBK Engineering Ltd., S.E. Anderson, Bull Housser &amp; Tupper, and R.W. Hunter,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33"/>
      <w:bookmarkEnd w:id="253"/>
      <w:r>
        <w:rPr>
          <w:rFonts w:ascii="arial" w:eastAsia="arial" w:hAnsi="arial" w:cs="arial"/>
          <w:b/>
          <w:color w:val="000000"/>
          <w:sz w:val="20"/>
          <w:lang w:val="en-US" w:eastAsia="en-US" w:bidi="ar-SA"/>
        </w:rPr>
        <w:t>Practice — Trials — Simplified procedure actions, fast track litigation, etc. — Summary trials, when available — Evidence — Judgments and orders — Summary judgments — To dismiss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33"/>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Buckland &amp; Taylor, Morgenstern, PBK Engineering and Anderson, for summary dismissal of Netupsky's action against them, and application by Netupsky for judgment against them pursuant to Rule 18A. The action had already been dismissed against a number of other defendants. Netupsky was a professional engineer. His claims were for damages for defamation and fraud, and perhaps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a number of reports and statements made by the defendants in relation to a review of Netupsky's design and construction of a bridge. After the bridge went into service, cracks were observed. Buckland prepared a report which alleged wholesale deficiencies in the design. Morgenstern was an employee of Buckland and the author of the report. He also gave evidence before a Discipline Committee Panel of the Association of Professional Engineers. PBK was retained by the Committee to conduct an independent review and made similar findings that the design was deficient. Anderson was an employee of PBK and the author of the report. The Committee decided that the design and construction were deficient. Netupsky maintained that the reports were deliberately based on the wrong load requirements and that the various parties conspired against him to force him to pay the cost of retrofitting the bridge.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25"/>
            <w:bookmarkEnd w:id="255"/>
            <w:r>
              <w:rPr>
                <w:rFonts w:ascii="arial" w:eastAsia="arial" w:hAnsi="arial" w:cs="arial"/>
                <w:color w:val="000000"/>
                <w:sz w:val="20"/>
                <w:lang w:val="en-US" w:eastAsia="en-US" w:bidi="ar-SA"/>
              </w:rPr>
              <w:t>HELD: Application allowed and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to support any of Netupsky's claims. His position of fraudulent intent was based on his misinterpretation of the reports and his assertion that the engineers were lying. The evidence was overwhelmingly to the contrary and refuted his claims. The impugned statements were not defamatory, and were not fraudulently or negligently made. There was no evidence of bad faith or malice. No action had been taken against Netupsky to recover the cost of retrofitting the bridge and any such action was now statute-barred. There was no evidence whatsoever of any conspiracy. Netupsky's action was really an attempt to appeal the Committee's findings.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Legislation Cited_28"/>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Disciplinary Authority Protection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Engineers and Geoscientists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7" w:name="Counsel_33"/>
      <w:bookmarkEnd w:id="2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on his own behalf. L.N. Matheson, for the defendants, Buckland &amp; Taylor Ltd., B.D. Morgenstern, PBK Engineering Ltd. and S.E. Anderson. J.D. Stewart, for the defendants, Transit Bridge Group Ltd., G.W. Taylor and G.S. Prince.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8" w:name="Judgment_34"/>
      <w:bookmarkEnd w:id="258"/>
      <w:r>
        <w:pict>
          <v:line id="_x0000_s1198"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9" w:name="HOOD J."/>
            <w:bookmarkEnd w:id="259"/>
            <w:r>
              <w:rPr>
                <w:rFonts w:ascii="arial" w:eastAsia="arial" w:hAnsi="arial" w:cs="arial"/>
                <w:b/>
                <w:color w:val="000000"/>
                <w:sz w:val="30"/>
                <w:lang w:val="en-US" w:eastAsia="en-US" w:bidi="ar-SA"/>
              </w:rPr>
              <w:t>HOOD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an 18A trial. It is one of a number of successful similar applications brought by other defendants over the years that resulted in those defendants getting out of the action. At the present time the only defendants remaining in the action are Transit Bridge Group Ltd., G.W. Taylor, and G.S. Prince.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applicants, the defendants Buckland &amp; Taylor Ltd., B.D. Morgenstern, PBK Engineering Ltd. and S.E. Anderson, seek an order, pursuant to Rule 18A, that the action against them be dismissed with costs. At the same time the plaintiff seeks judgment against these defendants in similar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appears in person. He is a well-known and innovative local and international professional engineer. I would describe him as a very intelligent and experienced litigator.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also seeks an adjournment of an 18A trial with the defendants, Transit Bridge Group Ltd., G.W. Taylor, and G.S. Prince. The adjournment is granted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While it may not necessarily be clear from the plaintiff's statement of claim, or from his oral submissions, the plaintiff's claim against Buckland &amp; Taylor Ltd. is for damages for defamation and fraud, and perhaps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issuing a report dated December 28, 1990, reviewing the plaintiff's design of the Skeena West Bridge, and "alleging wholesale deficiencies in the design" based on the wrong loading requirements, i.e., those of the Ministry of Forests of British Columbia, and in participating in a conspiracy with the Ministry and Skeena Cellulose to have the plaintiff pay for the upgrading of the bridge capacity to the loading requirements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same claims are made against B.D. Morgenstern, P. Eng., a principal and employee of Buckland &amp; Taylor Ltd., and the author of the report, in repeating the defamatory and fraudulent statements when giving evidence before a Discipline Committee Panel of the Association of Professional Engineers and Geoscientists inquiring into alleged contraventions of the Engineers and Geoscientists Act, </w:t>
      </w:r>
      <w:r>
        <w:rPr>
          <w:rFonts w:ascii="arial" w:eastAsia="arial" w:hAnsi="arial" w:cs="arial"/>
          <w:i/>
          <w:color w:val="000000"/>
          <w:sz w:val="20"/>
          <w:lang w:val="en-US" w:eastAsia="en-US" w:bidi="ar-SA"/>
        </w:rPr>
        <w:t>R.S.B.C. 1996, c. 116</w:t>
      </w:r>
      <w:r>
        <w:rPr>
          <w:rFonts w:ascii="arial" w:eastAsia="arial" w:hAnsi="arial" w:cs="arial"/>
          <w:color w:val="000000"/>
          <w:sz w:val="20"/>
          <w:lang w:val="en-US" w:eastAsia="en-US" w:bidi="ar-SA"/>
        </w:rPr>
        <w:t>, and the Code of Ethics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claim against the defendant PBK Engineering Ltd. is for damages for defamation in issuing a report dated January 31, 1994, reviewing the design of the said bridge and containing similar or the same alleged defamatory statements that the design was deficient. The same claim is made against S.E. Anderson, P. Eng., an employee of PBK Engineering Ltd., as author of the report which is described as "replete with distortions of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concluded for my purposes, from the statement of claim, which is poorly drawn, and from the plaintiff's numerous written and oral submissions, that the plaintiff complains about three things: first, that the statements in the reports, and in their testimony, that the plaintiff's design was deficient are defamatory of him; second, that the statements are fraudulent in that they were deliberately based on the Ministry's load capacity requirement of two 75-ton trucks on the bridge when they should have been based on Skeena Cellulose's loading requirement of one 75-ton truck on the bridge, which the plaintiff's design was required to meet; and third, that the defendant applicants, the Ministry, Skeena Cellulose and others conspired against the plaintiff to force him to pay for the upgrade of the bridge so that it would support the Ministry's requirement of a live load of two 75-ton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do not propose to review the defences raised by the defendant applicants in any detail, because in my opinion there is no evidence before me which would support any of the plaintiff's claims. In fact, the evidence is overwhelmingly to the contrary and refutes his claims. The defendants deny that they defamed, defrauded, or conspired against the plaintiff. They plead that the substance of the statements complained about are true, that they were made honestly with the belief that they were true and without malice, in providing engineering consultant services. They also plead in the alternative qualified privilege, absolute privilege, and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28, 2002, after an earlier three-day hearing, I gave my decision in this matter, dismissing the plaintiff's action against the applicants with costs. I also agreed to deliver reasons for judgment if requested by Mr. Netupsky. These are the reasons requested. They should be read as of the date of my decision, October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observe at this point that this is a case of solid unanswered evidence by and on behalf of the defendant applicants, versus bald and unsupported assertions by the plaintiff. The plaintiff has simply failed to make out his case, and he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subject matter of the action is the design and construction of the Skeena West Bridge over the Skeena River at a point about 40 km North East of Terrace, British Columbia. The bridge was designed by the plaintiff through his engineering company. The bridge was built by the plaintiff through his construction company. At the time of construction the owner of the bridge was Skeena Cellulose Inc. After the bridge was in service the Ministry of Forests of the Province of British Columbia acquired a 20% interest in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Sometime after the bridge went into service cracks in the deck and movement of an abutment or abutments were observed. And on September 21, 1990, Skeena Cellulose retained an engineering firm, Buckland &amp; Taylor Ltd. to review the design and the structure. It is stated in the retaining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failure occurred during the spring of 1990 at the east abutment, with the upstream piling sinking several inches. The Ministry of Forests have requested that this project be reviewed as they have concerns as to the structural integrity and longevity of the bridge.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requesting that your firm undertake a review of the design and the existing structure, specifically looking at the following items;</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east abutment and remedial work performed to date;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cracking of concrete deck panels;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Buckland &amp; Taylor Ltd. conducted the review requested and issued a 12-page report dated December 28, 1990, to which was annexed a report dated December 26, 1990, of D.J. Bazett, P. Eng., who was retained with regard to the geotechnical aspects and the foundations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Buckland &amp; Taylor Ltd.'s report is certainly negative. It deals with numerous aspects of the design of the bridge that did not meet standard Design Criteria. With regard to the Design Criteria it is stated on page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design code referenced is CAN3-S6-M78, "Design of Highway Bridges", with modifications as noted on the drawings. The designer has clarified to us that the L-75 truck design requirement </w:t>
      </w:r>
      <w:r>
        <w:rPr>
          <w:rFonts w:ascii="arial" w:eastAsia="arial" w:hAnsi="arial" w:cs="arial"/>
          <w:color w:val="000000"/>
          <w:sz w:val="20"/>
          <w:u w:val="single"/>
          <w:lang w:val="en-US" w:eastAsia="en-US" w:bidi="ar-SA"/>
        </w:rPr>
        <w:t>was understood to mean only a single L-75 truck on the bridge at any given time</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it is disputed by the plaintiff I am satisfied that in performing his task Mr. Morgenstern, an experienced bridge design engineer, compared the plaintiff's design against the singular L-75 truck design requirement. This is what he said in his report, in his affidavit and when testifying before the Panel. And there is no acceptable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report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review of this bridge has revealed numerous aspects which appear to not comply with the specified design criteria. The magnitude of non-compliance found will result in a substantially reduced structure life. Evidence of some of the deficiencies will occur gradually and will be visible; other deficiencies could result in sudden failures without obvious warning indications. Avoidance of excessive loads will assist in prolonging the life, but some loads, such as ice, are not readily controllable and thus present a significant and immediate risk to the bridge. We suggest that interim plans be considered as soon as possible for dealing with possible ice loadings. Other deficiencies also should be addressed without delay since the present safety level of the bridge is substandard in many respects.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not carried out any design work for remedial measures pending your review and discussion of our comments. We also draw to your attention that we have not checked every detail on the bridge, but rather have curtailed our work in each area whenever obvious concerns have been identified. The following estimate of costs to upgrade the noted items of concern to an acceptable standard is very rough and is intended only as a guide for you in deciding on your overall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Morgenstern then goes on to itemize the costs to upgrade at one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position with regard to this report is that it is false, fraudulent, defamatory and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Apparently the Ministry of Forests required a second opinion because of the divergent opinions of the plaintiff and Buckland &amp; Taylor Ltd. Transit Bridge Group Ltd. was then retained to do a third review. In its report dated November, 1991,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purpose of this review is to provide both an independent and conclusive review of the present condition of the bridge and to recommend structural retrofit and contractual remedial measures for the Ministry's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gain an informed perspective on the present condition of the Skeena River Bridge, a structural design review was conducted of both the superstructure and substructure. This design review was followed by a site visit. The concluding sections of this report address remedial measures to upgrade the bridge, the anticipated performance of the current bridge, contractual courses of action and our overall conclusions and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Transit Bridge Group Ltd.'s report, Buckland &amp; Taylor Ltd.'s report was made available to it. I do not believe it necessary to review Transit Bridge Group Ltd.'s report in any detail. I will only extract three passages from it, the first being on page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Live Load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live load used in the Netupsky Engineering design is specified in the General Notes on Netupsky Engineering Drawing No. S-1. This loading is used in this review with the following qualification.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length of the bridge and the spans, we consider a single truck on the bridge as an imprudent representation of the actual truck loading. Consequently, we have reviewed the bridge for both the live loading defined on Netupsky Engineering Drawing No. S-1 (one truck on bridge) and a second load case of two trucks, either MS250-77 or L-75 logging truck, on the bridge simultaneously.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second one at page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Comparison with Buckland &amp; Taylor Ltd.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very view exceptions our design review findings are in agreement with those given in the Buckland and Taylor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third at page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13.0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completion of our review of the design and performance of the Skeena River Bridge, our principal conclusions are: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existing bridge superstructure </w:t>
      </w:r>
      <w:r>
        <w:rPr>
          <w:rFonts w:ascii="arial" w:eastAsia="arial" w:hAnsi="arial" w:cs="arial"/>
          <w:color w:val="000000"/>
          <w:sz w:val="20"/>
          <w:u w:val="single"/>
          <w:lang w:val="en-US" w:eastAsia="en-US" w:bidi="ar-SA"/>
        </w:rPr>
        <w:t>cannot safely carry an L-75 logging truck</w:t>
      </w:r>
      <w:r>
        <w:rPr>
          <w:rFonts w:ascii="arial" w:eastAsia="arial" w:hAnsi="arial" w:cs="arial"/>
          <w:color w:val="000000"/>
          <w:sz w:val="20"/>
          <w:lang w:val="en-US" w:eastAsia="en-US" w:bidi="ar-SA"/>
        </w:rPr>
        <w:t xml:space="preserve"> without substantial strengthening of the girders...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October 31, 1991, the Investigation Committee of the Association of Professional Engineers and Geoscientists (the Association) passed a motion to start an investigation into "the alleged faulty design of the Skeena River Bridge." The director wrote to the plaintiff on January 20, 1992, advising him of this and requesting his comments on "the alleged deficiencies, together with any other pertinent information regarding your involvement in this project." On January 29, 1992, the plaintiff wrote a lengthy without prejudice letter to the Association setting out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December 14 and 15, 1995, the plaintiff applied before the Honourable Mr. Justice Curtis for judicial review of the proceedings which the Association had instituted against him. He also applied for an order setting aside its Notice of Inquiry and to prohibit the Association from proceeding with the hearing then set for January of 1996. The petition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Discipline Committee Panel of the Association (the Panel) then held an inquiry to examine alleged contravention of the Engineers and Geoscientists Act and the Code of Ethics by Mr. Netupsky. The hearing required "nearly 20 days of evidence and submissions between March 23 - 27, April 6, June 1 - 19,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part of the investigation the Association retained the defendant PBK Engineering Ltd. to do an independent review of the design of the bridge. The company produced a report dated April 6, 1994, which was presented in evidence during the hearing, and its author, S.E. Anderson, P. Eng., an employee of PBK Engineering Ltd., testified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briefly to PBK Engineering Ltd.'s report. In it Mr. Anderson points out that he reviewed the reports of Transit Bridge Group Ltd. and Buckland &amp; Taylor Ltd., but only after he had established design deficiencies on his own. In the report under the topic "Conclusion" deficiencies are noted and it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of the opinion that the Design Criteria stated by Netupsky Engineering are reasonable and in agreement with the Contract Documents on which they bid. The application of these criteria to the bridge as designed </w:t>
      </w:r>
      <w:r>
        <w:rPr>
          <w:rFonts w:ascii="arial" w:eastAsia="arial" w:hAnsi="arial" w:cs="arial"/>
          <w:color w:val="000000"/>
          <w:sz w:val="20"/>
          <w:u w:val="single"/>
          <w:lang w:val="en-US" w:eastAsia="en-US" w:bidi="ar-SA"/>
        </w:rPr>
        <w:t>show some considerable design deficiencies which cannot be argued away as a designer's judgment</w:t>
      </w:r>
      <w:r>
        <w:rPr>
          <w:rFonts w:ascii="arial" w:eastAsia="arial" w:hAnsi="arial" w:cs="arial"/>
          <w:color w:val="000000"/>
          <w:sz w:val="20"/>
          <w:lang w:val="en-US" w:eastAsia="en-US" w:bidi="ar-SA"/>
        </w:rPr>
        <w:t xml:space="preserve">. A number of these deficiencies result in </w:t>
      </w:r>
      <w:r>
        <w:rPr>
          <w:rFonts w:ascii="arial" w:eastAsia="arial" w:hAnsi="arial" w:cs="arial"/>
          <w:color w:val="000000"/>
          <w:sz w:val="20"/>
          <w:u w:val="single"/>
          <w:lang w:val="en-US" w:eastAsia="en-US" w:bidi="ar-SA"/>
        </w:rPr>
        <w:t>life-safety concerns where component failure or collapse under certain load cases is predicted</w:t>
      </w:r>
      <w:r>
        <w:rPr>
          <w:rFonts w:ascii="arial" w:eastAsia="arial" w:hAnsi="arial" w:cs="arial"/>
          <w:color w:val="000000"/>
          <w:sz w:val="20"/>
          <w:lang w:val="en-US" w:eastAsia="en-US" w:bidi="ar-SA"/>
        </w:rPr>
        <w:t xml:space="preserve">. It is our opinion that the design of this structure, as we can infer from the documents presented, </w:t>
      </w:r>
      <w:r>
        <w:rPr>
          <w:rFonts w:ascii="arial" w:eastAsia="arial" w:hAnsi="arial" w:cs="arial"/>
          <w:color w:val="000000"/>
          <w:sz w:val="20"/>
          <w:u w:val="single"/>
          <w:lang w:val="en-US" w:eastAsia="en-US" w:bidi="ar-SA"/>
        </w:rPr>
        <w:t>does not represent the design of a reasonable and prudent engineer experienced in the design of such structures</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Turning briefly to the Panel's decision, Mr. Netupsky was charged with:</w:t>
      </w:r>
      <w:r>
        <w:rPr>
          <w:rFonts w:ascii="arial" w:eastAsia="arial" w:hAnsi="arial" w:cs="arial"/>
          <w:sz w:val="20"/>
          <w:lang w:val="en-US" w:eastAsia="en-US" w:bidi="ar-SA"/>
        </w:rPr>
        <w:cr/>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bridge has serviceability deficiencies;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piers have been underdesigned for specific loading;</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and construction of the abutments is insufficient to withstand the loads imposed upon them and as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hearing the reports of Buckland &amp; Taylor Ltd., Transit Bridge Group Ltd. and PBK Engineering Ltd. were introduced into evidence. And their authors, Morgenstern, Taylor and Anderson also testified. In this regard it is stated on page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these reports and the evidence of their authors pertaining to the original Bridge design found significant deficiencies with the Bridge as designed and constructed by the Netupsky companies and concluded that the Bridge, as built, required substantial remedial work to make it safe for its intended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 Netupsky is an innovative engineer with considerable experience in structural design. However, by his own admission, he tends not to use the Code in design as he has rationalized that by using "classical methods" he can provide a more economical design. He referred to a 30% cost saving in his comparison between a design based upon the code and an alternative design based upon "classical methods" in the 1950s, but he did not present such a comparison for the Skeena River Project in spite of instructions in the Invitation to Tender (Exhibit 2, Tab 4, Item 9.0 - Alternative Designs).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used Clause 3.1 of S6-M78 (Exhibit 2, Tab 55) to rationalize his ability to use classical methods. However, we understand that any design done under this provision has to ensure that the stresses are within the stress limitations of the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Code S6-M78 was established and agreed to as the basis for the design of both the Taylor Peach and Associates and the Netupsky alternative design of the Bridge. It would appear that this was lost sight of in the Netupsky Engineering desire to accommodate the client's demand to design a very low cost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Panel found Mr. Netupsky not liable on charge 1. They found him liable on charge 2, that the piers had been underdesigned for specific loading noting,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Netupsky's calculations indicate a safe load capacity for the piles. This was questioned by R.A. Patrick, P Geo., based on the data provided to B. Morgenstern, P. Eng., and D. Bazett, P Geo., who considered there was insufficient safety factor with the piles as driven.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noted above, evidence of Mr. Netupsky's original calculations for the Bridge were not forthcoming initially on request by APEGBC and the calculations provided for the inquiry were prepared specifically for the inquiry, long after the Bridge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B. Morgenstern, P. Eng., Dr. G.W. Taylor, P. Eng., and S.E. Anderson, P. Eng., questioned the structural capacity of the piles under maximum ice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also quoted from the PBK Engineering Ltd. report, referring to it as an independent review commissioned by the Association, which indicated that there would be structural failure of the pile where the pile structural section is stressed to 135 degrees of allowable.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Panel also found Mr. Netupsky liable on charge 3, in that the design and construction of the abutments was insufficient to withstand the loads imposed upon them as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Panel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Panel on reviewing the evidence presented by the numerous witnesses has concluded that Mr. B. Netupsky overstepped the limits required to meet the design criteria, and although the Bridge is still in operation - there is a very large question as to how close it is to its ultimate capacity under the present condition. We know that the design loads under ice conditions have not been experienced and that maximum 50 to 100 years river flows - which could cause considerable scour - have not occurred since the Bridge was completed.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Panel has concluded that the capacity of the abutments is at or very close to the ultimate capacity of the piles and there is no factor of safety left to accommodate loading to design levels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I understand it the penalty levelled against the plaintiff was in excess of $100,000, being mainly made up of costs. While the plaintiff complains that the Ministry and Skeena were conspiring to have him pay the cost of retrofitting the bridge in excess of one million dollars, which he describes as an "upgrading" to a two-truck live loading as opposed to one, I am told that no action was ever taken against the plaintiff to recover these monies, and any action at this time would be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point is fundamental to the plaintiff's case. He asserts that Skeena Cellulose, the Ministry, the defendant applicants and the remaining defendants got together and conspired against him in order to have the bridge upgraded to support a live load of two trucks, at his expense or cost; that a live load of one truck was the criteria which he was required to meet when preparing his design, and he is not responsible for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asserts that the defendant applicants as well as the remaining defendants were parties to the conspiracy, and when reviewing his design they, among other things, did not test it in relation to a live load of one truck as was specified, and as they said and swore they did, but used a live load of two trucks. He says that this evidence shows the fraudulent intent of Skeena Cellulose Inc. and the Ministry. His position goes no further than mere assertion. It is not based on any reliable evidence. If anything it is based on his slanted or misinterpretation of the three reports, and his assertion that all three engineers are lying, and nothing more. It is simply not tenable. The only evidence before me on the point is contrary to 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Returning to the history Mr. Netupsky said that during this period of time, 1988 - 1989, he was involved in a substantial project in Iraq in which he owed the Royal Bank of Canada in excess of one million dollars. When Iraq entered Kuwait and the Canadian Government barred any further dealings with Iraq, his debtor, he was put into bankruptcy in June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Netupsky had said earlier that the conspirators had waited until matters with the Association were cleared up, so that he could be found guilty, and he would have to pay the costs of upgrading. Mr. Matheson immediately pointed out that no action was ever started against Mr. Netupsky for those costs, and that they are now statute barred; also that his bankruptcy extinguished any claims against him. All of this he suggested is irrelevant, and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turn briefly to the submissions. In this regard I note that Mr. Netupsky's numerous written submissions are lengthy, extensive and far reaching, and with respect, at times all over the place; as were his oral submissions. He left no stone unturned and argued every possible point with equal vigour. I will attempt to confine these reasons to the primary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commence with Mr. Netupsky's approach to proving his case on the balance of probabilities. It may be unique. In any event it is ineffective. He has not rebutted the evidence of the defendants, or evidence led on their behalf, and which remains unchallenged. He has proven little, if anything. In effect, he relies on his interpretation of documents, particularly the three reports, to make out his case. I have found his interpretations time after time to be strained or actual misinterpretations which, in any event, are no answer to the defence evidence. Mr. Matheson put it this way. He said that the plaintiff looks at documents, draws inferences from them, and then puts the inferences forward as being not only true but proof.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adopt what Stewart J. said on this subject matter in an earlier case, Netupsky v. Association of Professional Engineers and Geoscientists of British Columbia et al, </w:t>
      </w:r>
      <w:hyperlink r:id="rId708" w:history="1">
        <w:r>
          <w:rPr>
            <w:rFonts w:ascii="arial" w:eastAsia="arial" w:hAnsi="arial" w:cs="arial"/>
            <w:i/>
            <w:color w:val="0077CC"/>
            <w:sz w:val="20"/>
            <w:u w:val="single"/>
            <w:shd w:val="clear" w:color="auto" w:fill="FFFFFF"/>
            <w:lang w:val="en-US" w:eastAsia="en-US" w:bidi="ar-SA"/>
          </w:rPr>
          <w:t>[2001] B.C.J. No. 1443</w:t>
        </w:r>
      </w:hyperlink>
      <w:r>
        <w:rPr>
          <w:rFonts w:ascii="arial" w:eastAsia="arial" w:hAnsi="arial" w:cs="arial"/>
          <w:color w:val="000000"/>
          <w:sz w:val="20"/>
          <w:lang w:val="en-US" w:eastAsia="en-US" w:bidi="ar-SA"/>
        </w:rPr>
        <w:t xml:space="preserve"> at p. 3. There His Lordship states with regard to similar facts and conduct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the extent I could understand the plaintiff's case on the issue at hand now it comes to this: He draws together the fact that he was asked to design a bridge to handle one truck - and did - with the fact that an upgrading of the bridge so that it could handle two trucks only went ahead after he was a bankrupt and thus judgment proof, and says that as the bridge was not closed to traffic after his design was found to be faulty, the failure of the Discipline Committee Panel to state on the face of their reasons for judgment that much of the hearing had been taken up with the difference between the plaintiff's instructions (design for one truck) and the Ministry of Forests standard (two trucks) is the smoking gun that proves that all of the defendants of interest on the application before me were party to a conspiracy aimed at seeing the plaintiff burdened with the costs of an ill-advised disciplinary proceeding and, amongst other things, seeing the plaintiff or the plaintiff's engineering corporation pay the cost ($1 million) of upgrading the bridge to a two-truck standard when all concerned knew well and good that the plaintiff had responded to a request to design a one-truck bridge by creating a bridge that did exactly what it was supposed to do - and did it without untoward incident for many years.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the trier of fact on this Summary Trial I say that the plaintiff has not persuaded me that what he asserts is so in connection with any of the defendants. The plaintiff's case insofar as it grapples with the last fourteen words of s. 1 of the Disciplinary Authority Protection Act, supra, is a wild amalgam of: lack of logic, speculation, and the taking of the ascribing of a motive as the equal of the proving of a motive. A good example of the last item is the plaintiff's assertion that even if the Association had a duty to publish [which I interject to say it obviously did] the "republishing" of what had been published before proves malice. Well, it doesn't.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Lordship's observations apply with the same force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agree with Mr. Matheson that while the plaintiff's case is framed in defamation,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really an appeal of the Discipline Committee Panel's findings which were not appealed. Most of the arguments made before me by the plaintiff were made before the Panel, and obviously were rejected. And Mr. Netupsky attacks the evidence of the defendant applicants (again) which evidence was accepted by the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agree with Mr. Netupsky that the issue of what loading criteria was used by the three engineers when reviewing his design is crucial. I am satisfied on the evidence before me, and there being no real evidence to the contrary, that each of the three engineers reviewed his design with the Skeena Cellulose specification of one 75-ton logging truck in mind. And that should end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Without a finding that the engineers reviewed his design using a two truck criteria there is no need to consider the rest of the conspiracy theory, although I observe that there is no evidence of any agreement between the parties whatsoever, or that anyone was attempting to get the plaintiff to pay for something for which he was not responsible. There is nothing more than Mr. Netupsky's erroneous interpretation of what in fact went on. Finally, the plaintiff offers no independent proof, advice or opinion to contradict what the three engineers say on a technical level. The best he can say is "they are lying, they didn't use my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propose to deal further with Mr. Netupsky's allegations that the defendant applicants deliberately used the wrong live weight criteria when reviewing his bridge design as part of a conspiracy to make him responsible for the upgrading of the bridge and to eliminate the plaintiff as a competitor, and that the engineers lied in their reports, and again in their affidavits, and still again when testifying before the Panel. There is absolutely no credible evidence before me which would legitimize any of these unfounded and scurrilous allegations. As I have said before,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turn briefly to Mr. Morgenstern's affidavit sworn June 24, 2002, as perhaps representative of all of the engineers' evidence and perhaps as well of their integrity. There he says: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conducting my review of the plaintiff's design, I used the governing bridge code CAN3-S6-M78 design of highway bridges with the modifications noted on the plaintiff's drawings.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experience it is common practice for bridge engineers to use the governing bridge code in designing or reviewing designs of bridges such as the project.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the design criteria I used was the plaintiff's live load of a single L-75 truck design requirement which I understood to mean only a single L-75 truck on the bridge at any given time. As I indicated in my report, this is not uncommon and I used the single truck for my design review. I deny the plaintiff's allegation that I used two L-75 logging trucks in conducting my review of the design of the project.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review I did was an independent review and the conclusions contained in "Exhibit C" are based on my professional judgment.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 testified as a witness at the disciplinary hearing in or around March and June, 1998 pursuant to a Subpoena. Attached hereto and marked as Exhibit "D" is a copy of the Subpoena dated March 16, 1988.</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materials times I was a member of the Association of Professional Engineers and Geoscientists of British Columbia ("the Association") and I conducted my review and responded to inquiries of the Association and Skeena Cellulose using my professional engineering judgment as was my duty.</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my review of the plaintiff's design was I motivated by malice or bath faith towards the plaintiff and I deny his allegations to the contrary. My conduct in conducting my review and preparing my report was at all time professional and for no improper purpose.</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summary, I deny that the conclusions contained in my report, Exhibit "C", were made maliciously, fraudulently or recklessly.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the circumstances I do not propose to deal with the issues of defamation,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any detail, given that their foundation has been demonstrated to be lacking. I am satisfied that the impugned statements, both written and oral, were not defamatory, and were not fraudulently or negligently made. I will simply critique Mr. Matheson's alternative submissions and with which I am in basic agreement. They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has presented no evidence of bad faith or malice on the part of Buckland &amp; Taylor Ltd., Mr. Morgenstern, PBK Engineering Ltd., or Mr. Anderson. There is no evidence that the design of the bridge met the design criteria set out in the reports or that the findings in the reports are false. There is no evidence of fraud on the part of any of the defendant applicants in the preparation of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conclusions contained in the reports are not defamatory. They are the professional opinions of the companies and of their engineers, based on a review of the design and the as built conditions of the bridge. I agree also that the plaintiff has always been in a position to support his design by way of submitting contrary evidence, including expert evidence, if he chose to do so. He did not do so. In fact, he did not refute or deal with the Panel's conclusion as to how and why his design was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Even if the statements in the reports are defamatory they were made on the occasion of a qualified privilege and without malice. There is simply no evidence of malice. Neither Morgenstern nor Anderson had anything to do with the investigation and inquiry into the plaintiff's design or the hearing before the Discipline Committee Panel. They were in fact subpoenaed to attend and give evidence before the Panel. The companies and their engineers had a duty to provide their client with an opinion based on their professional judgment, and that is what they did. They also had a duty to the public, being the users of the bridge, to provide an opinion with respect to what, if any, deficiencies existed and to make recommendations regarding remedial work. See in this regard Netupsky v. Craig, </w:t>
      </w:r>
      <w:hyperlink r:id="rId709"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xml:space="preserve"> (S.C.C.) and other cases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Similar defences are open to Mr. Morgenstern and to Mr. Anderson with regard to the evidence they gave at the disciplinary hearing pursuant to subpoena. There is no suggestion that the evidence they gave was defamatory, or other than their objective professional opinions. Again, if their statements were defamatory, they were made on an occasion of absolute privilege. The two engineers are members of the Association and had a duty to attend and give evidence in an objective fashion, based on their professional judgment as members of the Association and pursuant to a subpoena. The statements clearly were made without malice. Further, it would seem that any claim regarding their testimony is barred by the Disciplinary Authority Protection Act, </w:t>
      </w:r>
      <w:r>
        <w:rPr>
          <w:rFonts w:ascii="arial" w:eastAsia="arial" w:hAnsi="arial" w:cs="arial"/>
          <w:i/>
          <w:color w:val="000000"/>
          <w:sz w:val="20"/>
          <w:lang w:val="en-US" w:eastAsia="en-US" w:bidi="ar-SA"/>
        </w:rPr>
        <w:t>R.S.B.C. 1996, c. 98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of the defendant applicants. The plaintiff has not provided any expert evidence as to the standard of care required of an engineer in the circumstances of this case, or that they failed to meet the standard of care of a reasonably prudent engineer in providing services for a project of this nature. Further, the plaintiff's claim is for pure economic loss and as such is not recoverable from the defendant engineers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Early in the trial I raised with Mr. Matheson the question of whether or not an 18A trial of the issues between the parties was appropriate. He said in effect that he would not formally maintain the position that the 18A trial should proceed, noting that it was a contentious case. Mr. Netupsky made no submission on the issue. I decided to proceed in any event and to make my final decision, if necessary, after hearing what the evidence and issues were and submissions. At the end of the trial I had no doubt that an 18A trial was appropriate, and that I could do justice between the parties in finding the facts necessary to determine the issues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generally speaking an 18A trial may not be appropriate for allegations of fraud, and perhaps defamation as well, each case must still depend on its own peculiar facts, since in most cases it is the nature of the evidence and perhaps of the issues as well rather than the nature of the action which is determinative. In this case Mr. Netupsky was content to argue his case based on his interpretation of the evidence presented by and on behalf of the defendants. He elected not to file or tender evidence answering, and which might have been in conflict with, the defence evidence, and which might have resulted in an 18A trial being inappropriate; I suspect the reason being that credible evidence in that regard was not available either through himself or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only conflicts I had to resolve were conflicts in the submissions. They were not credibility issues or conflicts in the evidence, all of which favoured the defendants and none of which favoured Mr. Netupsky. Mr. Netupsky cannot frustrate the proceedings and delay the inevitable by simply making unfounded assertions under the guise of drawing inferences, especially when the context from which they are said to have been drawn gives them no credence. At the least there must be some rational or reasonable evidentiary basis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such circumstances of this case I see no reason why an 18A trial would not be appropriate. The only questions which I have to decide is whether on the evidence I can find the facts necessary to enable me to determine the issues between the parties, and, if so, whether it is just to do so. And the answers are in the affirmative. Further, in my opinion, to force the defendants into a lengthy and expensive trial down the road, when they have lived for years with these proceedings and the spurious allegations against them over their heads, would be a grave injustice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Finally, I have received correspondence from Mr. Netupsky in which he requests that I consider waiving the question of costs, because in two earlier proceedings which he lost the judges ordered that there would be no order for costs; he is now 77 years of age "with no prospect of any steady employment," he has little guaranteed income and in addition averages about $12,000 a year over his guaranteed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seems clear to me that these proceedings have been prolonged over the years because of the tenacity of the plaintiff. And as I have said the proceedings have been a cloud over the heads of the defendant applicants during this period of time. And in my view by not awarding costs the court may well have unwittingly encouraged further litigation, including these three-day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circumstances, and not having heard from Mr. Matheson, I declined to change my earlier order that the action be dismissed with costs. I point out that the question of whether or not Mr. Netupsky must pay the taxable costs is now in the hands of the applicant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Olynyk v. Kilback, [2010] B.C.J. No. 2405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 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13-15, June 8 and August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38739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2405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1694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B.C.L.R. (5th) 344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3268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195 A.C.W.S. (3d) 1196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 Olynyk, Plaintiff, and Aaron Kilback and Her Majesty the Queen in Right of the Province of British Columbia as represented by the Minister of Environment,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0" w:name="Keywords_34"/>
      <w:bookmarkEnd w:id="260"/>
      <w:r>
        <w:rPr>
          <w:rFonts w:ascii="arial" w:eastAsia="arial" w:hAnsi="arial" w:cs="arial"/>
          <w:b/>
          <w:color w:val="000000"/>
          <w:sz w:val="20"/>
          <w:lang w:val="en-US" w:eastAsia="en-US" w:bidi="ar-SA"/>
        </w:rPr>
        <w:t>Tort law — Abuse of legal procedure or process — Malicious prosecution — Establishing elements — Malice — Want of reasonable or probable cause — Action against conservation officer and Crown for damages for malicious prosecution and misfeasance in public office dismissed — Officer prosecuted plaintiff in respect of two hunting incidents 18 months apart — Both trials ended in acquittals — Plaintiff failed to establish claims, as there was a reasonable possibility of conviction in both instances, but for incompetence and inexperience of officer in prosecuting offences — Incompetence did not amount to malice.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public office — Elements of tort — Action against conservation officer and Crown for damages for malicious prosecution and misfeasance in public office dismissed — Officer prosecuted plaintiff in respect of two hunting incidents 18 months apart — Both trials ended in acquittals — Plaintiff failed to establish claims, as there was a reasonable possibility of conviction in both instances, but for incompetence and inexperience of officer in prosecuting offences — Incompetence did not amount to malice.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1" w:name="Case Summary_34"/>
            <w:bookmarkEnd w:id="2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Olynyk, against the defendants, Kilback and the provincial Crown, for damages for malicious prosecution and misfeasance in public office. The plaintiff was a longtime hunter and resident of a rural area. Kilback was a conservation officer employed by the Crown. The plaintiff shot a cougar that had killed his dog. He subsequently purchased a tag which would allow him to hunt for cougar. Kilback confiscated the cougar hide and issued a ticket and a warning slip. The plaintiff successfully disputed the ticket, because the offence date was shown to be 2003 rather than 2004. In court, Kilback stated his intention to re-lay the charge and told the plaintiff that he could purchase the cougar hide at an auction. He subsequently attended the plaintiff's residence to issue a new ticket for the same offences. The plaintiff hired a lawyer and the Crown issued a stay of proceedings in respect of the ticket. Approximately 18 months later, the plaintiff shot a deer on Crown land. The deer continued onto private farmland and died. The landowner complained and Kilback issued a ticket to the plaintiff for hunting on cultivated land without permission. The plaintiff successfully disputed the ticket, as an issue arose as to who had taken photographs of the scene. In addition, the landowner was not present to prove ownership or lack of permission to hunt. The plaintiff contended that Kilback had intentionally altered the photographic evidence and underlying documents in an attempt to mislead the court. The plaintiff contended that the prosecutions for both the cougar and deer incidents were without reasonable and probable cause and were motivated by malice. The plaintiff contended that Kilback's conduct with respect to the photographic evidence constituted misfeasance in public office.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2" w:name="Holdings of Court_26"/>
            <w:bookmarkEnd w:id="26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establish malice. The plaintiff killed the cougar without the appropriate licence and failed to have it inspected. His acquittal did not change that, and there was no reason to return the hide. Kilback was embarrassed and humiliated by the acquittal, but issued the second ticket in the belief that he could proceed with a prosecution for an offence that was actually committed. He was incompetent in issuing the second ticket, but that did not amount to malice. With respect to the deer incident, there was a reasonable probability of conviction in the absence of the photographic evidence. Kilback's conduct in respect of the photographic evidence was grossly incompetent, but did not amount to malice or misfeasance in public office. Kilback was unaware that the landowner would not attend until the day of trial. No improper motive was established for the prosecutions.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Legislation Cited_29"/>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14-1(9)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4" w:name="Counsel_34"/>
      <w:bookmarkEnd w:id="2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R.W. McDiarmid,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A.M. Maloney.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5" w:name="Judgment_35"/>
      <w:bookmarkEnd w:id="265"/>
      <w:r>
        <w:pict>
          <v:line id="_x0000_s1203"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6" w:name="R.E. POWERS J."/>
            <w:bookmarkEnd w:id="266"/>
            <w:r>
              <w:rPr>
                <w:rFonts w:ascii="arial" w:eastAsia="arial" w:hAnsi="arial" w:cs="arial"/>
                <w:b/>
                <w:color w:val="000000"/>
                <w:sz w:val="30"/>
                <w:lang w:val="en-US" w:eastAsia="en-US" w:bidi="ar-SA"/>
              </w:rPr>
              <w:t>R.E. 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against the defendant, Aaron Kilback ("CO Kilback"), a conservation officer, and his employer, Her Majesty the Queen in Right of the Province of British Columbia as represented by the Minister of Environment. The claim for damages arises out of allegations of malicious prosecution and misfeasance in public office with respect to two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Olynyk resides in a rural part of British Columbia between the town of Lytton and Lillooet near the Fraser River. He has lived in the area for approximately 34 years, and has been a hunter for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Cougar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or about January 7, 2004, he shot a cougar that had killed his dog. Subsequent to shooting the cougar he purchased a tag which would allow him to hunt for a cougar. He knew that it was wrong to purchase and use the tag after he shot the cougar. Subsequently, he received a telephone call from CO Kilback, who had received information about the shooting of the cougar. He told CO Kilback that he had "tagged and bagged" the cougar. CO Kilback showed up a few days later. Mr. Olynyk's evidence is that CO Kilback appeared annoyed. CO Kilback denied he was annoyed. CO Kilback discussed the shooting of the cougar with Mr. Olynyk and seized the cougar hide. CO Kilback issued a ticket to Mr. Olynyk accompanied by a notice of potential cancellation of a hunting license if Mr. Olynyk failed to pay the fines or dispute the ticket. He was also issued a warning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January 8, the next day, CO Kilback called Mr. Olynyk and asked him to attend the conservation office. CO Kilback forgot to endorse the date of service on the original ticket. When Mr. Olynyk attended, CO Kilback gave him a new ticket and a new notice of cancellation. The charges were slightly different. However, the offence date was shown to be 2003 instead of 2004. Initially this was not noticed by CO Kilback or Mr. Olynyk. Mr. Olynyk disputed the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matter came before the Court on June 16, 2004. Outside court, Mr. Olynyk says that CO Kilback was sarcastic towards him. CO Kilback denies this. CO Kilback had limited experience in prosecuting offence tickets. At one time, the province prosecuted these tickets through the offices of Crown counsel. Later that process changed and conservation officers were left to prosecute their own tickets. Based on CO Kilback's evidence, they are given little or no training to do so. In this case, this appears to have been false economy. CO Kilback spoke to an RCMP officer who was there prosecuting traffic tickets, and the RCMP officer agreed to prosecute these particular offences. Mr. Olynyk entered a plea of not guilty to the charges. It then became obvious that the date on the ticket was wrong and no evidence was called. Mr. Olynyk was acquitted.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Olynyk then inquired of the Justice of the Peace who was presiding whether he could obtain the return of the cougar hide. Mr. Olynyk and CO Kilback had a discussion about that outside the courtroom. CO Kilback told Mr. Olynyk he could purchase the hide at an auction where items which had been seized were sold, but he was not going to get it back voluntarily. CO Kilback also told Mr. Olynyk that he would be re-charged. Subsequently, in open court, in the presence of the Justice of the Peace, CO Kilback made it clear that it was his intention to relay the charge. Mr. Olynyk made it clear to CO Kilback that he did not think that was appropriate as he had already been acquitted.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that CO Kilback was embarrassed and humiliated by the fact that he had made this mistake on the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Shortly after on Father's Day, CO Kilback attended at Mr. Olynyk's residence with a new ticket for the same offences. I find that Mr. Olynyk protested that the case had been dismissed and he should not be re-charged. I am also satisfied CO Kilback said if that was so, "then this is null and void." However, he insisted on leaving the ticket. CO Kilback also said that Mr. Olynyk did not know when he was getting a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Olynyk hired a lawyer to give him advice with regard to the disputed ticket. The lawyer sent a letter to Crown counsels' office indicating the circumstances and the earlier acquittal. Crown counsel issued a stay of proceedings and forwarded a letter to that effect to CO Kilback, making it clear to him that a person could not be re-charged in those circumstances. Mr. Olynyk paid his lawyer $548.01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part of his duties, CO Kilback prepared what is known as a RAP sheet. This appears to be dated June 3, 2004. This has Mr. Olynyk's name and date of birth on it, and indicates that on February 16, 2004, he had been charged with:</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unlawful possession of dead wildlife fine $230.00;</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 to report the killing of game for protection a warning;</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submit a species for compulsory inspection within 15 days, fine $230.00;</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warning - hunt big game without a hunting license and a species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Despite the acquittal, the RAP sheet was never changed. It is confusing in the sense that it is not clear whether in fact there was a conviction for such charges and payment of fines, although there was an acquittal. The RAP sheet is available to all conservation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Deer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September of 2005, Mr. Olynyk shot a deer. The deer ran into a ginseng field and died. Mr. Olynyk believed he and the deer were on Crown land when it was shot. In fact, they were both on property owned by Mr. Olynyk's neighbour. CO Kilback and another conservation officer, Mr. Butcher ("CO Butcher") attended. They attended because of a complaint from the neighbour. CO Kilback issued a ticket on September 19, 2005 to Mr. Olynyk. He was charged with hunting on cultivated land without permission. Mr. Olynyk disputed the ticket. The matter came before the Court on February 21, 2006 in Kamloops, British Columbia. Again, CO Kilback enlisted the assistance of an RCMP officer to conduct the prosecution. Photographs had been taken at the scene. CO Kilback had copies of these and provided copies to Mr. Olynyk, as well as to the RCMP officer prosecuting the case for presentation at court. During CO Kilback's evidence, the issue arose as to who took the photographs. CO Butcher was not there. The land owner was also not present to prove ownership of land or lack of permission. CO Kilback knew that CO Butcher would not be present. He had been told that the land owner would probably not be present because of problems on the ranch. The land owner told CO Kilback when asked if she would attend was that she would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 Kilback's evidence is that he believed he could rely on a statement he received from the land owner that she had not given permission to Mr. Olynyk to hunt on the property, and believed he could put the photographs in through his own evidence. Mr. Olynyk's position was that he did not know that the land owner's property went from the edge of the ginseng fields all the way to the river. The deer, according to Mr. Olynyk, had been off the cultivated portion of property in the rough. He was in the rough at the same time when he shot the deer. Mr. Olynyk, therefore, believed he was not on his neighbour's property. CO Kilback's evidence was that he accepted Mr. Olynyk's statement that he believed he was on Crown land. CO Kilback, however, knew from speaking to the neighbour that, even if the deer was shot where Mr. Olynyk said it was, it was on the neighbour's property and not on Crown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 Butcher, who had been a conservation officer for 15 years was called to give evidence. I accept his evidence. He confirmed that conservation officers had been prosecuting their own tickets since 2002, or trying to find somebody like an RCMP officer who could do the prosecution for them. He confirmed that conservation officers are given no training in the prosecution of tickets and have limited manpower to cover a large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attended at Mr. Olynyk's property when the shooting of the deer was investigated. He confirmed that originally Mr. Olynyk was asked if he knew that the neighbours did not allow hunting on their property. His response was it did not apply to him because he had been there for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 Butcher was shown the photographs which CO Kilback submitted at the trial for the offence of shooting the deer. He believed that he took them all. He had his investigation kit which included two cameras. He emailed copies of the photographs to CO Kilback on two occasions; September 30 and October 23. He confirmed that he took the photographs where the deer had been shot based on what Mr. Olynyk told him. He confirmed that after examinations for discovery of CO Kilback, he and CO Kilback had discussed how many cameras had been at the scene a number of times. He confirmed that he only took pictures with one camera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 Kilback has been a conservation officer for 10 years. In 2004, he had been working in that capacity for 4 years. In 2006, he received a promotion to detective sergeant. He said it would be normal for him to issue 30 to 40 tickets in a year and few were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His evidence conflicts with Mr. Olynyk's about what occurred when he was investigating the cougar incident. His evidence is that on the telephone Mr. Olynyk's responses seemed to be unusual and Mr. Olynyk had hung up on him. He said Mr. Olynyk was confrontational when he attended at his residence. Mr. Olynyk told him the cougar had killed his dog in the barn and that he had followed and shot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issued the ticket but failed to place the date of service on the ticket. Therefore, he issued the new ticket to correct that. He often issued a new ticket to correct an error in a ticket already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said that he considered the story about the dog and, therefore, gave Mr. Olynyk permission to keep the cougar skull. This may be some evidence of lack of malice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 Kilback confirmed that before June 16, 2004, he had only been involved in two trials. He had no training and no direction as to how to proceed. He did not recall any conversations outside of the courtroom with Mr. Olynyk, but could not dispute Mr. Olynyk's evidence. He did confirm that after the trial and the acquittal, he told Mr. Olynyk that the hide had been shipped to Prince George and he could attend at an auction to purchase it if 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confirmed that he was extremely embarrassed, nervous and confused at the trial when Mr. Olynyk pointed out the error in the date. He said it was his plan to correct the error, and told Mr. Olynyk he would be issuing a new ticket and made the same statement before the Justice of the Peace. His evidence is he believed at the time he was doing the right thing. He said there was no animosity towards Mr. Olynyk; it was just another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did confirm that he received the letter from Crown counsel staying the ticket, but he had never had any directions about double-jeopardy before. He denied that he was angry as a result of the acquittal, but merely embarrassed. In cross-examination, he was asked if in February of 2004 he was aware that people were not to be charged twice for the same offence and he said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other parts of his examination for discovery read in as part of the plaintiff's evidence, however, he indicated at Q.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learned </w:t>
      </w:r>
      <w:r>
        <w:rPr>
          <w:rFonts w:ascii="arial" w:eastAsia="arial" w:hAnsi="arial" w:cs="arial"/>
          <w:color w:val="000000"/>
          <w:sz w:val="20"/>
          <w:u w:val="single"/>
          <w:lang w:val="en-US" w:eastAsia="en-US" w:bidi="ar-SA"/>
        </w:rPr>
        <w:t>since</w:t>
      </w:r>
      <w:r>
        <w:rPr>
          <w:rFonts w:ascii="arial" w:eastAsia="arial" w:hAnsi="arial" w:cs="arial"/>
          <w:color w:val="000000"/>
          <w:sz w:val="20"/>
          <w:lang w:val="en-US" w:eastAsia="en-US" w:bidi="ar-SA"/>
        </w:rPr>
        <w:t xml:space="preserve"> Mr. Olynyk's case that once a plea is entered that you cannot reissue a charge.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Q. 363-364, he indicated he knew he was not supposed to charge someone twice for the same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CO Kilback is a very poor witness. The plaintiff argues that he is simply dishonest. I find that in general CO Kilback has a poor memory of events, and when asked a question for which he does not remember, or where he does not remember something clearly, he tries to reconstruct events based on what he thinks might have happened. It is also my opinion that he does not listen carefully to the questions or answer them carefully. This is an example where in one portion of his evidence, relied upon by the plaintiff; that is the examination for discovery, he says that he learned since Mr. Olynyk's case that you cannot charge someone twice, and yet in cross-examination he answers "yes" to the question whether in February 2004 he was aware he was not to charge someone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in the examination for discovery are Q. 363 and 364, which are not contradictory to Q. 52, because the question was:</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Now</w:t>
      </w:r>
      <w:r>
        <w:rPr>
          <w:rFonts w:ascii="arial" w:eastAsia="arial" w:hAnsi="arial" w:cs="arial"/>
          <w:color w:val="000000"/>
          <w:sz w:val="20"/>
          <w:lang w:val="en-US" w:eastAsia="en-US" w:bidi="ar-SA"/>
        </w:rPr>
        <w:t xml:space="preserve"> do you know that you are not supposed to charge people twice for the same offence? [my emphasis]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Charge people twice for the same offence?</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know that you're not supposed to do that,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relation to the charges about shooting the deer, CO Kilback's evidence was that this was just another file. He did attend at Mr. Olynyk's residence and seized exhibits for the purpose of prosecution. He also seized the deer meat which had been taken to a butcher for processing. There was a practise in his area to allow seized meat which may be perishable to be given to needy people in the area. This was significant to Mr. Olynyk because he hunts for food not trophies.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 Kilback was asked about the photographs which were submitted at the trial relating to the deer, and his evidence in-chief was he did not know for sure if he took the photographs or not. He also said that based on what Mr. Olynyk told him he believed that the shot that killed the deer was an unsafe shot because it was in close proximity to the ginseng farm. He issued a ticket for hunting on cultivated land, but no ticket for unsafe use of a firearm because he did not think that was warranted. This may be some evidence of lack of malice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began preparing for the trial relating to the deer incident on February 21, 2006. He said he was nervous and embarrassed about the cougar incident trial. He knew that the land owner may not appear, and he knew that CO Butcher would not be attending. He said it was his intention to refer to the photographs and the statements of the land owner. He said that he became nervous during the trial when the Justice of the Peace held that he could not rely on statements from somebody else because they were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Transcripts of the deer offence trial were referred to in the trial before me. He was asked in the offence trial who took the photographs and he said that he did. His answer in the trial before me was that he was thinking he had to explain each photograph, and that it did not occur to him that he was in some of the photographs and, therefore, could not have taken them. He was stressed and embarrassed because the witnesses were not there. He said that he had a lot of respect for the Justice of the Peace. He was confused and embarrassed when told that the land owner's statement was not admissible and he had made another error. He said things unravelled quickly. He believed he took the photographs and he was searching for answers in his mind. He thought there might have been a second camera, but was not sure if photographs had been taken that did not turn out. He said that he could not focus. He was surprised by a reference to CO Butcher having taken the photographs and thought that perhaps CO Butcher had been mistaken. He was trying to explain.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was adamant that he did not intentionally alter the email or any of the photographs, but he could not explain why there was a difference between the exhibits that he provided to the RCMP officer for submission to court and the ones that had been provided to Mr. Olynyk by way of disclosure. When the discrepancy became apparent, he was anxious and embarrassed that he might make a fool of himself in front of the RCMP officer and the Justice of the 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During the trial of the deer incident, CO Kilback confirmed he made two copies of the photographs; one he had given to Mr. Olynyk and the other that was being presented in court. CO Kilback confirmed that he took the photographs on September 13, 2005, and that they actually depicted what he saw. He then went through the photographs one-by-one, indicating what was shown in the photographs. He was asked about photographs of "No Hunting" signs and confirmed he had no photographs, but said at the trial before the Justice of the Peace, "We took photos actually, but we used the wrong film; 1600 ASA. They were over-exposed. They didn't turn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During the cross-examination at the trial before the Justice of the Peace, Mr. Olynyk pointed out that on the document he had the cover page said that all the pictures were taken by Bob Butcher. CO Kilback volunteered that CO Butcher downloaded them onto his computer, but that he, CO Kilback, had taken them. CO Kilback said that CO Butcher had made a mistake on the email. It immediately became apparent there was a discrepancy between the document that had been presented as an exhibit and that given to Mr. Olynyk. The exhibit did not have the words "All pictures taken by Bob Butcher". CO Kilback could not explain the discrepancy. He said that he had printed them off the same page. CO Kilback still stated that he took the pictures, that he has a Sony camera with a zoom, and he used that camera to take the photographs. He said CO Butcher had a 35 mm camera with 1600 ASA film, but none of those pictures turned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conflicts with CO Butcher's evidence that he took the pictures with his digital camera. As I said earlier, I accept CO Butcher's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 Kilback was adamant that when giving evidence before the Justice of the Peace he could not explain what had happened, but there was no attempt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Olynyk, through his counsel, suggests that in fact CO Kilback intentionally altered the emails to hide the fact that CO Butcher had taken the photographs because he knew CO Butcher would not be present for the trial. Mr. Olynyk also argues that CO Kilback intentionally misled the Justice of the Peace in his evidence before her, and that his explanations about his confusion before me are simply not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indicates that CO Butcher initially emailed the photographs to CO Kilback on September 23, 2005 at 4:30 p.m. He re-sent them on September 30, 2005 at 1:22 p.m. In the first email they appear to be attachments. In the second email they appear to follow a list indicating what each photograph was. CO Kilback printed the emails and provided them to Mr. Olynyk. On the document he provided to Mr. Olynyk, the layout is different than exhibit 7, which were copies of the emails from CO Butcher. The document provided to Mr. Olynyk does not show the photographs as attachments, but shows them as little icons with the references below them. In addition, on the original document that shows both emails, appear the words "I already did as you can see below. Did you lose them? Here they are again." On the document provided to Mr. Olynyk, all of the letters appearing before ELOW. "Did you lose them? Here they are again" seemed to have disappeared. Some of those letters appear in between the icons, but not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copy presented at the trial of the deer incident was printed by CO Kilback from his computer. It shows that it was an email sent from CO Butcher on Friday, September 30, 2005 at 1:22 p.m. Below those words appear icons again, rather than a list of attachments or even the description of the photographs which appeared on the original email. The description is as follows: "Olynyk 2005. 005.jpg." However, those words do appear below individual icons rather than in the way in which they were shown originally. Also, any reference to "I already did. Did you lose them? Here they are again" is not there, and the words "All photos taken September" are missing. Those words were followed by the words "13th 2005" by CO Butcher. However, again I note that several of the letters from the missing phrases appear dispersed amongst the icons. The actual description of what each photograph represents is present, but in a slightly different format than that shown on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 Kilback could not explain the discrepancy. His evidence was that he was not trying to deceive anybody, that he did not alter the documents in any way, and that he simply printed them from his computer. He originally printed the documents that he provided to Mr. Olynyk for disclosure, and then subsequently printed them again for preparation and presentation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Plaintiff's counsel argues that this is evidence of a deliberate attempt to deceive by amending the documents. Defence counsel argues that this is merely evidence of some form of a glitch in the computer printers. I find that this is certainly evidence of sloppy preparation and incompetence of CO Kilback. However, I am not satisfied that it is evidence of an intention to deceive, and I do not conclude that he intentionally altered the documents. It is clearly evidence of carelessness and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are a number of problems with CO Kilback's evidence about the photographs, both in contrast to what he said before the Justice of the Peace, at examinations for discovery and in the present trial. During his examination for discovery, he did not recall which photographs were presented in court. He said that he used CO Butcher's camera, that he took some of the photographs and recognized the photographs given in court. There was no indication in any of his notes that he took any photographs. He also agreed that his evidence before the Justice of the Peace was "false," and by that I take it he meant incorrect, although the word "false" was used by counsel, because the Justice of the Peace referred to all 15 photographs and he is obviously in some of them. His explanation was that he was nervous and confused, and he believed he took all of the photographs, but he did not. He could not say for certain he did not take some of the photographs. When he should answer that he does not know, he instead tries to figure out the answer. He speculates about what the answer might be. Mr. Olynyk argues this is evidence of intentionally misleading the Court in order to obtain a conviction when he knows he could not otherwise obtain one. The defence argues that he was simply doing his best. The corollary to that is his best is grossly incompetent.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Both counsel submit that although claims for malicious prosecution and misfeasance in public office are rare, the legal principles are straightforward. The parties agree that the elements of malicious prosecution are as follows:</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responsible for the initiation and continuation of the proceedings against the plaintiff;</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were terminated in favour of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instituting the proceedings, the defendant acted without reasonable and probable cause; and</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 instituting and continuing the proceedings, did so with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first two elements are not in issue in this case. They have been proven. Mr. Olynyk has been acquitted both with regard to the cougar incident and the deer incident. He was acquitted on the cougar incident because of an error regarding the date of the offence on the ticket. He was acquitted on the deer incident on the basis that the Crown could not prove that the land owner had not given him permission to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an issue as to whether the plaintiff has proven the third element, the lack of reasonable and probable cause, and the fourth element, malice or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REASONABLE AND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parties agree on the definition of reasonable and probable cause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honest belief in the guilt of the accused based upon a full conviction founded on reasonable grounds of the existence of a state of circumstances, which, assuming them to be true, would reasonably lead an ordinary prudent and cautious man, placed in the position of the accuser, to the conclusion that the person charged was probably guilty of the crime imputed [</w:t>
      </w:r>
      <w:r>
        <w:rPr>
          <w:rFonts w:ascii="arial" w:eastAsia="arial" w:hAnsi="arial" w:cs="arial"/>
          <w:i/>
          <w:color w:val="000000"/>
          <w:sz w:val="20"/>
          <w:lang w:val="en-US" w:eastAsia="en-US" w:bidi="ar-SA"/>
        </w:rPr>
        <w:t>Hicks v. Faulkner QBD,</w:t>
      </w:r>
      <w:r>
        <w:rPr>
          <w:rFonts w:ascii="arial" w:eastAsia="arial" w:hAnsi="arial" w:cs="arial"/>
          <w:color w:val="000000"/>
          <w:sz w:val="20"/>
          <w:lang w:val="en-US" w:eastAsia="en-US" w:bidi="ar-SA"/>
        </w:rPr>
        <w:t xml:space="preserve"> affirmed (1882) 46 LT 130 (C.A.), adopted by the Supreme Court of Canada in </w:t>
      </w:r>
      <w:r>
        <w:rPr>
          <w:rFonts w:ascii="arial" w:eastAsia="arial" w:hAnsi="arial" w:cs="arial"/>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[1989] S.C.J. No. 86</w:t>
        </w:r>
      </w:hyperlink>
      <w:r>
        <w:rPr>
          <w:rFonts w:ascii="arial" w:eastAsia="arial" w:hAnsi="arial" w:cs="arial"/>
          <w:color w:val="000000"/>
          <w:sz w:val="20"/>
          <w:lang w:val="en-US" w:eastAsia="en-US" w:bidi="ar-SA"/>
        </w:rPr>
        <w:t xml:space="preserve"> and by the B.C. Supreme Court in </w:t>
      </w:r>
      <w:r>
        <w:rPr>
          <w:rFonts w:ascii="arial" w:eastAsia="arial" w:hAnsi="arial" w:cs="arial"/>
          <w:i/>
          <w:color w:val="000000"/>
          <w:sz w:val="20"/>
          <w:lang w:val="en-US" w:eastAsia="en-US" w:bidi="ar-SA"/>
        </w:rPr>
        <w:t>Neff v. Patry</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2008 BCSC 163</w:t>
        </w:r>
      </w:hyperlink>
      <w:r>
        <w:rPr>
          <w:rFonts w:ascii="arial" w:eastAsia="arial" w:hAnsi="arial" w:cs="arial"/>
          <w:color w:val="000000"/>
          <w:sz w:val="20"/>
          <w:lang w:val="en-US" w:eastAsia="en-US" w:bidi="ar-SA"/>
        </w:rPr>
        <w:t xml:space="preserve"> at para. 128, and more recently by the Supreme Court of Canada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Reasonable and probable grounds have a subjective and objective element. Actual belief in the guilt of the accused, and that belief must be reasonable in the circumstances of the case. The question of whether there was reasonable and probable grounds has been held to be a question of law for a judge, and not a question of fact for the jury to decide [</w:t>
      </w:r>
      <w:r>
        <w:rPr>
          <w:rFonts w:ascii="arial" w:eastAsia="arial" w:hAnsi="arial" w:cs="arial"/>
          <w:i/>
          <w:color w:val="000000"/>
          <w:sz w:val="20"/>
          <w:lang w:val="en-US" w:eastAsia="en-US" w:bidi="ar-SA"/>
        </w:rPr>
        <w:t>Griffin v. City of Sommerside et al</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2008 PESCAD 14</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(S.C.C.), pp. 10-11, paras. 16, 21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If there is reasonable and probable grounds the tort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fourth element of malice has a wider meaning than spite or ill will. It is equivalent to an improper purpose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paras. 46-74]. The Supreme Court of Canada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at para. 45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required element of malice is for all intents, the equivalent of "improper purpose". It has according to Fleming, a "wider meaning than spite, ill-will or a spirit of vengeance, and includes any other improper purpose, such as to gain a private collateral advantage" (Fleming, op. cit., at p. 609). To succeed in an action for malicious prosecution against the Attorney General or Crown Attorney, the plaintiff would have to prove both the absence of reasonable and probable cause in commencing the prosecution, and malice in the form of a deliberate and improper use of the office of the Attorney General or Crown Attorney, a use inconsistent with the status of "minister of justice". [page194] In my view this burden on the plaintiff amounts to a requirement that the Attorney General or Crown Attorney perpetrated a fraud on the process of criminal justice and in doing so has perverted or abused his office and the process of criminal justice. In fact, in some cases this would seem to amount to criminal conduct. (See for example breach of trust, s. 122, conspiracy re: false prosecution s. 465(1)(b), obstructing justice s. 139(2) and (3) of the Criminal Code, R.S.C., 1985, c. C-46.)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Malice cannot be inferred solely from a lack of reasonable and probable grounds. The Supreme Court of Canada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stated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and some of the interveners in the present appeal urge that the test for malicious prosecution be amended such that malice under the fourth element may be inferred solely from a finding of lack of reasonable and probable grounds under the third element. They argue that to require independent evidence of malice presents too high a barrier for any wrongly prosecuted person to obtain a remedy against a Crown prosecutor. In my view, these arguments are ill-conceived and do not account for the careful balancing established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between the right of individual citizens to be free from groundless criminal prosecutions and the public interest in the effective and [page367] uninhibited prosecution of criminal wrongdoing: P. H. Osborne,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(3rd ed. 2007), at p. 245. As this Court made plain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the "inherent difficulty" in proving a case of malicious prosecution was an intentional choice by the Court, designed to preserve this balance (p.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agrees that the burden is on him to prove malice, which is the equivalent of improper purpose. Citing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the plaintiff argues that malice can be proven by showing the circumstances were such that the prosecution can be accounted for by imputing some wrong and indirect motive to the prosecutor. Proof of a particular fact may supply evidence of malice, such as lack of an honest belief in the guilt of the accused. Malice must be proved by the plaintiff, and this can be done by showing what the motive was, that it was improper, and by showing that the circumstances of the prosecution can only be accounted for by implying some wrong or indirect motive to the prosecutor, although it may be impossible to say what it is. Again, citing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the plaintiff argues that malice can be shown by conduct at the time the proceedings were instituted. The plaintiff argues that malice may be inferred from circumstances such as evidence of lack of reasonable and probable cause, or the defendants' bad faith, or the absence of an honest and sincere belief by the defendants that the prosecution of the plaintiff or its continuation as justified under the existing facts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makes it clear that malice cannot be inferred solely from a finding of lack of reasonable and probable grounds under the third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argues that malice may be inferred if it is found that the defendants acted with reckless indifference to the evidence of the plaintiff's innocence. Again, relying on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at paras. 49-51.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 argues that this inconsistent with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The defendant argues that malice cannot be inferred and must be proven by the plaintiff. Justice Charron at paras. 80-81 of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 The absence of a subjective belief in sufficient grounds, while a relevant factor, does not equate with malice. ... However, even if the plaintiff should succeed in proving that the prosecutor did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have a subjective belief in the existence of reasonable and probable cause, this does not suffice to prove malice, as the prosecutor's failure to fulfill his or her proper role may be the result of inexperience, incompetence,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none of which is actionable: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 By requiring proof of an improper purpose, the malice element of the tort of malicious prosecution ensures that liability will not be imposed in cases where a prosecutor proceeds, absent reasonable and probable grounds, by reason of incompetence, inexperience, poor judgment, lack of professionalism, laziness, recklessness, honest mistake,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Proulx v. Quebec (Attorney General)</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[2001] 3 S.C.R. 9</w:t>
        </w:r>
      </w:hyperlink>
      <w:r>
        <w:rPr>
          <w:rFonts w:ascii="arial" w:eastAsia="arial" w:hAnsi="arial" w:cs="arial"/>
          <w:color w:val="000000"/>
          <w:sz w:val="20"/>
          <w:lang w:val="en-US" w:eastAsia="en-US" w:bidi="ar-SA"/>
        </w:rPr>
        <w:t xml:space="preserve"> at para. 35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suit for malicious prosecution must be based on more than recklessness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it requires evidence that reveals a wilful and intentional effort on the Crown's part to abuse or distort its proper role within the criminal justice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accept that the defendant is correct and that malice cannot be inferred simply from a finding that the defendant acted with reckless indifference to the evidence of the plaintiff's innocence. Nor can malice be inferred solely from a lack of reasonable and probable grounds. If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stands for that proposition, it is inconsistent with the Supreme Court of Canada's decision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contains a review and clarification of the law of malicious prosecution by the Supreme Court of Canada. The Court states in para. 4 that it has been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provide further guidance on the absence of reasonable and probable cause and malice requirements, in light of the unique role played by Crown prosecutors in our modern system of public prosecutions.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refers to the stringent threshold for Crown liability and the liability of the Crown attorneys. Although the Crown attorneys may be liable in private law, that does not mean a well-established public law of principles relating to prosecutorial independence and prosecutorial discretion, can be ignored in a civil action for malicious prosecution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decision to initiate or continue criminal prosecutions are one of the core elements of prosecutorial discretion [para. 6]. Those decisions are protected by the constitutional entrenched principles of prosecutorial independence, and generally immune from judicial review, but subject to the strict application of the doctrine of the abuse of process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strict standard established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malicious prosecution will only be made out where there is proof that the prosecutor's conduct was fuelled by "an improper purpose or motive, a motive that involves an abuse or perversion of the system of criminal justice for ends it was not designed to serve"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at p. 199). In other words, it is only when a Crown prosecutor </w:t>
      </w:r>
      <w:r>
        <w:rPr>
          <w:rFonts w:ascii="arial" w:eastAsia="arial" w:hAnsi="arial" w:cs="arial"/>
          <w:i/>
          <w:color w:val="000000"/>
          <w:sz w:val="20"/>
          <w:lang w:val="en-US" w:eastAsia="en-US" w:bidi="ar-SA"/>
        </w:rPr>
        <w:t>steps out of his or her role</w:t>
      </w:r>
      <w:r>
        <w:rPr>
          <w:rFonts w:ascii="arial" w:eastAsia="arial" w:hAnsi="arial" w:cs="arial"/>
          <w:color w:val="000000"/>
          <w:sz w:val="20"/>
          <w:lang w:val="en-US" w:eastAsia="en-US" w:bidi="ar-SA"/>
        </w:rPr>
        <w:t xml:space="preserve"> as "minister of justice" that immunity is no longer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para. 8 of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high threshold for Crown liability was reiterated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where the Court stressed that malice in the form of improper purpose is the key to proving malicious prosecution. In the context of a case against a Crown prosecutor, malice does not include recklessness,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poor judgment. It is only where the conduct of the prosecutor constitutes an "abuse of prosecutorial power", or the perpetuation of a "fraud on the process of criminal justice" that malice can be said to exist (paras. 44-45). Having regard to the defendant prosecutor's mixed motives, the Court was satisfied that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was one of those "highly exceptional" cases in which Crown immunity for prosecutorial misconduct should be lifted, and the defendant found liable for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the analysis, including the development of the tort of malicious prosecution, is discussed by the Court at paras. 42-90.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Malicious prosecution is an intentional tort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At para. 43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policy reasons underlying the historical immunity enjoyed by Crown prosecutors "justified an extremely high [page361] threshold to succeed in an action for malicious prosecution" (para.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At para. 44 of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elements of the four-part test for malicious prosecution are identical no matter the parties, the contours of the tort in an action against the Attorney General or his agents must be informed by the core constitutional principles governing that office. These principles animated this Court's decision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to adopt a very high threshold for the tort of malicious prosecution in an action against a public prosecutor, and, accordingly, it is useful to recall them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Court then considered Crown independence and prosecutorial independence in paras. 45-52. In para. 45, the Court cited </w:t>
      </w:r>
      <w:r>
        <w:rPr>
          <w:rFonts w:ascii="arial" w:eastAsia="arial" w:hAnsi="arial" w:cs="arial"/>
          <w:i/>
          <w:color w:val="000000"/>
          <w:sz w:val="20"/>
          <w:lang w:val="en-US" w:eastAsia="en-US" w:bidi="ar-SA"/>
        </w:rPr>
        <w:t>Krieger v. Law Society of Alberta</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2002 SCC 65</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[2002] 3 S.C.R. 372</w:t>
        </w:r>
      </w:hyperlink>
      <w:r>
        <w:rPr>
          <w:rFonts w:ascii="arial" w:eastAsia="arial" w:hAnsi="arial" w:cs="arial"/>
          <w:color w:val="000000"/>
          <w:sz w:val="20"/>
          <w:lang w:val="en-US" w:eastAsia="en-US" w:bidi="ar-SA"/>
        </w:rPr>
        <w:t xml:space="preserve"> at paras. 46-47: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Prosecutorial discretion" is a term of art. It does not simply refer to any discretionary decision made by a Crown prosecutor. Prosecutorial discretion refers to the use of those powers that constitute the core of the Attorney General's office and which are protected from the influence of improper political and other vitiating factors by the principle of independence.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Without being exhaustive, we believe the core elements of prosecutorial discretion encompass the following: (a) </w:t>
      </w:r>
      <w:r>
        <w:rPr>
          <w:rFonts w:ascii="arial" w:eastAsia="arial" w:hAnsi="arial" w:cs="arial"/>
          <w:color w:val="000000"/>
          <w:sz w:val="20"/>
          <w:u w:val="single"/>
          <w:lang w:val="en-US" w:eastAsia="en-US" w:bidi="ar-SA"/>
        </w:rPr>
        <w:t>the discretion whether to bring the prosecution of a charge laid by police</w:t>
      </w:r>
      <w:r>
        <w:rPr>
          <w:rFonts w:ascii="arial" w:eastAsia="arial" w:hAnsi="arial" w:cs="arial"/>
          <w:color w:val="000000"/>
          <w:sz w:val="20"/>
          <w:lang w:val="en-US" w:eastAsia="en-US" w:bidi="ar-SA"/>
        </w:rPr>
        <w:t xml:space="preserve">; (b) </w:t>
      </w:r>
      <w:r>
        <w:rPr>
          <w:rFonts w:ascii="arial" w:eastAsia="arial" w:hAnsi="arial" w:cs="arial"/>
          <w:color w:val="000000"/>
          <w:sz w:val="20"/>
          <w:u w:val="single"/>
          <w:lang w:val="en-US" w:eastAsia="en-US" w:bidi="ar-SA"/>
        </w:rPr>
        <w:t>the discretion to enter a stay of proceedings in either a private or public prosecution</w:t>
      </w:r>
      <w:r>
        <w:rPr>
          <w:rFonts w:ascii="arial" w:eastAsia="arial" w:hAnsi="arial" w:cs="arial"/>
          <w:color w:val="000000"/>
          <w:sz w:val="20"/>
          <w:lang w:val="en-US" w:eastAsia="en-US" w:bidi="ar-SA"/>
        </w:rPr>
        <w:t xml:space="preserve">, as codified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R.S.C. 1985, c. C-46, ss. 579</w:t>
        </w:r>
      </w:hyperlink>
      <w:r>
        <w:rPr>
          <w:rFonts w:ascii="arial" w:eastAsia="arial" w:hAnsi="arial" w:cs="arial"/>
          <w:color w:val="000000"/>
          <w:sz w:val="20"/>
          <w:lang w:val="en-US" w:eastAsia="en-US" w:bidi="ar-SA"/>
        </w:rPr>
        <w:t xml:space="preserve"> and 579.1; (c) the discretion to accept a guilty plea to a lesser charge; (d) the discretion to withdraw from criminal proceedings altogether: </w:t>
      </w:r>
      <w:r>
        <w:rPr>
          <w:rFonts w:ascii="arial" w:eastAsia="arial" w:hAnsi="arial" w:cs="arial"/>
          <w:i/>
          <w:color w:val="000000"/>
          <w:sz w:val="20"/>
          <w:lang w:val="en-US" w:eastAsia="en-US" w:bidi="ar-SA"/>
        </w:rPr>
        <w:t>R. v. Osborne</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(1975), 25 C.C.C. (2d) 405</w:t>
        </w:r>
      </w:hyperlink>
      <w:r>
        <w:rPr>
          <w:rFonts w:ascii="arial" w:eastAsia="arial" w:hAnsi="arial" w:cs="arial"/>
          <w:color w:val="000000"/>
          <w:sz w:val="20"/>
          <w:lang w:val="en-US" w:eastAsia="en-US" w:bidi="ar-SA"/>
        </w:rPr>
        <w:t xml:space="preserve"> (N.B.C.A.); and (e) the discretion to take control of a private prosecution: </w:t>
      </w:r>
      <w:r>
        <w:rPr>
          <w:rFonts w:ascii="arial" w:eastAsia="arial" w:hAnsi="arial" w:cs="arial"/>
          <w:i/>
          <w:color w:val="000000"/>
          <w:sz w:val="20"/>
          <w:lang w:val="en-US" w:eastAsia="en-US" w:bidi="ar-SA"/>
        </w:rPr>
        <w:t>R. v. Osiowy</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(1989), 50 C.C.C. (3d) 189</w:t>
        </w:r>
      </w:hyperlink>
      <w:r>
        <w:rPr>
          <w:rFonts w:ascii="arial" w:eastAsia="arial" w:hAnsi="arial" w:cs="arial"/>
          <w:color w:val="000000"/>
          <w:sz w:val="20"/>
          <w:lang w:val="en-US" w:eastAsia="en-US" w:bidi="ar-SA"/>
        </w:rPr>
        <w:t xml:space="preserve"> (Sask. C.A.). While there are other discretionary decisions, these are the core of the delegated sovereign authority peculiar to the office of the Attorney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Significantly, what is common to the various elements of prosecutorial discretion is that they involve the ultimate decisions as to whether a prosecution should be brought, continued or ceased, and what the prosecution ought to be for.</w:t>
      </w:r>
      <w:r>
        <w:rPr>
          <w:rFonts w:ascii="arial" w:eastAsia="arial" w:hAnsi="arial" w:cs="arial"/>
          <w:color w:val="000000"/>
          <w:sz w:val="20"/>
          <w:lang w:val="en-US" w:eastAsia="en-US" w:bidi="ar-SA"/>
        </w:rPr>
        <w:t xml:space="preserve"> Put differently, </w:t>
      </w:r>
      <w:r>
        <w:rPr>
          <w:rFonts w:ascii="arial" w:eastAsia="arial" w:hAnsi="arial" w:cs="arial"/>
          <w:color w:val="000000"/>
          <w:sz w:val="20"/>
          <w:u w:val="single"/>
          <w:lang w:val="en-US" w:eastAsia="en-US" w:bidi="ar-SA"/>
        </w:rPr>
        <w:t>prosecutorial discretion refers to decisions regarding the nature and extent of the prosecution and the Attorney General's participation in it</w:t>
      </w:r>
      <w:r>
        <w:rPr>
          <w:rFonts w:ascii="arial" w:eastAsia="arial" w:hAnsi="arial" w:cs="arial"/>
          <w:color w:val="000000"/>
          <w:sz w:val="20"/>
          <w:lang w:val="en-US" w:eastAsia="en-US" w:bidi="ar-SA"/>
        </w:rPr>
        <w:t>. Decisions that do not go to the nature and extent of the prosecution, i.e., the decisions that govern a Crown prosecutor's tactics or conduct before the court, do not fall within the scope of prosecutorial discretion. Rather, such decisions are governed by the inherent jurisdiction of the court to control its own processes once the Attorney General has elected to enter into that forum.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Those quotes make it clear that decisions relating to the initiation and continuation of a prosecution, or at the core of prosecutorial discretion, are not subject to court review. However, decisions that govern tactics or conduct before the court are not within the scope of prosecutorial discretion but are governed by the inherent jurisdiction of the court to control its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Court cites the importance and public interest of "enabling prosecutors to make discretionary decisions in fulfillment of their professional obligations without fear of judicial or political interference, thus fulfilling their quasi judicial role as "Ministers of Justice": </w:t>
      </w:r>
      <w:r>
        <w:rPr>
          <w:rFonts w:ascii="arial" w:eastAsia="arial" w:hAnsi="arial" w:cs="arial"/>
          <w:i/>
          <w:color w:val="000000"/>
          <w:sz w:val="20"/>
          <w:lang w:val="en-US" w:eastAsia="en-US" w:bidi="ar-SA"/>
        </w:rPr>
        <w:t>R. v. Boucher</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[1955] S.C.R. 16</w:t>
        </w:r>
      </w:hyperlink>
      <w:r>
        <w:rPr>
          <w:rFonts w:ascii="arial" w:eastAsia="arial" w:hAnsi="arial" w:cs="arial"/>
          <w:color w:val="000000"/>
          <w:sz w:val="20"/>
          <w:lang w:val="en-US" w:eastAsia="en-US" w:bidi="ar-SA"/>
        </w:rPr>
        <w:t xml:space="preserve"> at p. 25 per Locke J.,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Prosecutorial immunity is not absolute and in citing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a prosecutor acts maliciously, in fraud of his or her professional duties, that prosecutor steps outside his or her proper role as "minister of justice" and as a result, immunity from civil liability is no longer justified. ... Like the test for abuse of process, however, there is a stringent standard that must be met before a finding of liability will be made, in order to ensure that courts do not simply engage in a second-guessing of decisions made pursuant to Crown's prosecutorial discretion [para. 49,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Court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abuse of process and malicious prosecution have been narrowly crafted, employing a stringent test to ensure the liability will attach in only the most exceptional circumstances, so that Crown discretion remains intact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dealing with the elements of malicious prosecution,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the initiation of criminal proceedings in the absence of reasonable and probable grounds does not itself suffice to ground a plaintiff's case for malicious prosecution, regardless of whether the defendant is a private or public actor. Malicious prosecution, as the label implies, is an intentional tort that requires proof that the defendant's conduct in setting the criminal process in motion was fuelled by malice. The malice requirement is the key to striking the balance that the tort was designed to maintain: between societies interest in the effective administration of criminal justice and the need to compensate individuals who have been wrongly prosecuted for a primary purpose other than that of carrying the law into effect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Court discussed the third element of the tort of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reasonable and probable cause, between paras. 58-77. There is a subjective and objective component to reasonable and probable cause; that is, an actual belief on the part of the prosecutor and that the belief is reasonable in the circumstances [para. 58]. After citing </w:t>
      </w:r>
      <w:r>
        <w:rPr>
          <w:rFonts w:ascii="arial" w:eastAsia="arial" w:hAnsi="arial" w:cs="arial"/>
          <w:i/>
          <w:color w:val="000000"/>
          <w:sz w:val="20"/>
          <w:lang w:val="en-US" w:eastAsia="en-US" w:bidi="ar-SA"/>
        </w:rPr>
        <w:t>Hicks</w:t>
      </w:r>
      <w:r>
        <w:rPr>
          <w:rFonts w:ascii="arial" w:eastAsia="arial" w:hAnsi="arial" w:cs="arial"/>
          <w:color w:val="000000"/>
          <w:sz w:val="20"/>
          <w:lang w:val="en-US" w:eastAsia="en-US" w:bidi="ar-SA"/>
        </w:rPr>
        <w:t xml:space="preserve">, the Court said that the standard of belief is commonly referred to as probable guilt [para. 60]. Citing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Crown must have sufficient evidence </w:t>
      </w:r>
      <w:r>
        <w:rPr>
          <w:rFonts w:ascii="arial" w:eastAsia="arial" w:hAnsi="arial" w:cs="arial"/>
          <w:color w:val="000000"/>
          <w:sz w:val="20"/>
          <w:u w:val="single"/>
          <w:lang w:val="en-US" w:eastAsia="en-US" w:bidi="ar-SA"/>
        </w:rPr>
        <w:t xml:space="preserve">to believe that guilt </w:t>
      </w:r>
      <w:r>
        <w:rPr>
          <w:rFonts w:ascii="arial" w:eastAsia="arial" w:hAnsi="arial" w:cs="arial"/>
          <w:i/>
          <w:color w:val="000000"/>
          <w:sz w:val="20"/>
          <w:u w:val="single"/>
          <w:lang w:val="en-US" w:eastAsia="en-US" w:bidi="ar-SA"/>
        </w:rPr>
        <w:t>could</w:t>
      </w:r>
      <w:r>
        <w:rPr>
          <w:rFonts w:ascii="arial" w:eastAsia="arial" w:hAnsi="arial" w:cs="arial"/>
          <w:color w:val="000000"/>
          <w:sz w:val="20"/>
          <w:u w:val="single"/>
          <w:lang w:val="en-US" w:eastAsia="en-US" w:bidi="ar-SA"/>
        </w:rPr>
        <w:t xml:space="preserve"> properly be proved beyond a reasonable doubt before reasonable and probable cause exists</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 As made plain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the reasonable and probable cause inquiry is not concerned with the prosecutor's general views as to the accused's guilt, but with his or her professional assessment of the legal strength of the case. Given the burden of proof in a criminal trial, belief and "probable" guilt, therefore, means that the prosecutor believes, based on the existing state of circumstances, that proof beyond a reasonable doubt could be made out in a court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 That reasonable and probable cause concerns a Crown prosecutor's professional, not personal, opinion on the merits of the case in question is an important aspect of the proper administration of justice.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 reasonable and probable cause requirement in the civil action for malicious prosecution is intended to weed out those cases where there was a basis for invoking the criminal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If the objective standard is met, lack of reasonable and probable grounds is not made out simply because the prosecutor may harbour doubts about the guilt of an accused. The prosecutor's role is an impartial and quasi-judicial role [paras. 66-67].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Court then dealt with whether or not an inquiry into the prosecutor's subjective state of belief properly belongs at the third stage of the test, where action is taken against a Crown attorney [para. 69]. The Court talked about the distinction between historical cases involving private litigants in a private prosecution and the role of Crown counsel. The Court points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public interest is engaged in a public prosecution and the Crown attorney is duty-bound to act solely in the public interest in making the decision whether to initiate or continue a prosecution.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decision to initiate or continue the prosecution may not entirely accord with the individual prosecutor's personal views about a case as Crown counsel must take care not to substitute his or her own views for that of the judge or the jury. Therefore, in the context of a public prosecution, the third element of the test necessarily turns on an objective assessment of the existence of sufficient cause. ... the presence or absence of the prosecutor's subjective belief in sufficient cause is nonetheless a relevant factor on the fourth element of the test, the inquiry into malice. [para. 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court concludes, on the basis of the circumstances known to the prosecutor at the relevant time, that reasonable and probable cause existed to commence or continue a criminal prosecution from an objective standpoint, the criminal process was properly employed, and the inquiry need go no further. See, e.g., </w:t>
      </w:r>
      <w:r>
        <w:rPr>
          <w:rFonts w:ascii="arial" w:eastAsia="arial" w:hAnsi="arial" w:cs="arial"/>
          <w:i/>
          <w:color w:val="000000"/>
          <w:sz w:val="20"/>
          <w:lang w:val="en-US" w:eastAsia="en-US" w:bidi="ar-SA"/>
        </w:rPr>
        <w:t>Al's Steak House &amp; Tavern Inc. v. Deloitte &amp; Touche</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(1999), 45 C.C.L.T. (2d) 98</w:t>
        </w:r>
      </w:hyperlink>
      <w:r>
        <w:rPr>
          <w:rFonts w:ascii="arial" w:eastAsia="arial" w:hAnsi="arial" w:cs="arial"/>
          <w:color w:val="000000"/>
          <w:sz w:val="20"/>
          <w:lang w:val="en-US" w:eastAsia="en-US" w:bidi="ar-SA"/>
        </w:rPr>
        <w:t xml:space="preserve"> (Ont. Ct. (Gen. Div.)), at paras. 11-13.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must be careful not to carry out the objective assessment simply with the benefit of hindsight [para.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only if the Court finds that there were no objective grounds for the prosecution that the Court considers malice. The Court dealt with the issue of malice in paras. 78-79: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malice element of the test for malicious prosecution considers a defendant prosecutor's [page377] mental state in respect of the prosecution at issue. Malice is a question of fact, requiring evidence that the prosecutor was impelled by an "improper purpose". [para.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prove malice, a plaintiff must, in accordance with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bring evidence that the defendant Crown was acting pursuant to an improper purpose inconsistent with the office of the Crown attorney. ... The prosecutor should invoke the criminal process only where he or she believes, based on the existing state of circumstances, that proof beyond a reasonable doubt could be made out in a court of law. It follows that, if the court concludes that the prosecutor initiated or continued the prosecution based on an </w:t>
      </w:r>
      <w:r>
        <w:rPr>
          <w:rFonts w:ascii="arial" w:eastAsia="arial" w:hAnsi="arial" w:cs="arial"/>
          <w:i/>
          <w:color w:val="000000"/>
          <w:sz w:val="20"/>
          <w:lang w:val="en-US" w:eastAsia="en-US" w:bidi="ar-SA"/>
        </w:rPr>
        <w:t>honest</w:t>
      </w:r>
      <w:r>
        <w:rPr>
          <w:rFonts w:ascii="arial" w:eastAsia="arial" w:hAnsi="arial" w:cs="arial"/>
          <w:color w:val="000000"/>
          <w:sz w:val="20"/>
          <w:lang w:val="en-US" w:eastAsia="en-US" w:bidi="ar-SA"/>
        </w:rPr>
        <w:t>, albeit mistaken, professional belief that reasonable and probable cause did in fact exist, he or she will have acted for the proper purpose of carrying the law into effect and the action must fail.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Court said at para. 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inverse proposition, however, is not true. The absence of a subjective belief in sufficient grounds, while a relevant factor, does not equate with malice. It will not always be possible for a plaintiff to adduce direct evidence of the prosecutor's lack of belief. As is often the case, a state of mind may be inferred from other facts. In [page378] appropriate circumstances, for example when the existence of objective grounds is woefully inadequate, the absence of a subjective belief in the existence of sufficient grounds may well be inferred. However, even if the plaintiff should succeed in proving that the prosecutor did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have a subjective belief in the existence of reasonable and probable cause, this does not suffice to prove malice, as the prosecutor's failure to fulfill his or her proper role may be the result of inexperience, incompetence,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none of which is actionable: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at p. 199;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at para. 35. Malice requires a plaintiff to prove that the prosecutor </w:t>
      </w:r>
      <w:r>
        <w:rPr>
          <w:rFonts w:ascii="arial" w:eastAsia="arial" w:hAnsi="arial" w:cs="arial"/>
          <w:i/>
          <w:color w:val="000000"/>
          <w:sz w:val="20"/>
          <w:lang w:val="en-US" w:eastAsia="en-US" w:bidi="ar-SA"/>
        </w:rPr>
        <w:t>wilfully</w:t>
      </w:r>
      <w:r>
        <w:rPr>
          <w:rFonts w:ascii="arial" w:eastAsia="arial" w:hAnsi="arial" w:cs="arial"/>
          <w:color w:val="000000"/>
          <w:sz w:val="20"/>
          <w:lang w:val="en-US" w:eastAsia="en-US" w:bidi="ar-SA"/>
        </w:rPr>
        <w:t xml:space="preserve"> perverted or abused the office of the Attorney General or the process of criminal justice. The third and fourth elements of the tort must not be conflated.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This quote makes it clear that absence of a subjective belief is not the same as malice. Failure of the prosecutor to fulfil his or her role as a result of inexperience, incompetence,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not negligible.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is an intentional tort. The prosecutor must have wilfully perverted or abused the office of the Attorney General or the process of the criminal justice. In other words, absence of subjective belief does not prove malice. It is merely one factor to consider. At para. 81,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discussed earlier, a demonstrable "improper purpose" is the key to maintaining the balance struck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between the need to ensure that the Attorney General and Crown prosecutors will not be hindered in the proper execution of their important public duties and the need to provide a remedy to individuals who have been wrongly and maliciously prosecuted. By requiring proof of an improper purpose, the malice element of the tort of malicious prosecution ensures that liability will not be imposed in cases where a prosecutor proceeds, absent reasonable and probable grounds, by reason of incompetence, inexperience, poor judgment, lack of professionalism, laziness, recklessness, honest mistake,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Lamer J. stated, at pp. 196-97: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should be noted that what is at issue here [in a suit for malicious prosecution] is not the exercise of a prosecutor's discretion within the proper sphere of prosecutorial activity as defined by his role as a "minister of justice". Rather, in cases of malicious prosecution we are dealing with </w:t>
      </w:r>
      <w:r>
        <w:rPr>
          <w:rFonts w:ascii="arial" w:eastAsia="arial" w:hAnsi="arial" w:cs="arial"/>
          <w:color w:val="000000"/>
          <w:sz w:val="20"/>
          <w:u w:val="single"/>
          <w:lang w:val="en-US" w:eastAsia="en-US" w:bidi="ar-SA"/>
        </w:rPr>
        <w:t>allegations of misuse and abuse of the criminal process and of the office of the Crown Attorney. We are not dealing with merely second-guessing a Crown Attorney's judgment in the prosecution of a case but rather with the deliberate and malicious use of the office for ends that are improper [page379] and inconsistent with the traditional prosecutorial function.</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Court referred to the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decision in which the Crown attorney appears to have been motivated to some extent by an attempt to assist defendants in a defamation action. This was a perversion of the powers of the office of the Crown and an abuse of the prosecutor's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para. 85, the Court said, in deciding whether there was an improper purpose, that the Court should consider the relevant evidence and decide on the balance of probabilities whether the prosecutor is motivated by an improper purpose. It is the totality of all of the circumstances that are to be looked 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simply means that a court shall review all evidence related to the prosecutor's state of mind, including any evidence of lack of belief in the existence of reasonable and probable cause, in deciding whether the prosecution was in fact fuelled by an improper purpose, as alleged. [para. 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the prosecutor's lack of subjective belief in reasonable and probable cause may assist in proving that the prosecution was driven by an improper purpose. However, for the reasons explained earlier, malice cannot simply be inferred from a finding of absence of belief in reasonable and probable cause alone, as the latter is equally consistent with prosecutorial conduct that is not [page381] actionable. Care must be taken not to transpose principles derived in the context of private prosecutions, where an inference of malice from absence of cause does not carry the same difficulties, to cases involving Crown defendants. I will explain.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discussing why the absence of reasonable and probable cause alone cannot support an inference of malice, the Court said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finding of absence of reasonable and probable grounds on the objective standard is entirely equivocal in terms of a Crown prosecutor's purpose, particularly given that reasonable prosecutors may differ on whether a certain body of evidence rises to the requisite threshold. Likewise, a conclusion that a prosecutor lacked a subjective belief in sufficient cause but proceeded anyways is equally consistent with non-actionable conduct as with an improper purpose. [page382] To permit an inference of malice from absence of reasonable and probable grounds alone would nullify the very purpose of the malice requirement in an action for malicious prosecution and risk subjecting Crown prosecutors to liability when they err within the boundaries of their proper role as "ministers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malice element of the test for malicious prosecution will be made out when a court is satisfied, on a balance of probabilities, that the defendant Crown prosecutor commenced or continued the impugned prosecution with a purpose inconsistent with his or her role as a "minister of justice". The plaintiff must demonstrate on the totality of the evidence that the prosecutor deliberately intended to subvert or abuse the office of the Attorney General or the process of criminal justice such that he or she exceeded the boundaries of the office of the Attorney General. While the absence of a subjective belief in reasonable and probable cause is relevant to the malice inquiry, it does not dispense with the requirement of proof of an improper purpose.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Malicious Prosecution Been Proven in Laying the Charge in the Cougar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issue is whether the plaintiff has proven a lack of reasonable and probable cause and, if so, whether the defendant was motivated by malice as defined in the caselaw. In laying the charge in this case, CO Kilback was acting as agent for the Attorney General. The conservation officers were charged with the duty of deciding what charges to lay and prosecute. They fulfilled the role of the Crown for charge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says that the defendant was guilty of malicious prosecution when he issued the new ticket after Mr. Olynyk was acquitted at trial. The plaintiff has proven that there were no reasonable and probable causes at that point. The facts with regard to Mr. Olynyk's conduct in the cougar incident had not changed, but there was no reasonable possibility of a conviction after the acquittal. An ordinary prudent and cautious man would not be able to conclude that Mr. Olynyk would probably be convicted. Mr. Olynyk was a lay person, but even he, without any training, had some idea of the issues of double jeopardy. He brought those to CO Kilback's attention, but CO Kilback chose ignore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says that he has proven malice and points to the fact that CO Kilback was not prepared to allow Mr. Olynyk to have the cougar hide despite the acquittal. He also points to the fact that CO Kilback was embarrassed and humiliated as a result of the acquittal due to his mistake, and particularly that CO Kilback said he issued the new ticket to correct his mistake. The plaintiff also points to the evidence that CO Kilback was rude, abrupt, or dismissive of Mr. Olynyk, and chose to serve the ticket on Father's Day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refusal to agree to the release of the cougar hide is not evidence of malice. The facts had not changed. Mr. Olynyk had still killed the cougar without the appropriate licence and had failed to have it inspected. His acquittal did not change that and there was no reason why the hide should be returned to him. CO Kilback was embarrassed and humiliated as a result of the dismissal, and I accept he believed Mr. Olynyk was trying to get away with something. However, issuing the second ticket to "correct my mistake" is only saying to correct my mistake in order to proceed with the prosecution so that Mr. Olynyk could be found guilty of an offence he actually committed. I find that CO Kilback should have been aware of double jeopardy and should have made inquiries when the issue was raised by Mr. Olynyk. I find that he was unskilled, uninformed, incompetent, and careless in believing he was entitled to issue a new ticket in those circumstances. However, as pointed out by the law that I have referred to, this does not amount to malice. The service of the new ticket on Father's Day is not evidence of malice. It was a day on which CO Kilback was working and he could expect to find Mr. Olynyk at home. There is no evidence that he knew Mr. Olynyk's parents would be there, and that he attended simply for the purposes of embarrassing Mr. Olynyk. CO Kilback may have been rude or dismissive of Mr. Olynyk, but that is evidence of lack of professionalism more than it is evidence of malice as required for the tort of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Defence counsel argues that it is illogical for CO Kilback to have issued the second ticket if he knew that it would simply be dismissed. CO Kilback was already embarrassed and humiliated, and it is unlikely he would risk repeating the same embarrassment by issuing a ticket he knew would simply result in another acquittal. I find that the plaintiff has proven that CO Kilback is poorly trained, careless, reckless, and incompetent, but has not proven malicious prosecution with regard to the cougar incident. The failure to correct or amend the RAP sheet does not prove malice. The evidence is unclear whether RAP sheets are ever amended or whether they simply provide information to conservation officers about contact individuals may have had with conservation officers. Certainly the information is incomplete and misleading as entered by CO Kilback. The evidence about CO Kilback's communications with his superiors regarding the return of the cougar hide and the implication that Mr. Olynyk was trying to get something he was not entitled to, or that Mr. Olynyk was not acquitted after a trial, is evidence of CO Kilback's mistaken belief about what actually occurred. This also reflects his lack of training and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Mr. Olynyk Proven Malicious Prosecution with regard to the Deer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Olynyk also argues that CO Kilback committed the tort of malicious prosecution when he elected to attempt to continue with the trial despite knowing that CO Butcher and the land owner would not be present as witnesses. I am not impressed with CO Kilback's evidence about the photographs. However, the photographs were not necessary in order to prosecute the case, despite the fact CO Kilback attempted to have them introduced as evidence. Even without the photographs, there were reasonable and probable grounds to believe that there was a reasonable probability of conviction on the oral evidence of CO Kilback without the pictures. CO Kilback had been told by the land owner initially that she would not attend the trial because she had other matters to deal with, but then was told that she would see about it. In other words, CO Kilback could not know until the day of the trial whether the witness would actually attend. CO Kilback may have believed that he could proceed by using her statement, although anyone with any experience or understanding of the legal process and the need for direct evidence would be aware that was not possible. CO Kilback learned that when he attempted to lead evidence of the statement and it was ruled to be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Olynyk argues that CO Kilback intentionally perjured himself when he gave false evidence about the photographs. This related to who took those photographs. As I have said earlier in this decision, I am not impressed with CO Kilback's evidence with regard to the photographs. However, I am not satisfied that he was acting out of malice so much as gross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argues there are no reasonable and probable grounds to proceed because CO Kilback believed Mr. Olynyk when he said that he honestly believed he was on Crown land. The plaintiff argues as well that, based on the evidence as to where the deer was shot, the land was not cultivated. To some extent this depends on which evidence is believed. On Mr. Olynyk's evidence the deer was approximately 20 feet or more from the lands which were in part cultivated a ginseng area. However, on CO Kilback's evidence it was just off of the worked portion of the property on a slight bank, and was not in the ginseng field itself. There may be some argument about whether being that close to the cultivated ginseng area was still on cultivated lands. It is certainly open to argument whether the offence of hunting on cultivated land without permission of the owner would apply if the hunting actually took place on a portion of that property immediately adjoining the actual cultivation. In other words, the roadways or rough area immediately adjoining the cultivated portion may be included, or the portion of land actually being cultivated may be included in the definition of cultivated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second portion of the argument deals with the mental element required; that is, that the accused must demonstrate reasonable care to ensure that they were not in breach of the regulation: (</w:t>
      </w:r>
      <w:r>
        <w:rPr>
          <w:rFonts w:ascii="arial" w:eastAsia="arial" w:hAnsi="arial" w:cs="arial"/>
          <w:i/>
          <w:color w:val="000000"/>
          <w:sz w:val="20"/>
          <w:lang w:val="en-US" w:eastAsia="en-US" w:bidi="ar-SA"/>
        </w:rPr>
        <w:t>Sault St. Marie (City))</w:t>
      </w:r>
      <w:r>
        <w:rPr>
          <w:rFonts w:ascii="arial" w:eastAsia="arial" w:hAnsi="arial" w:cs="arial"/>
          <w:color w:val="000000"/>
          <w:sz w:val="20"/>
          <w:lang w:val="en-US" w:eastAsia="en-US" w:bidi="ar-SA"/>
        </w:rPr>
        <w:t>. There is no evidence that CO Kilback understood that test. I find that he believed that on the facts a conviction was probable, although this belief may have been mistaken. Any mistake was simply as a result of incompetence or misinformation. This does not amount to malicious prosecution. I am not satisfied that he was prosecuting Mr. Olynyk for an improper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an allegation by CO Kilback that on September 25, 2005, while he was off the road, Mr. Olynyk stopped and warned him that there were people who did not like him and he had better watch himself. CO Kilback reported that to CO Butcher, who confirmed he had received such a report. The suggestion is that CO Kilback made this up in order to discredit Mr. Olynyk. Mr. Olynyk denies this ever occurred. It is a strange incident. If Mr. Olynyk is correct, this indicates some planning or scheming on CO Kilback's part well before the trial of the deer incident in February of 2006. This is also well before any suggestion of the civil action for malicious prosecution or misfeasance in public office. It would be surprising if, in fact, this occurred. I have nothing other than the evidence of the two witnesses and the fact that CO Kilback did report it to CO Butcher. In many ways I find Mr. Olynyk more credible than CO Kilback, but on this particular incident I am simply unable to conclude whether it did occur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also alleged that the fact that CO Kilback authorized the butcher to dispose of the deer meat is evidence of malice. The evidence is that the practice in the Lillooet area was that if game were taken illegally and it was perishable, that the conservation officers would allow it to be given to families in need in the area. There is a provision that allows this to be done with an order of the Minister. No such order was made that I was referred to. However, I am satisfied that this was consistent with the practice in the area and is not evidence of any malice towards Mr. Olynyk.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argument with regard to misfeasance in public office relates to the deer incident alone. The plaintiff's argument in reference to misfeasance in public office does not refer to the cougar incident. The misfeasance alleged is an intentional wrong-doing in his capacity as a conservation officer when CO Kilback attempted to continue with the prosecution knowing that two key witnesses would not be available. The misfeasance relates to preparation of the photographs and to his testimony during the trial relating to the photographs I have referred to earlier. It is argued that he knew that he had not taken the photographs, but in order to continue with the prosecution in an attempt to obtain a conviction, he gave false evidence about who actually took the photographs. Ultimately, Mr. Olynyk was acquitted, not because of the photographs or who had taken the photographs, but because CO Kilback was unable to prove that Mr. Olynyk did not have the permission of the land owners to hunt on their property. The issue of who may have taken the photographs was really collateral because there was no real issue about whether or not they represented the scene at the time the photographs were taken. There was some debate about where the deer was actually shot as shown in the photographs, but not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regarding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tort of misfeasance in public office has been considered by the Supreme Court of Canada in the case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[2003] S.C.J. No. 74</w:t>
        </w:r>
      </w:hyperlink>
      <w:r>
        <w:rPr>
          <w:rFonts w:ascii="arial" w:eastAsia="arial" w:hAnsi="arial" w:cs="arial"/>
          <w:color w:val="000000"/>
          <w:sz w:val="20"/>
          <w:lang w:val="en-US" w:eastAsia="en-US" w:bidi="ar-SA"/>
        </w:rPr>
        <w:t>. In summary, the Court said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summarize, I am of the opinion that the tort of misfeasance in a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Court also discussed the essential elements of the tort in paras. 22-23: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What then are the essential ingredients of the tort, at least insofar as it is necessary to determine the issues that arise on the pleadings in this case? 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[2000] 2 W.L.R. 1220, the House of Lords held that the tort of misfeasance in a public office can arise in one of two ways, what I shall call Category A and Category B. Category A involves conduct that is specifically intended to injure a person or class of persons. Category B involves a public officer who acts with knowledge both that she or he has no power to do the act complained of and that the act is likely to injure the plaintiff. This understanding of the tort has been endorsed by a number of Canadian courts: see for example </w:t>
      </w:r>
      <w:r>
        <w:rPr>
          <w:rFonts w:ascii="arial" w:eastAsia="arial" w:hAnsi="arial" w:cs="arial"/>
          <w:i/>
          <w:color w:val="000000"/>
          <w:sz w:val="20"/>
          <w:lang w:val="en-US" w:eastAsia="en-US" w:bidi="ar-SA"/>
        </w:rPr>
        <w:t xml:space="preserve">Powder Mountain Resorts, </w:t>
      </w:r>
      <w:hyperlink r:id="rId730" w:history="1">
        <w:r>
          <w:rPr>
            <w:rFonts w:ascii="arial" w:eastAsia="arial" w:hAnsi="arial" w:cs="arial"/>
            <w:i/>
            <w:color w:val="0077CC"/>
            <w:sz w:val="20"/>
            <w:u w:val="single"/>
            <w:shd w:val="clear" w:color="auto" w:fill="FFFFFF"/>
            <w:lang w:val="en-US" w:eastAsia="en-US" w:bidi="ar-SA"/>
          </w:rPr>
          <w:t>[2001] B.C.J. No. 2172</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Alberta (Minister of Public Works, Supply and Services)</w:t>
      </w:r>
      <w:r>
        <w:rPr>
          <w:rFonts w:ascii="arial" w:eastAsia="arial" w:hAnsi="arial" w:cs="arial"/>
          <w:color w:val="000000"/>
          <w:sz w:val="20"/>
          <w:lang w:val="en-US" w:eastAsia="en-US" w:bidi="ar-SA"/>
        </w:rPr>
        <w:t xml:space="preserve"> (C.A.), </w:t>
      </w:r>
      <w:hyperlink r:id="rId731" w:history="1">
        <w:r>
          <w:rPr>
            <w:rFonts w:ascii="arial" w:eastAsia="arial" w:hAnsi="arial" w:cs="arial"/>
            <w:i/>
            <w:color w:val="0077CC"/>
            <w:sz w:val="20"/>
            <w:u w:val="single"/>
            <w:shd w:val="clear" w:color="auto" w:fill="FFFFFF"/>
            <w:lang w:val="en-US" w:eastAsia="en-US" w:bidi="ar-SA"/>
          </w:rPr>
          <w:t>[2002] A.J. No. 1474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Granite Power Corp. v. Ontario</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[2002] O.J. No. 2188</w:t>
        </w:r>
      </w:hyperlink>
      <w:r>
        <w:rPr>
          <w:rFonts w:ascii="arial" w:eastAsia="arial" w:hAnsi="arial" w:cs="arial"/>
          <w:color w:val="000000"/>
          <w:sz w:val="20"/>
          <w:lang w:val="en-US" w:eastAsia="en-US" w:bidi="ar-SA"/>
        </w:rPr>
        <w:t xml:space="preserve"> (S.C.J.). It is important, however, to recall that the two categories merely represent two different ways in which a public officer can commit the tort; in each instance, the plaintiff must prove each of the tort's constituent elements. It is thus necessary to consider the elements that are common to each form of the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my view, there are two such elements. First, the public officer must have engaged in deliberate and unlawful conduct in his or her capacity as a public officer. Second, the public officer must have been aware both that his or her conduct was unlawful and that it was likely to harm the plaintiff. What distinguishes one form of misfeasance in a public office from the other is the manner in which the plaintiff proves each ingredient of the tort. In Category B, the plaintiff must prove the two ingredients of the tort independently of one another. In Category A, the fact that the public officer has acted for the express purpose of harming the plaintiff is sufficient to satisfy each ingredient of the tort, owing to the fact that a public officer does not have the authority to exercise his or her powers for an improper purpose, such as deliberately harming a member of the public. In each instance, the tort involves deliberate disregard of official duty coupled with knowledge that the misconduct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Court stated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 I believe that the underlying purpose of the tort is to protect each citizen's reasonable expectation that a public officer will not intentionally injure a member of the public through deliberate and unlawful conduct in the exercise of public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believe the plaintiff summarizes the ingredients of the offence fairly in his argument at para. 8 when he sets out the constituent ingredients as follows:</w:t>
      </w:r>
      <w:r>
        <w:rPr>
          <w:rFonts w:ascii="arial" w:eastAsia="arial" w:hAnsi="arial" w:cs="arial"/>
          <w:sz w:val="20"/>
          <w:lang w:val="en-US" w:eastAsia="en-US" w:bidi="ar-SA"/>
        </w:rPr>
        <w:cr/>
      </w:r>
    </w:p>
    <w:p>
      <w:pPr>
        <w:numPr>
          <w:numId w:val="1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 must exercise public functions;</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 must act unlawfully;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unlawful act must cause the plaintiff damages; and</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measure of damages must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This is an intentional tort that requires deliberate unlawful conduct in the exercise of a public function, which may be conduct within the actual authority of the public officer, but exercised with the specific intent to harm the person or class of persons, or an action outside the authority of the officer with knowledge that the officer has no power to act and that the act is likely to injure the plaintiff. This is a subjective awareness that the harm is likely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CO Kilback denies any misfeasance in public office, and in particular denies that he perjured himself or intentionally misled the court while giving his evidence. He also raises the defence of witness immunity. Mr. Olynyk argues that witness immunity was not in the pleadings and that the defendant should not be allowed to rely on it. The defendant argues that the issue of misfeasance in public office was a late amendment to the pleadings, and it would be unfair if the defendant could not raise the issue of witness immunity. I find that witness immunity is something that cannot be ignored simply because of an absence of pleading. However, the fact that it was not raised in the pleadings is an issue to consider when dealing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defendant also argues that misfeasance in public office is inconsistent with malicious prosecution and the necessary independence of the prosecutor. However, a prosecutor such as CO Kilback, who is giving evidence, cannot rely on the argument of prosecutorial discretion for protection with regard to evidence he gives. Prosecutorial discretion does not apply to all functions of prosecutors. This was pointed out in </w:t>
      </w:r>
      <w:r>
        <w:rPr>
          <w:rFonts w:ascii="arial" w:eastAsia="arial" w:hAnsi="arial" w:cs="arial"/>
          <w:i/>
          <w:color w:val="000000"/>
          <w:sz w:val="20"/>
          <w:lang w:val="en-US" w:eastAsia="en-US" w:bidi="ar-SA"/>
        </w:rPr>
        <w:t>British Columbia v. Crockford</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2006 BCCA 360</w:t>
        </w:r>
      </w:hyperlink>
      <w:r>
        <w:rPr>
          <w:rFonts w:ascii="arial" w:eastAsia="arial" w:hAnsi="arial" w:cs="arial"/>
          <w:color w:val="000000"/>
          <w:sz w:val="20"/>
          <w:lang w:val="en-US" w:eastAsia="en-US" w:bidi="ar-SA"/>
        </w:rPr>
        <w:t xml:space="preserve"> at para. 65, where Levine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Krieger</w:t>
      </w:r>
      <w:r>
        <w:rPr>
          <w:rFonts w:ascii="arial" w:eastAsia="arial" w:hAnsi="arial" w:cs="arial"/>
          <w:color w:val="000000"/>
          <w:sz w:val="20"/>
          <w:lang w:val="en-US" w:eastAsia="en-US" w:bidi="ar-SA"/>
        </w:rPr>
        <w:t xml:space="preserve"> does not extend the immunity afforded to the exercise of prosecutorial discretion to all functions of Crown counsel or the Criminal Justice Branch. There is an inherent limit on the immunity of the office of the Attorney General (at para. 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"Prosecutorial discretion" is a term of art. It does not simply refer to any discretionary decision made by a Crown prosecutor. Prosecutorial discretion refers to the use of those powers that constitute the core of the Attorney General's office and which are protected from the influence of improper political and other vitiating factors by the principle of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OF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Witness immunity is based on important policy objectives and has been recognized in British Columbia. The policy was explained by Hutchinson J. in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(1994), 99 B.C.L.R. (2d) 166</w:t>
        </w:r>
      </w:hyperlink>
      <w:r>
        <w:rPr>
          <w:rFonts w:ascii="arial" w:eastAsia="arial" w:hAnsi="arial" w:cs="arial"/>
          <w:color w:val="000000"/>
          <w:sz w:val="20"/>
          <w:lang w:val="en-US" w:eastAsia="en-US" w:bidi="ar-SA"/>
        </w:rPr>
        <w:t xml:space="preserve"> (S.C.) at paras. 13-14: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issue of witness immunity was settled in England in R. v. Skinner (1771), Lofft. 55, in which Lord Mansfield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Mr. Lucas has said is very just; neither party, witness, counsel, jury, or judge, can be put to answer, civilly or criminally, for words spoken in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concept has been reiterated and expanded upon over the years. The strongest statement I have found was that of Lopes, L.J. in Royal Aquarium and Summer and Winter Garden Society Ltd. v. Parkinson, [1892] 1 Q.B. 431 at p. 451: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authorities establish beyond all question this: that neither party, witness, counsel, jury, nor judge can be put to answer civilly or criminally for words spoken in office; that no action of libel or slander lies, whether against judges, counsel, witnesses, or parties, for words written or spoken in the course of any proceeding before any court recognised by law, and this though the words written or spoken were written or spoken maliciously without any justification or excuse, and from personal ill-will and anger against the person defamed. This "absolute privilege" has been conceded on the grounds of public policy to insure freedom of speech where it is essential that freedom of speech should exist, and with the knowledge that courts of justice are presided over by those who from their high character are not likely to abuse the privilege, and who have the power and ought to have the will to check any abuse of it by those who appear before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Mr. Justice Burnyeat in the decision </w:t>
      </w:r>
      <w:r>
        <w:rPr>
          <w:rFonts w:ascii="arial" w:eastAsia="arial" w:hAnsi="arial" w:cs="arial"/>
          <w:i/>
          <w:color w:val="000000"/>
          <w:sz w:val="20"/>
          <w:lang w:val="en-US" w:eastAsia="en-US" w:bidi="ar-SA"/>
        </w:rPr>
        <w:t>Workum v. Olnick</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2005 BCSC 1262</w:t>
        </w:r>
      </w:hyperlink>
      <w:r>
        <w:rPr>
          <w:rFonts w:ascii="arial" w:eastAsia="arial" w:hAnsi="arial" w:cs="arial"/>
          <w:color w:val="000000"/>
          <w:sz w:val="20"/>
          <w:lang w:val="en-US" w:eastAsia="en-US" w:bidi="ar-SA"/>
        </w:rPr>
        <w:t xml:space="preserve"> recognized the principle of witness immunity. He concluded that the immunity applied even if the statements were false or spoken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or with malice. He recognized that the rule also prevented actions against people who may have perjured themselves or conspired to give or get other people to give false testimony [para. 11]. He also recognized that it extended to actions in the investigation or preparation of the judicial process, but not to the manufacturing of evidence or probable cause [para. 16]. Witness immunity and some of its limits were discussed at length by the House of Lords in the case </w:t>
      </w:r>
      <w:r>
        <w:rPr>
          <w:rFonts w:ascii="arial" w:eastAsia="arial" w:hAnsi="arial" w:cs="arial"/>
          <w:i/>
          <w:color w:val="000000"/>
          <w:sz w:val="20"/>
          <w:lang w:val="en-US" w:eastAsia="en-US" w:bidi="ar-SA"/>
        </w:rPr>
        <w:t>Darker v. Chief Constable of the West Midlands Police</w:t>
      </w:r>
      <w:r>
        <w:rPr>
          <w:rFonts w:ascii="arial" w:eastAsia="arial" w:hAnsi="arial" w:cs="arial"/>
          <w:color w:val="000000"/>
          <w:sz w:val="20"/>
          <w:lang w:val="en-US" w:eastAsia="en-US" w:bidi="ar-SA"/>
        </w:rPr>
        <w:t>, [2000] 4 All E.R. 193 (H.L.) at p. 206: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has to be some degree of certainty about the existence of an immunity for it to be effective. The matter cannot be entirely left as one to be determined on each and every occasion. For the immunity of a witness to be effective it is necessary that the person concerned should know in advance with some certainty that what he or she says will be protected. So even although the matter may depend in any case upon a balancing of interests it ought to be possible to predict with some confidence whether or not an immunity will apply. The law has sought to achieve this by making it clear that the substance of the evidence presented to the court in judicial proceedings will be immune from attack. But a more difficult question arises with regard to the preparation of material and the investigation of a case before the matter comes before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reasons can be identified for the justification of granting an immunity to witnesses from civil process. They were expressed by Lord Wilberforce in </w:t>
      </w:r>
      <w:r>
        <w:rPr>
          <w:rFonts w:ascii="arial" w:eastAsia="arial" w:hAnsi="arial" w:cs="arial"/>
          <w:i/>
          <w:color w:val="000000"/>
          <w:sz w:val="20"/>
          <w:lang w:val="en-US" w:eastAsia="en-US" w:bidi="ar-SA"/>
        </w:rPr>
        <w:t>Roy v. Prior</w:t>
      </w:r>
      <w:r>
        <w:rPr>
          <w:rFonts w:ascii="arial" w:eastAsia="arial" w:hAnsi="arial" w:cs="arial"/>
          <w:color w:val="000000"/>
          <w:sz w:val="20"/>
          <w:lang w:val="en-US" w:eastAsia="en-US" w:bidi="ar-SA"/>
        </w:rPr>
        <w:t>, [1971] A.C. 470 (at p. 480),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reasons why immunity is traditionally (and for this purpose I accept the tradition) conferred upon witnesses in respect of evidence given in court, are in order that they may give their evidence fearlessly and to avoid a multiplicity of actions in which the value or the truth of their evidence would be tried over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far as the first of these reasons is concerned it may be considered necessary that witnesses should be granted an immunity so as to secure that they may enjoy a freedom to express themselves without fear of any consequences to themselves. In the interests of the judicial process a witness should not be exposed to the risk of having his or her evidence challenged in another process. Those engaged in the judicial process should be under no restraint from saying what has to be said and doing what has to be done for the proper conduct of that process. As Salmon J. observed in </w:t>
      </w:r>
      <w:r>
        <w:rPr>
          <w:rFonts w:ascii="arial" w:eastAsia="arial" w:hAnsi="arial" w:cs="arial"/>
          <w:i/>
          <w:color w:val="000000"/>
          <w:sz w:val="20"/>
          <w:lang w:val="en-US" w:eastAsia="en-US" w:bidi="ar-SA"/>
        </w:rPr>
        <w:t>Marrinan v. Vibart</w:t>
      </w:r>
      <w:r>
        <w:rPr>
          <w:rFonts w:ascii="arial" w:eastAsia="arial" w:hAnsi="arial" w:cs="arial"/>
          <w:color w:val="000000"/>
          <w:sz w:val="20"/>
          <w:lang w:val="en-US" w:eastAsia="en-US" w:bidi="ar-SA"/>
        </w:rPr>
        <w:t>, [1963] 1 Q.B. 234, at p. 237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immunity exists for the benefit of the public, since the administration of justice would be greatly impeded if witnesses were to be in fear that any disgruntled and possibly impecunious persons against whom they gave evidence might subsequently involve them in costly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regards the second reason the law favours a termination to litigation and in various ways endeavours to prevent a re-hearing of a matter which has already passed through the courts. If witnesses were open to a challenge upon the substance of the evidence which they have given in court proceedings, the whole matters to which the evidence related would again be canvassed before another court and in effect the case would be being re-tried. To allow such a proceeding would enable a collateral attack to be made upon the earlier decision and the law is opposed to that kind of repetitive litigation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Darker</w:t>
      </w:r>
      <w:r>
        <w:rPr>
          <w:rFonts w:ascii="arial" w:eastAsia="arial" w:hAnsi="arial" w:cs="arial"/>
          <w:color w:val="000000"/>
          <w:sz w:val="20"/>
          <w:lang w:val="en-US" w:eastAsia="en-US" w:bidi="ar-SA"/>
        </w:rPr>
        <w:t>, the Court also indicated that it applied to certain steps taken with regard to preparing to give evidence, and the Court said at p. 207: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immunity attaches essentially to what persons who may be called to give evidence say or do before the court. It is an immunity "in respect of evidence given in court" (</w:t>
      </w:r>
      <w:r>
        <w:rPr>
          <w:rFonts w:ascii="arial" w:eastAsia="arial" w:hAnsi="arial" w:cs="arial"/>
          <w:i/>
          <w:color w:val="000000"/>
          <w:sz w:val="20"/>
          <w:lang w:val="en-US" w:eastAsia="en-US" w:bidi="ar-SA"/>
        </w:rPr>
        <w:t>Roy v. Prior</w:t>
      </w:r>
      <w:r>
        <w:rPr>
          <w:rFonts w:ascii="arial" w:eastAsia="arial" w:hAnsi="arial" w:cs="arial"/>
          <w:color w:val="000000"/>
          <w:sz w:val="20"/>
          <w:lang w:val="en-US" w:eastAsia="en-US" w:bidi="ar-SA"/>
        </w:rPr>
        <w:t xml:space="preserve"> at p. 480), or, to quote Crompton J. in </w:t>
      </w:r>
      <w:r>
        <w:rPr>
          <w:rFonts w:ascii="arial" w:eastAsia="arial" w:hAnsi="arial" w:cs="arial"/>
          <w:i/>
          <w:color w:val="000000"/>
          <w:sz w:val="20"/>
          <w:lang w:val="en-US" w:eastAsia="en-US" w:bidi="ar-SA"/>
        </w:rPr>
        <w:t>Henderson v. Broomhead</w:t>
      </w:r>
      <w:r>
        <w:rPr>
          <w:rFonts w:ascii="arial" w:eastAsia="arial" w:hAnsi="arial" w:cs="arial"/>
          <w:color w:val="000000"/>
          <w:sz w:val="20"/>
          <w:lang w:val="en-US" w:eastAsia="en-US" w:bidi="ar-SA"/>
        </w:rPr>
        <w:t xml:space="preserve"> (1859), 4 H. &amp; N. 569 at p. 579, "for words spoken or written in the course of any judicial proceeding". But the immunity would be worthless if it was confined to actual giving of evidence in the court. Thus, as was recognised in </w:t>
      </w:r>
      <w:r>
        <w:rPr>
          <w:rFonts w:ascii="arial" w:eastAsia="arial" w:hAnsi="arial" w:cs="arial"/>
          <w:i/>
          <w:color w:val="000000"/>
          <w:sz w:val="20"/>
          <w:lang w:val="en-US" w:eastAsia="en-US" w:bidi="ar-SA"/>
        </w:rPr>
        <w:t>Watson v. McEwan</w:t>
      </w:r>
      <w:r>
        <w:rPr>
          <w:rFonts w:ascii="arial" w:eastAsia="arial" w:hAnsi="arial" w:cs="arial"/>
          <w:color w:val="000000"/>
          <w:sz w:val="20"/>
          <w:lang w:val="en-US" w:eastAsia="en-US" w:bidi="ar-SA"/>
        </w:rPr>
        <w:t xml:space="preserve">, the immunity should cover what is said at the stage when a witness provides a statement of the evidence which he or she is going to give in court, since the immunity relating to what occurs in the trial could otherwise readily be circumvented. Even if a potential witness provides a statement but is not in the event called as a witness, nevertheless the immunity ought to apply. As the Earl of Halsbury L.C. recognised in </w:t>
      </w:r>
      <w:r>
        <w:rPr>
          <w:rFonts w:ascii="arial" w:eastAsia="arial" w:hAnsi="arial" w:cs="arial"/>
          <w:i/>
          <w:color w:val="000000"/>
          <w:sz w:val="20"/>
          <w:lang w:val="en-US" w:eastAsia="en-US" w:bidi="ar-SA"/>
        </w:rPr>
        <w:t>Watson v. McEwan</w:t>
      </w:r>
      <w:r>
        <w:rPr>
          <w:rFonts w:ascii="arial" w:eastAsia="arial" w:hAnsi="arial" w:cs="arial"/>
          <w:color w:val="000000"/>
          <w:sz w:val="20"/>
          <w:lang w:val="en-US" w:eastAsia="en-US" w:bidi="ar-SA"/>
        </w:rPr>
        <w:t>, the practical answer to the fear of hardship caused by the allowance of an immunity in such a case is that no one would know anything about the statement; it would simply slumber in the solicitor's office. But at the stage of the obtaining of the statement it would not be possible to affirm with certainty whether or not the evidence which it contained was to be used in court and the possibility is enough to support the immunity. The immunity cannot depend upon the chance of the particular person being called as a witness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At p. 208-209, the Court further explained those limits: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that is not to say that everything said or done by anyone in the investigation or preparation for a judicial process is covered by the immunity. In drawing the line in any particular case it may be necessary to study precisely what was being done and how closely it was linked with the proceedings in court. No immunity should attach to things said or done which would not form part of the evidence to be given in the judicial process. The reason for admitting to the benefit of the immunity things said or done without the walls of the court is to prevent any collateral attack on the witness and circumvent the immunity he or she may enjoy within the court. As Devlin L.J. observed in </w:t>
      </w:r>
      <w:r>
        <w:rPr>
          <w:rFonts w:ascii="arial" w:eastAsia="arial" w:hAnsi="arial" w:cs="arial"/>
          <w:i/>
          <w:color w:val="000000"/>
          <w:sz w:val="20"/>
          <w:lang w:val="en-US" w:eastAsia="en-US" w:bidi="ar-SA"/>
        </w:rPr>
        <w:t>Lincoln v. Daniels</w:t>
      </w:r>
      <w:r>
        <w:rPr>
          <w:rFonts w:ascii="arial" w:eastAsia="arial" w:hAnsi="arial" w:cs="arial"/>
          <w:color w:val="000000"/>
          <w:sz w:val="20"/>
          <w:lang w:val="en-US" w:eastAsia="en-US" w:bidi="ar-SA"/>
        </w:rPr>
        <w:t xml:space="preserve"> [1962] 1 Q.B. 237, at p. 263: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come to the conclusion that the privilege that covers proceedings in a court of justice ought not to be extended to matters outside those proceedings except where it is strictly necessary to do so in order to protect those who are to participate in the proceedings from a flank attack.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protection is granted to a witness in the interest of establishing the truth and to secure that justice may be done. But the witness is not immune from a charge of perjury and that possibility remains as a deterrent against an abuse of his position. Immunity from that would not serve the interests of justice in the case. So also before matters have reached the stage of trial the immunity should not be available to give protection for matter which is designed to defeat the ends of justice rather than to serve them. In </w:t>
      </w:r>
      <w:r>
        <w:rPr>
          <w:rFonts w:ascii="arial" w:eastAsia="arial" w:hAnsi="arial" w:cs="arial"/>
          <w:i/>
          <w:color w:val="000000"/>
          <w:sz w:val="20"/>
          <w:lang w:val="en-US" w:eastAsia="en-US" w:bidi="ar-SA"/>
        </w:rPr>
        <w:t>Spurlock v. Satterfield</w:t>
      </w:r>
      <w:r>
        <w:rPr>
          <w:rFonts w:ascii="arial" w:eastAsia="arial" w:hAnsi="arial" w:cs="arial"/>
          <w:color w:val="000000"/>
          <w:sz w:val="20"/>
          <w:lang w:val="en-US" w:eastAsia="en-US" w:bidi="ar-SA"/>
        </w:rPr>
        <w:t>, 167 F 3d 995, Circuit Judge Nathaniel R Jones stated at pp. 1003-1004: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doctrine of absolute immunity for testimony is a shield to ensure that those individuals intimately involved in the judicial processes are able to carry out their responsibilities without the constant threat of vexatious lawsuits, not a sword allowing them to trample the statutory and constitutional rights of others. By virtue of being a witness, Satterfield is not entitled to absolute immunity in performing any non-testimonial or pre/post-testimonial acts. What plaintiffs, in essence, allege here is the fabrication of probable cause cannot be immunised by later providing false testimony. Obviously, the two alleged acts, manufacturing the evidence and later presenting that false evidence in the form of testimony, are inextricably linked. Nonetheless, we find that adopting Satterfield's reasoning would lead to the untenable result that officials who fabricate evidence or manufacture probable cause could later shield themselves from liability simply by presenting false testimony regarding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Lord Hope of Craighead at p. 197 of </w:t>
      </w:r>
      <w:r>
        <w:rPr>
          <w:rFonts w:ascii="arial" w:eastAsia="arial" w:hAnsi="arial" w:cs="arial"/>
          <w:i/>
          <w:color w:val="000000"/>
          <w:sz w:val="20"/>
          <w:lang w:val="en-US" w:eastAsia="en-US" w:bidi="ar-SA"/>
        </w:rPr>
        <w:t>Darker</w:t>
      </w:r>
      <w:r>
        <w:rPr>
          <w:rFonts w:ascii="arial" w:eastAsia="arial" w:hAnsi="arial" w:cs="arial"/>
          <w:color w:val="000000"/>
          <w:sz w:val="20"/>
          <w:lang w:val="en-US" w:eastAsia="en-US" w:bidi="ar-SA"/>
        </w:rPr>
        <w:t xml:space="preserve"> further indicated the distinction between actions which are protected and those which are not protected by witness immunity: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 crucial difference between statements made by police officers prior to giving evidence and things said or done in the ordinary course of preparing reports for use in evidence, where the functions that they are performing can be said to be those of witnesses or potential witnesses as they are related directly to what requires to be done to enable them to give evidence, and their conduct at earlier stages in the case when they are performing their functions as enforcers of the law or as investigators. The actions which the police take as law enforcers or as investigators may, of course, become the subject of evidence. It may then be necessary for the police officers concerned to assume the functions of witnesses at the trial to describe what they did or what they heard or what they saw. But there is no good reason on grounds of public policy to extend the immunity which attaches to things said or done by them when they are describing these matters to things done by then which cannot fairly be said to form part of their participation in the judicial process as witnesses. The purpose of the immunity is to protect witnesses against claims made against them for something said or done in the course of giving or preparing to give evidence. It is not to be used to shield the police from action for things done while they are acting as law enforcers or investigators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Lord Hutton at 210: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protection given to a witness against an action for defamation in respect of the words which he speaks in court would also be outflanked if the immunity did not operate where an action is brought against two or more witnesses or prospective witnesses alleging a conspiracy by them to make false statements in court ... The Court of Appeal held that the immunity given to a witness was not confined to barring an action for defamation but extended to bar an action alleging conspiracy to make false statements in court. The decision of the High Court of Australia in Cabassi v. Vila (1940) 64 C.L.R. 130 is to the same effect, Starke J. stating at page 141: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it does not matter whether the action is framed as an action for defamation or as an action analogous to an action for malicious prosecution or for deceit or, as in this instance, for combining or conspiring together for the purpose of injuring another; the rule of law is that no action lies against witnesses in respect of evidence prepared (Watson v. McEwan), given, adduced or procured by them in the course of legal proceedings. The law protects witnesses and others, not for their benefit, but for a higher interest, namely, the advancement of public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in my opinion, a distinction in principle between what a witness says in court (or what in a proof of evidence a prospective witness states he will say in court) and the fabrication of evidence, such as the forging of a suspect's signature to a confession or a police officer writing down in his notebook words which a suspect did not say or a police officer planting a brick or drugs on a suspect. In practice the distinction may appear to be a fine one, as, for example, between the police officer who does not claim to have made a note, but falsely says in the witness box that the suspect made a verbal confession to him (for which statement the police officer has immunity), and a police officer who, to support the evidence he will give in court, fabricates a note containing an admission which the suspect never made. But I consider that the distinction is a real one and that the first example comes within the proper ambit of the immunity and the other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Darker</w:t>
      </w:r>
      <w:r>
        <w:rPr>
          <w:rFonts w:ascii="arial" w:eastAsia="arial" w:hAnsi="arial" w:cs="arial"/>
          <w:color w:val="000000"/>
          <w:sz w:val="20"/>
          <w:lang w:val="en-US" w:eastAsia="en-US" w:bidi="ar-SA"/>
        </w:rPr>
        <w:t xml:space="preserve"> decision was considered and further explained in the case </w:t>
      </w:r>
      <w:r>
        <w:rPr>
          <w:rFonts w:ascii="arial" w:eastAsia="arial" w:hAnsi="arial" w:cs="arial"/>
          <w:i/>
          <w:color w:val="000000"/>
          <w:sz w:val="20"/>
          <w:lang w:val="en-US" w:eastAsia="en-US" w:bidi="ar-SA"/>
        </w:rPr>
        <w:t>Elliott v. Insurance Crime Prevention Bureau</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2005 NSCA 115</w:t>
        </w:r>
      </w:hyperlink>
      <w:r>
        <w:rPr>
          <w:rFonts w:ascii="arial" w:eastAsia="arial" w:hAnsi="arial" w:cs="arial"/>
          <w:color w:val="000000"/>
          <w:sz w:val="20"/>
          <w:lang w:val="en-US" w:eastAsia="en-US" w:bidi="ar-SA"/>
        </w:rPr>
        <w:t xml:space="preserve"> by Cromwell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the present case, even if Mr. Olynyk was able to prove or if I were to find that CO Kilback had perjured himself when he gave his evidence at the trial of the deer incident, Mr. Olynyk would not be able to sue CO Kilback for misfeasance in public office. CO Kilback would be protected by witness immunity. In this case, even if Mr. Olynyk was able to prove or I were to find that CO Kilback intentionally altered the emails that contained the photographs used in the trial of the deer incident, CO Kilback would still be protected by witness immunity. If this action did occur, it would not be the creation of evidence, such as a false confession referred to in the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find that CO Kilback is protected by witness immunity with regard to the preparation of the photographs for admission to court and his testimony given at the hearing regarding the deer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also find that when CO Kilback decided to proceed with the prosecution knowing that CO Butcher was not available and that the property owner may not be available, or probably would not be available, he was exercising his discretion as a prosecutor and that decision is not subject to review or a claim for damages for malicious prosecution, or in this case, misfeasance in public office. The evidence does not support the allegation that he was doing it for some purpose other than the prosecution of the offence or that he was exercising his authority for the sole purpose of harming or injuring Mr. Olynyk.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the event that I am wrong in my findings of liabilities, I assess the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Cougar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If liability had been proven the defendant acknowledges that special damages would be $548.01 for legal fees, plus court ordered interest from December 10, 2004. The defendant argues, however, that there is little to support the argument for any amount of general damages. The defendant argues there is really no harm shown by the plaintiff. However, the plaintiff did suffer harm in the sense that he was exposed to a second prosecution when he ought not to have been. He had been a hunter for approximately 25 years and valued his right to hunt. He relied on hunting to provide food for his family in addition to what he might be able to purchase through his employment income. He was required to obtain the assistance of counsel, including instructing counsel. Until the matter was resolved, he was faced with the worry which an ordinary person would experience as a result of being subjected to a charge. I find that the amount for general damages in this case is $5,000.00. There are no significant aggravating features in my opinion. However, I am satisfied the punitive damages are appropriate in the amount of $5,000.00. Punitive damages would be necessary in order to set an example for others who might act in a similar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Court ordered interest, of course, would be payable to the extent provided by the </w:t>
      </w:r>
      <w:r>
        <w:rPr>
          <w:rFonts w:ascii="arial" w:eastAsia="arial" w:hAnsi="arial" w:cs="arial"/>
          <w:i/>
          <w:color w:val="000000"/>
          <w:sz w:val="20"/>
          <w:lang w:val="en-US" w:eastAsia="en-US" w:bidi="ar-SA"/>
        </w:rPr>
        <w:t>Court Ordered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Deer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argued that in dealing with the deer incident the plaintiff should not be compensated twice, even if the actions of the defendant amounted to malicious prosecution and misfeasance of public office. I agree. In this case, the plaintiff lost the deer meat which CO Kilback directed the butcher to distribute to needy families. In addition, Mr. Olynyk was required to attend Kamloops, a trip I am told of about two and a half hours each way from Lillooet to Kamloops, in order to attend trial. Again, he was certainly at risk of losing his hunting privileges or facing a significant fine if he were convicted. In addition, if convicted, he would have that conviction on his record and conservation officers who dealt with him in the future would certainly be aware of that. This would be a matter of some importance to him given the fact that he has been a hunter for approximately 25 years and relies on hunting to subsidize his family's food supply. I am satisfied that general damages in this case should be set at $10,000.00. In addition, if Mr. Olynyk is right and CO Kilback intentionally perjured himself in giving his evidence that is a matter which demands punitive damages. There may be other consequences that could follow from CO Kilback's actions, but it would be a matter that does require denunciation and punishment by the Court in the civil suit. I would fix the punitive damages in the amount of $15,000.00.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reaching my conclusions with regard to damages, I have considered the plaintiff's arguments and references to the following cases: </w:t>
      </w:r>
      <w:r>
        <w:rPr>
          <w:rFonts w:ascii="arial" w:eastAsia="arial" w:hAnsi="arial" w:cs="arial"/>
          <w:i/>
          <w:color w:val="000000"/>
          <w:sz w:val="20"/>
          <w:lang w:val="en-US" w:eastAsia="en-US" w:bidi="ar-SA"/>
        </w:rPr>
        <w:t>Hewer v. Paquette</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[1990] B.C.J. No. 1549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Neff v. Patry</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2008 BCSC 163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Teskey v. Toronto Transit Commission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[2003] O.J. No. 4546</w:t>
        </w:r>
      </w:hyperlink>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3 C.P.C. (6th) 181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Longley v. M.N.R.,</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[1999] B.C.J. No. 1705</w:t>
        </w:r>
      </w:hyperlink>
      <w:r>
        <w:rPr>
          <w:rFonts w:ascii="arial" w:eastAsia="arial" w:hAnsi="arial" w:cs="arial"/>
          <w:color w:val="000000"/>
          <w:sz w:val="20"/>
          <w:lang w:val="en-US" w:eastAsia="en-US" w:bidi="ar-SA"/>
        </w:rPr>
        <w:t xml:space="preserve">, [1999] B.C.D. Civ. 920.62.00.00-002 (B.C.S.C.). I have also considered the defendants' arguments and their references to the case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[1990] B.C.J. No. 2692</w:t>
        </w:r>
      </w:hyperlink>
      <w:r>
        <w:rPr>
          <w:rFonts w:ascii="arial" w:eastAsia="arial" w:hAnsi="arial" w:cs="arial"/>
          <w:color w:val="000000"/>
          <w:sz w:val="20"/>
          <w:lang w:val="en-US" w:eastAsia="en-US" w:bidi="ar-SA"/>
        </w:rPr>
        <w:t xml:space="preserve"> dealing specifically with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certainly would have been entitled to his costs at Scale B had I found liability. The question is whether the plaintiff should be required to pay costs to the defendant having been unsuccessful which would be the normal rule, and if so, whether those should be special or ordinary costs at Scale B. There is also a question whether the plaintiff should have to pay those costs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 argues that Mr. Olynyk has made serious allegations against CO Kilback, calling into question his honesty, integrity, and professionalism, and that was done without any convincing evidence. This includes the allegation of perjury. The defendant argues that civil litigation should not be used as a means to harass law enforcement officers when there is no basis for a claim. CO Kilback argues that he should be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to follow event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this is one of those exceptional cases when the successful party, in this case the defendant, should not have their costs. The plaintiff was unable to prove its allegations, but the arguments were not frivolous or without some substance. Although I found that the actions of the defendant did not amount to malicious prosecution or misfeasance in public office, they were certainly the result of lack of proper training which is the responsibility of his employer, the Province of British Columbia as represented by the Minister of Environment, incompetence, recklessness, and a failure to make proper inquiries, particularly with regard to the issue of double jeopardy when the issue was clearly brought to his attention. It is not surprising that the defendant's actions appear to be motivated by malice rather than a desire to simply carry out his responsibilities as a conservation officer or agent of the Crown in dealing with the prosecutions. In this case, I find that costs are not necessary in order to deter someone like the plaintiff from pursuing this type of litigation. The plaintiff will have already incurred significant costs and inconvenience in simply pursuing the civil litigation. Awarding costs to the defendant would simply reward his employer's decision to save money by having poorly trained and unqualified individuals prosecuting offences of this nature, and would simply reward or compensate the defendant himself for matters that arose from his own carelessness or recklessness, or want of due diligence. In my opinion, that would be an unjust result. Therefore, each party shall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Pavlis v. HSBC Bank Canada, [2009] B.C.J. No. 740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J.L. 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14-18, 21-25, April 17-18, 21-24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7-9,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02-4093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740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498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72 C.C.E.L. (3d)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939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Marcia Hattie Pavlis, Plaintiff, and HSBC Bank Canada, and HSBC Securities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35"/>
      <w:bookmarkEnd w:id="267"/>
      <w:r>
        <w:rPr>
          <w:rFonts w:ascii="arial" w:eastAsia="arial" w:hAnsi="arial" w:cs="arial"/>
          <w:b/>
          <w:color w:val="000000"/>
          <w:sz w:val="20"/>
          <w:lang w:val="en-US" w:eastAsia="en-US" w:bidi="ar-SA"/>
        </w:rPr>
        <w:t>Employment law — Contract of employment — Breach — Fundamental breach — Essential terms — Remuneration — Action by plaintiff for damages arising from alleged constructive dismissal by defendant Securities company and relationship with bank dismissed — Plaintiff worked for bank then moved to Securities as investment advisor — Plaintiff earned more than $100,000 per year, partly from trailer payments — Plaintiff believed she was owed $5,970 when she went on disability so began threatening employer and stopped paying mortgage so bank foreclosed — Claim against bank without substance — Securities accepted plaintiff's continued threats as resignation — Plaintiff owed not more than 6 per cent salary so no fundamental breach — No other breaches of contract.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Wrongful dismissal — Constructive dismissal — Unfair dealings — Action by plaintiff for damages arising from alleged constructive dismissal by defendant Securities company and relationship with bank dismissed — Plaintiff worked for bank then moved to Securities as investment advisor — Plaintiff earned more than $100,000 per year, partly from trailer payments — Plaintiff believed she was owed $5,970 when she went on disability so began threatening employer and stopped paying mortgage so bank foreclosed — Claim against bank without substance — Securities accepted plaintiff's continued threats as resignation — Plaintiff owed not more than 6 per cent salary so no fundamental breach — No other breaches of contract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35"/>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extensive damages against the defendants, a bank and the Securities division, for constructive dismissal,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bad faith. The plaintiff was hired by the bank in 1998 and worked as a manager. When her position was eliminated, she moved to Securities as an investment advisor. The plaintiff earned more than $100,000 per year, part of which was from trailer payments, which required a complex calculation. Securities often made errors in calculating trailer payments and plaintiff had to request proper payment in 2000. In 2001, the plaintiff determined that she was again owed trailer payments of $5,970. Around this time, a new manager was hired and he and the plaintiff argued about increasing her support staff and her threats to report a change made to a client's risk tolerance, which she believed breached securities regulations. Later in 2001, the plaintiff developed osteoarthritis and went on disability. Her expected return-to-work date was in June 2002. While the plaintiff was on disability, she and her husband began sending threatening letters to Securities about the trailer payments owing. Securities audited the matter and paid the plaintiff $1,926 but she insisted she was owed more. Securities informed the plaintiff that her employment would be terminated if she did not cease the threats. The plaintiff's husband wrote a bizarre and threatening letter to Securities and Securities informed the plaintiff that it accepted the continued threats as her resignation. The plaintiff owned properties with mortgages held by the bank so the plaintiff stopped payments to compensate by trailer payments owing from Securities. The bank demanded arrears, then the full loan amount and then foreclosed upon the properties. The plaintiff argued that Securities constructively dismissed her by refusing to pay trailer payments and, as a result, miscalculating her salary for the purposes of disability and treated her unfairly by refusing to increase her support staff. The plaintiff argued that the bank was negligent in commencing foreclosure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27"/>
            <w:bookmarkEnd w:id="26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absolutely no substance to the claims against the bank, which was entitled to take foreclosure action when the plaintiff refused to pay the mortgage. The plaintiff and the manager did not see eye-to-eye but he did not threaten to fire her or treat her unfairly. While he refused to increase her support staff, the plaintiff had the level of support specified in her employment contract. The plaintiff had not proven that her method of calculating trailer payments owing was better than Securities' method. The plaintiff may have been paid everything she was owed. Even if she was not, she was owed a mere two to four per cent of her salary so there was no fundamental breach of contract. If the disability payments were short due to the same miscalculation, the monies owing were also short by a percentage too small to constitute a fundamental breach. As there was no fundamental breach of contract, the plaintiff had not been constructively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Counsel_35"/>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in Person: M.H. Pavlis.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G.R. Johnson.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1" w:name="Judgment_36"/>
      <w:bookmarkEnd w:id="271"/>
      <w:r>
        <w:pict>
          <v:line id="_x0000_s1207" style="position:absolute;z-index:2517985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2" w:name="J.L. DORGAN J."/>
            <w:bookmarkEnd w:id="272"/>
            <w:r>
              <w:rPr>
                <w:rFonts w:ascii="arial" w:eastAsia="arial" w:hAnsi="arial" w:cs="arial"/>
                <w:b/>
                <w:color w:val="000000"/>
                <w:sz w:val="30"/>
                <w:lang w:val="en-US" w:eastAsia="en-US" w:bidi="ar-SA"/>
              </w:rPr>
              <w:t>J.L. 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Ms. Pavlis, claims extensive damages arising from her employment with the defendant HSBC Securities (Canada) Inc. ("Securities") and her relationship with the defendant HSBC Bank Canada (the "Bank"). Ms. Pavlis' claims centre on her alleged constructive dismissal, and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bad faith in their overall treatment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which arise in this action are:</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Pavlis constructively dismissed in June 2002, and, if so, what damages flow on a consideration of a reasonable notice period?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Ms. Pavlis was constructively dismissed, does the behaviour of the defendant Securities entitle her to a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"extension" or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damages?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any valid claims in law arise as between Ms. Pavlis and the defendant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summer of 1998, Ms. Pavlis, then approximately 43 years old, moved from Saskatchewan to Victoria. To that point, she had worked approximately 24 years in the financial services industry, primarily employed by banks and in at least one instance, a life assurance company. In October 1998, she accepted a position with HSBC Bank in Victoria as an investment services sales associate at a salary of $42,000 per year. On January 27, 1999, she was promoted to a manager's position of investment services ("MIS") with the Bank at a base salary of $50,000. By September 1999, her base salary was $55,520.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or about December 1999, the Bank advised its managers of investment services that it intended to eliminate those positions. In so doing, the Bank, in January 2000, offered Ms. Pavlis a position as an investment advisor ("IA") with HSBC Securities, an offer made to a number of its MIS employees. She accepted the offer and took the requisite IA training program. She began working for Securities as an IA in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move from the Bank to Securities provided all such MIS employees with the opportunity to move their investor clients with them from the Bank to Securities. Ms. Pavlis received an award for being the only IA to transfer her entire book of business from the MIS position to her new position. She testified she treated each of her clients and invested their money as if the client were her own mother. The evidence shows she was a diligent worker who devoted long hours and much effort to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part of her employment contract with Securities, Ms. Pavlis received health and dental benefits, disability and life insurance benefits, pension plan participation, and staff banking benefits which included preferred lending rates. The salary for the position of IA was a base salary plus commissions which included payment of trailer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Trailer fees may be generally described as those fees paid to an investment dealer, in this case Securities, by mutual fund companies with whom the IAs invested on behalf of their clients. The evidence shows the calculation of trailer fees owed to an IA arising from that IA's client transactions with fund companies involved a somewhat complex method of compensation. In part the calculations depended on both Securities and the fund companies using a mutually understood system of identifying a particular client's IA as that client invested in certain mutual funds. Most fund companies generally paid trailer fees quarterly to Securities and Securities then passed on those payments to its IAs quarterly after further calculations. The dispatch with which Securities paid out trailer fees to its IA employees depended in part on the following factors: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 record-keeping by both Securities and the client's fund companies;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funds invested in;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of ascribing an IA to clients investing in the funds;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trailer fees payments to Securities by the various fund companies;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the internal calculations by Securities based on its applicable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Clearly, income from trailer fees formed a part of the compensation package Securities paid its 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shows that the requisite record-keeping for calculations of trailer fees, particularly the subsequent calculations by Securities, was complex and cumbersome. Somewhat curiously for an institution whose business is keeping track of the money of others, Securities made mistakes in the tabulation and calculation of trailer fees owed to IAs such that at times some IAs received incorrect amounts, some IAs received amounts actually owing to other IAs, and the timely payment of trailer fees was not always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Twice during Ms. Pavlis' tenure at Securities, she was not paid the trailer fees she was entitled to when they were due. The claims in this trial centre on the second episode; she asserts she was owed trailer fees of $5,970.53 ($4,044.24 of which she claims remains outstanding); Securities asserts she was owed $1,926.29 which it paid to her on May 24, 2002. More on that issue will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August 2001, Mr. Clark accepted the position of manager of Securities' Victoria branch. At the time, five IAs worked in the Victoria branch, plus himself and one IA in the Nanaimo branch. As part of familiarizing himself with the office in early August 2001, Mr. Clark met the IAs in the Victoria branch. He then returned to Toronto, coming back to Victoria as the on-site manager on September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first month or so following Mr. Clark's arrival, his interactions with Ms. Pavlis included discussions of:</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approach to her work;</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request that more sales assistant time from the sales assistants in the office be assigned to her, or, failing that, her request to hire her own sales assistant;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client loss payment charged to her; and</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assessment in clients' investment portfolios, in particular that of Ms. Renaud, a client of Ms. Pavlis.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Clearly, Ms. Pavlis and Mr. Clark did not see eye-to-eye on some of these issues and I am satisfied a certain tension developed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Near the end of September 2001, Ms. Pavlis determined she was owed trailer fees. She asked her sales assistant, Ms. Piazza, to look into the matter in early November 2001. Much of the parties' contact for approximately seven months thereafter concerned this issue. Over that time their contact escalated in frequency and emotional tone. Securities' Victoria branch eventually contacted Human Resources at head office. A "point person" was named by Securities as the contact with Ms. Pavlis on this and other matters of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Also in the fall of 2001, Ms. Pavlis was diagnosed with osteoarthritis in her hands as well as shoulder problems which caused significant pain. On October 24, 2001, Ms. Pavlis went on disability leave and received short-term disability payments. Other health issues arose during her disability leave. The evidence shows that her health concerns grew more varied and complex. Eventually in 2002, she applied for and obtained long-term disability payments. She was scheduled to return to work on June 3, 2002. She did not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contemplating her return from disability leave, Ms. Pavlis understood that she would receive no sales support upon her resumption of employment. There were also some concerns with regard to office space for Ms. Pavlis upon her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shows that toward the end of her disability leave, Ms. Pavlis began to experience some financial distress. Ms. Pavlis owned two pieces of real property. The Bank held the mortgages. On April 26, 2002, Ms. Pavlis made stop payment orders in respect of her liabilities with the Bank. She testified that while Securities owed her money she would not pay money she owed the Bank. She considered that Securities' debt to her was for a sum greater than her immediate obligations to the Bank. She received a demand letter for the arrears from the Bank on July 5, 2002, and a demand for the total loan amount on July 19,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Bank and Securities' employees and managers testified that toward the end of her disability leave, they felt threatened by Ms. Pavlis. They perceived that Ms. Pavlis (and Mr. Coroi, Ms. Pavlis' spouse, who also was in contact with Securities) was threatening to contact clients, the media, and the Securities Regulators among others about perceived injustices. Threats of potential criminal prosecutions were also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31, 2002, Ms. Gallagher, S.V.P. and Director, Human Resources, sent Ms. Pavlis a letter warning that if Ms. Pavlis did not discontinue certain behaviours, her employment would be immediately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Pavlis claims she did not return to work on June 3, 2002 because she was constructively dismissed. She informed Securities' representatives that she would return only when the outstanding pay and support staff issues were settled in accordance with her requests which had, over the months of her disability leave, become demands. On June 4, 2002, she wrote an email to all of her clients and business associates, stating that she held Securities in breach of their employment contract with her and that she would return to work "as soon as the matter has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4, 2002, Ms. Gallagher sent Ms. Pavlis an email to notify her that "a letter addressing your inappropriate conduct and communication with HSBC over the past three months" was in the mail (dated May 31), that her registration as an IA was inactive until her return to work, and that any further client contact would result in the termination of her employment "immediately, without notice and without payment in lieu of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Later in the day on June 4, 2002, "Nautonnier," claiming to be Ms. Pavlis' representative, and who is admitted to be Mr. Coroi, wrote a threatening and bizarre email to Ms. Gallagher. There is no evidence that he did so at Ms. Pavlis' request or even with her knowledge, but the people at Securities who received and considered the email were not aware of that fact. I am satisfied that by this time, Ms. Pavlis' co-workers and superiors had concluded that she was experiencing emotional or psychological distress of some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 letter dated June 6, 2002, Ms. Gallagher communicated to Ms. Pavlis regarding her "inappropriate conduct" and her "expressed intentions and failure to report to work". Ms. Gallagher wrote that Securities accepted Ms. Pavlis' actions as her resignation from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Pavlis' Record of Employment completed by Securities states that Ms. Pavlis "did not return to work from her term of disability". The Uniform Termination Notice for Ms. Pavlis provided to the B.C. Securities Commission states that the reason for the discontinuance of Ms. Pavlis' employment was that she "failed to meet the expectations of the business". There is evidence that this document was changed from an earlier statement of "voluntary resignation". On page three of the document, it states that the "employee left firm and is unavailable for signature". Ms. Pavlis states and I accept that she was not asked for her signature. She says that this Notice significantly affected her ability to find alternate employment in the financial services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June 7, 2002, Ms. Pavlis sent an email that, among other things, notified Securities that "the outstanding balances of all my liabilities to HSBC, including but not limited to the remaining mortgage amounts on both of my properties, are now liquidated damages to partially satisfy the appropriate compensation for my wrongful dismissal". On July 15, 2002, she sent a similar letter with somewhat threatening remarks to the special credit division of the Bank regarding her liabilities. Earlier in May 2002, she made statements of the same kind to other Bank employees in an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Ultimately, the Bank foreclosed on Ms. Pavlis' properties and she declared personal bankruptcy on October 29, 2002. Ms. Pavlis blames Securities and the Bank for her losses in this regard. She testified that if she had been paid her trailer fees and disability in full and if Securities had met its obligations under the employment contract, she would not have lost her properties and her credit rating would have remained "impeccable". The Bank sent her files to "Special Credit" in order to collect on the debts two weeks after Ms. Pavlis made the stop payment orders. She claims she had never seen a bill collector become involved when the payor was only two weeks in arrears, especially a payor who is a staff member. Ms. Pavlis considers that the Bank acted recklessly in commencing foreclosure proceedings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Obviously, a potential employee's good credit rating is important to potential employers in the financial services industry. As stated above, Ms. Pavlis declared personal bankruptcy in October 2002. She says this further prevented her from finding alternate employment and that her bankruptcy was the direct and foreseeable result of 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 investment representative position offered to Ms. Pavlis by Edward Jones became unavailable as of January 6, 2003, "due to the registration restrictions set out by the Canadian Securities Regulators in regard to bankruptcy". When Ms. Pavlis re-applied at Edward Jones, she was informed that formerly bankrupt candidates would only be considered if they had been discharged from bankruptcy for two years or more. Ms. Pavlis was discharged from bankruptcy on July 31,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August 2002, Ms. Pavlis took steps to reinstate long-term disability benefits and attended a psychiatrist. She was experiencing considerable emotional stress at this time. Ms. Pavlis was denied continued disability benefits from Sun Life Financial on March 12, 2003. The Sun Life Director and Ombudsman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Sun Life Financial was advised by your own Physicians that you were medically fit to return to full-time work on June 3, 2002. You did not contest this at the time. You were terminated from your job three days later, on June 6, and that is when your Group disability coverage terminated as well. Therefore, if you had begun to suffer from a totally disabling illness or accident - </w:t>
      </w:r>
      <w:r>
        <w:rPr>
          <w:rFonts w:ascii="arial" w:eastAsia="arial" w:hAnsi="arial" w:cs="arial"/>
          <w:i/>
          <w:color w:val="000000"/>
          <w:sz w:val="20"/>
          <w:lang w:val="en-US" w:eastAsia="en-US" w:bidi="ar-SA"/>
        </w:rPr>
        <w:t>even if it was a recurrence of a previous medical condition</w:t>
      </w:r>
      <w:r>
        <w:rPr>
          <w:rFonts w:ascii="arial" w:eastAsia="arial" w:hAnsi="arial" w:cs="arial"/>
          <w:color w:val="000000"/>
          <w:sz w:val="20"/>
          <w:lang w:val="en-US" w:eastAsia="en-US" w:bidi="ar-SA"/>
        </w:rPr>
        <w:t>- the onset of the disability would have to have been on or before June 6, 2002 in order for benefits to be contractually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Pavlis requested to retrieve her belongings from the Bank. She says and I accept that some of her personal belongings, her licensing file and her prospect files were not returned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Pavlis was deemed ineligible for EI benefits. The Insurance Agent from Human Resources Development Canada wrote on August 7, 2002 that Ms Pavlis would not receive benefits because "you voluntarily left your employment with HSBC Securities Canada Inc. on April 22, 2002 [sic], without just cause. We are of the opinion that voluntarily leaving your employment was not the only reasonable alternative in your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Since January 2005, Ms. Pavlis has received CPP disability payments, currently approximately $1,200 per month. She has been too ill to work at any job for a significant length of time since her employment with Securities. For three years after her employment with Securities, she made significant efforts to find employment in her field. She testified and I accept that she unsuccessfully applied for 231 positions. At one point Ms. Pavlis moved back to Saskatchewan and she also attempted to work outside of her field, in retail sales, for example. Ms. Pavlis testified that she "learned to be poor" after her employment ended with Securities. She liquidated any assets, sold belongings, and was forced to rely on food banks and neighbours for a significant time in order to support herself and her dependents.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Pavlis earned $125,953.37 from regular salary and commission earnings in 2000. She earned $100,670.68 in 2001 from regular salary, commissions and short-term disability payments, and $86,318.01 from her short- and long-term disability benefits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Pavlis is now 54 years old. Her combined employment with HSBC Bank and HSBC Securities totalled three years and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Pleadings and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paragraph 16 of the further amended statement of claim (filed August 31, 2007), Ms. Pavlis pleads as follows:</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contract of employment entered into with the Plaintiff, Securities: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neglected and refused to pay all the trailer fees owed to the Plaintiff in a wilful and malicious manner;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neglected and refused to pay all the short term disability payments to the Plaintiff in a wilful and malicious manner;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charged the Plaintiff for errors on client accounts, even though it had never been determined the Plaintiff was responsible for the errors;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supply the Plaintiff with an equal opportunity as other IAs at Securities to earn and increase her income with respect to sales support, subject to the provisions of her contract;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intercepted the Plaintiffs' [sic] private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 18 of the statement of claim reads as follows:</w:t>
      </w:r>
      <w:r>
        <w:rPr>
          <w:rFonts w:ascii="arial" w:eastAsia="arial" w:hAnsi="arial" w:cs="arial"/>
          <w:sz w:val="20"/>
          <w:lang w:val="en-US" w:eastAsia="en-US" w:bidi="ar-SA"/>
        </w:rPr>
        <w:cr/>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remedy the acts and omissions in paragraph 16, while the Plaintiff was away on disability leave, Securities constructively dismissed the Plaintiff from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And further, in paragraphs 19 and 20, Ms. Pavlis claims:</w:t>
      </w:r>
      <w:r>
        <w:rPr>
          <w:rFonts w:ascii="arial" w:eastAsia="arial" w:hAnsi="arial" w:cs="arial"/>
          <w:sz w:val="20"/>
          <w:lang w:val="en-US" w:eastAsia="en-US" w:bidi="ar-SA"/>
        </w:rPr>
        <w:cr/>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constructively dismissing the Plaintiff, Securities committed the following further acts which, in the circumstances in this action, were wrongful and aggravating:</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3, 2002, delivered an email to the Plaintiff in which it was falsely claimed that her registration as an Investment Advisor was inactive and forbidding her from contacting the firms' clients on this basis;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in the email referred to in clause a) herein, Securities threatened to terminate the Plaintiff's employment without just cause;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prepared a document expressing the intention to terminate the Plaintiff's employment by fabricating a false cause for dismissal;</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5, 2002, delivered a letter to the Plaintiff in which the defendant Securities again threaten [sic] to terminate her employment without cause;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6, 2002, delivered a letter to the Plaintiff and claimed that there was just cause to terminate the Plaintiff's employment, while at the same time claiming she resigned from her position. Both of these claims were known by Securities at the time to be patently and demonstrably false.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was the Plaintiff offered a severance package in lieu of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And at paragraph 21, Ms. Pavlis claims that following her constructive dismissal, Securities "continued to harass and harm" her by:</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maliciously cancelling the Plaintiffs' [sic] Group Health Benefits;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maliciously cancelling the Plaintiffs' [sic] Group Insurance Benefits;</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cancelling the Plaintiffs' [sic] staff banking benefits;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cancelling the Plaintiffs' [sic] participation in Pension Plan "A";</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wrongfully and maliciously appropriating the Plaintiff's personal property, namely, her prospect files;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falsely and maliciously manipulating the Plaintiff's record of employment and Uniform Termination Notice;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interfering in the contractual relations of the Plaintiff with good faith purchaser of one of her properties for the purpose of appropriating a portion of the sale proceeds;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maliciously and wrongfully foreclosing on the Plaintiffs' [sic] properties in breach of the higher duty owed by the defendants in the special and unique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Paragraph 23 reads:</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therefore claims against the defendants, jointly and severally:</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constructive dismissal;</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earning capacity;</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the opportunity for the Plaintiff to earn income and equity from her properties;</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harassing and harming the Plaintiff after terminating her employment;</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loss of Health Benefits, particulars of which are:</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 assistance plan;</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extended health benefits;</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dental plans;</w:t>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shared cost of MSP;</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loss of Insurance Benefits, particulars of which are:</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 term disability coverage;</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long term disability coverage;</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$227,000 basic group life insurance coverage;</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$300,000 group life insurance coverage;</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loss of participation in Pension Plan "A";</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loss of staff banking benefits, particulars of which are:</w:t>
      </w:r>
    </w:p>
    <w:p>
      <w:pPr>
        <w:numPr>
          <w:numId w:val="6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staff bank account;</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rates on banking services;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 is no iii]</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lending rates on personal loans, lines of credit and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paragraph 24, Ms. Pavlis claims special damages in the amount of $7,958.01 comprised of:</w:t>
      </w:r>
      <w:r>
        <w:rPr>
          <w:rFonts w:ascii="arial" w:eastAsia="arial" w:hAnsi="arial" w:cs="arial"/>
          <w:sz w:val="20"/>
          <w:lang w:val="en-US" w:eastAsia="en-US" w:bidi="ar-SA"/>
        </w:rPr>
        <w:cr/>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$4,044.24 for unpaid trailer fees;</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$2,907.31 for compensation outstanding in regard to the Plaintiff's short term disability plan;</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$529.32 for compensation outstanding in regard to the Plaintiff's long term disability plan;</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$477.15 for monies wrongfully charged and debited from her account;</w:t>
      </w:r>
    </w:p>
    <w:p>
      <w:pPr>
        <w:numPr>
          <w:numId w:val="6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at a rate and for a duration to be determined at trial;</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special damages as may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paragraph 25, Ms. Pavlis advances a claim for aggravated damages and exemplary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her comprehensive written argument, Ms. Pavlis sets out her theory of the case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claim in this case is that I was constructively dismissed without just cause by my employer, Securities, while I was away on disability leave.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included a claim against the Bank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for its calculated breach of fiduciary duties owed towards me. A special relationship was established by the fact that the Securities IA compensation plan included a benefits package from the Bank. This fact gave rise to a "duty of care" on the part of both Securities and the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Bank had control over every aspect of my financial situation during the said time. In order for me to fulfill my obligations to the Bank as far as staff borrowings, etc., I first had to be compensated pursuant to Securities' IA Compensation Plan and the Banks' short term disability plan. I submit that the evidence that I have presented has shown the defendants to have engaged in conduct designed to repudiate my contract in a most calculated and malicious manner. I also submit that the Bank is vicariously libel [sic] for the acts of its subsidiary, Securities.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further claimed that there are aggravating factors present in this case. The gist of my claim in this regard has been that the defendants repudiated my contract with some ulterior motive having to do with Asset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submitted as well that the defences of "repudiation" and "just cause" which have which have [sic] been pleaded in the present case have no basis in law or in fact and have been maintained throughout this litigation with the utmost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its written argument, Securities asserts that the extensive oral evidence and voluminous documentary evidence must be considered in light of Securities' assertion that Ms. Pavlis had a skewed perception of the facts throughout. In asking for a dismissal of the claim, Securities' submits the following:</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sad case. The Plaintiff has experienced a number of health problems, emotional strains and financial difficulties. Given the Plaintiff's once bright future, the current circumstances are unfortunate indeed.</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the Defendants are not obligated to pay compensation to the Plaintiff merely because her circumstances are difficult. Compensation is payable only if the Plaintiff proves that a number of legal tests have been met. Primarily, the Plaintiff must prove that HSBC Securities committed one or more of the five breaches alleged in paragraph 16 of the Statement of Claim, that any breach was fundamental and that any damages claimed arise from the breach.</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Pavlis' perception is that virtually every bad thing which has happened to her since 1999 has been caused by the malicious conduct of HSBC Securities and HSBC Bank. Ms. Pavlis believes she is entitled to compensation in the amount of several million dollars. Upon a careful review of the evidence it is clear that, over and over again, Ms. Pavlis' perceptions do not match reality. In fact, it seems clear that Ms. Pavlis' unjustified perceptions, her anger arising from her misperceptions and her lack of patience for the perceptions of others are the primary causes of Ms. Pavlis' current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the claims advanced by Ms. Pavlis, her evidence and the assumptions she made regarding the motives of Securities and of the Bank in the decisions they made which affected her and her interpretation of the evidence in the defendants' case, must all be considered against the backdrop of the Renaud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1999, Ms. Renaud became a client of Ms. Pavlis at the Bank. Ms. Renaud moved with Ms. Pavlis to Securities. Shortly after Mr. Clark arrived at Securities, Ms. Pavlis complained to him regarding what she determined to be an unauthorized, unilateral and unprofessional change in Ms. Renaud's risk tolerance status in regard to her investment account. Ms. Pavlis wrote a letter on her client's behalf and claims that Mr. Clark threatened to terminate her employment if she referred Ms. Renaud to an investigatory body. Through its Asset Management branch, Securities ultimately offered and Ms. Renaud accepted a modest cash settlement arising from this issue. Ms. Pavlis voiced concerns loudly and angrily about other clients who were in the same situation. She believed Securities had created these situations in breach of professional ethics.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Pavlis' evidence of her meeting with Mr. Clark over this matter is clear; she considered herself the only Securities representative who saw that there were ethical issues involved or who had a concern about those ethics. When Mr. Clark suggested he would look into the Renaud case, he advised Ms. Pavlis in rather colourful language to exercise caution in her approach: his words included the phrase, "you don't shit where you sleep". She interpreted his comments and his approach as a threat that he would fire her if she followed her stated desire to report this and other matters to the Securities Regulator. Clearly, she saw herself as the whistle blower and Mr. Clark as the agent of an employer attempting to cover up by threatening to fire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Pavlis' perception of subsequent events and her actions taken as a result are clearly coloured and informed by that interpretation. I am satisfied on all of the evidence that on a reasonable, objective standard, Ms. Pavlis' security of employment was not threatened by Mr. Clark in this episode despite Ms. Pavlis' honest but mistaken and fervently held belief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note that in paragraph 23 of her amended statement of claim, Ms. Pavlis makes her claim in constructive dismissal as against both defendants, jointly and severally, as well as a further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extensive damages arising therefrom against both defendants. In my view, there is no substance whatsoever to the claims against either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nor any substance to any of Ms. Pavlis' claims against the Bank. Therefore, in answer to the third issue identified at the beginning of my reasons, I find that there are no valid claims in law as between Ms. Pavlis and the defendant Bank. The only potentially tenable claims made by Ms. Pavlis are those made against Securities for constructive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 of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root, Ms. Pavlis' position in this action is based on allegations that Securities fundamentally breached the terms of its employment contract with her. In her statement of claim, Ms. Pavlis pleads that Securities fundamentally breached or repudiated the employment contract in five different ways, namely:</w:t>
      </w:r>
      <w:r>
        <w:rPr>
          <w:rFonts w:ascii="arial" w:eastAsia="arial" w:hAnsi="arial" w:cs="arial"/>
          <w:sz w:val="20"/>
          <w:lang w:val="en-US" w:eastAsia="en-US" w:bidi="ar-SA"/>
        </w:rPr>
        <w:cr/>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Securities failed to pay Ms. Pavlis' full remuneration by neglecting to pay her all of her trailer fees in a timely fashion;</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Securities also failed to pay Ms. Pavlis' full remuneration by neglecting to pay her all of her short- and long-term disability benefits;</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Securities charged Ms. Pavlis for errors on client accounts;</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Securities failed to provide Ms. Pavlis with agreed upon support staff; and</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Securities intercepted Ms. Pavlis' private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propose to set out the law of fundamental breach in order to make a decision on each separate but interrelated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For a fundamental breach to exist, substantial alteration to essential contractual terms must occur: </w:t>
      </w:r>
      <w:r>
        <w:rPr>
          <w:rFonts w:ascii="arial" w:eastAsia="arial" w:hAnsi="arial" w:cs="arial"/>
          <w:b/>
          <w:i/>
          <w:color w:val="000000"/>
          <w:sz w:val="20"/>
          <w:lang w:val="en-US" w:eastAsia="en-US" w:bidi="ar-SA"/>
        </w:rPr>
        <w:t>Farber v. Royal Trust Co.</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[1997] 1 S.C.R. 846</w:t>
        </w:r>
      </w:hyperlink>
      <w:r>
        <w:rPr>
          <w:rFonts w:ascii="arial" w:eastAsia="arial" w:hAnsi="arial" w:cs="arial"/>
          <w:color w:val="000000"/>
          <w:sz w:val="20"/>
          <w:lang w:val="en-US" w:eastAsia="en-US" w:bidi="ar-SA"/>
        </w:rPr>
        <w:t xml:space="preserve">, at paragraph 26. The failure of one party to properly adhere to each element of the contract does not suffice. In </w:t>
      </w:r>
      <w:r>
        <w:rPr>
          <w:rFonts w:ascii="arial" w:eastAsia="arial" w:hAnsi="arial" w:cs="arial"/>
          <w:b/>
          <w:i/>
          <w:color w:val="000000"/>
          <w:sz w:val="20"/>
          <w:lang w:val="en-US" w:eastAsia="en-US" w:bidi="ar-SA"/>
        </w:rPr>
        <w:t>Jedfro Investments (U.S.A.) Ltd. v. Jacyk</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[2007] 3 S.C.R. 679</w:t>
        </w:r>
      </w:hyperlink>
      <w:r>
        <w:rPr>
          <w:rFonts w:ascii="arial" w:eastAsia="arial" w:hAnsi="arial" w:cs="arial"/>
          <w:color w:val="000000"/>
          <w:sz w:val="20"/>
          <w:lang w:val="en-US" w:eastAsia="en-US" w:bidi="ar-SA"/>
        </w:rPr>
        <w:t>, at paragraph 21, the Supreme Court of Canada highlights the distinction between fundamental, or repudiatory, breaches and other breaches, stating, "[o]rdinary, non-repudiatory breach is consistent with ignoring the terms of an agreement. More is required to establish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For a breach to qualify as fundamental, it must be tantamount to the frustration of the contract either as a result of the </w:t>
      </w:r>
      <w:r>
        <w:rPr>
          <w:rFonts w:ascii="arial" w:eastAsia="arial" w:hAnsi="arial" w:cs="arial"/>
          <w:color w:val="000000"/>
          <w:sz w:val="20"/>
          <w:u w:val="single"/>
          <w:lang w:val="en-US" w:eastAsia="en-US" w:bidi="ar-SA"/>
        </w:rPr>
        <w:t>unequivocal refusal</w:t>
      </w:r>
      <w:r>
        <w:rPr>
          <w:rFonts w:ascii="arial" w:eastAsia="arial" w:hAnsi="arial" w:cs="arial"/>
          <w:color w:val="000000"/>
          <w:sz w:val="20"/>
          <w:lang w:val="en-US" w:eastAsia="en-US" w:bidi="ar-SA"/>
        </w:rPr>
        <w:t xml:space="preserve"> of one party to perform his or her contractual obligation or as a result of conduct which has destroyed the commercial purpose of the contract, thereby entitling the innocent party to be relieved from future performance: </w:t>
      </w:r>
      <w:r>
        <w:rPr>
          <w:rFonts w:ascii="arial" w:eastAsia="arial" w:hAnsi="arial" w:cs="arial"/>
          <w:b/>
          <w:i/>
          <w:color w:val="000000"/>
          <w:sz w:val="20"/>
          <w:lang w:val="en-US" w:eastAsia="en-US" w:bidi="ar-SA"/>
        </w:rPr>
        <w:t>Poole v. Tomenson Saunders Whitehead Ltd.</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[1987] 6 W.W.R. 273</w:t>
        </w:r>
      </w:hyperlink>
      <w:r>
        <w:rPr>
          <w:rFonts w:ascii="arial" w:eastAsia="arial" w:hAnsi="arial" w:cs="arial"/>
          <w:color w:val="000000"/>
          <w:sz w:val="20"/>
          <w:lang w:val="en-US" w:eastAsia="en-US" w:bidi="ar-SA"/>
        </w:rPr>
        <w:t xml:space="preserve"> (B.C.C.A.), at 282. The basic question is whether the breach strikes at the heart of the agreement in a manner that evinces an intention not to be bound by the contract any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case, Ms. Pavlis submits, among other things, that the defendants' failure to pay her trailer fees and disability entitlements (in the amount she calculates) in a timely fashion represents a fundamental breach of the employment contract. Thus the issue of fundamental breach as it relates to compensation distils down to the following question: does the employer's failure to pay the full compensation agreed upon under the employment contract constitute a fundamental breach of that contract? Some of the cases answer this question in the positive, others in the negative; the answer turns in large part on how much money the employer fails to pay, relative to the employee's total compensation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authorities on point suggest that an employer's failure to pay a portion of an employee's salary may amount to a fundamental breach where the unpaid amount makes up a significant or substantial part of the employee's total remuneration. Relative dollar amounts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Comparing the case law establishes that the failure to pay an employee up to approximately 9-10% of his or her average salary without more does not amount to a fundamental breach: </w:t>
      </w:r>
      <w:r>
        <w:rPr>
          <w:rFonts w:ascii="arial" w:eastAsia="arial" w:hAnsi="arial" w:cs="arial"/>
          <w:b/>
          <w:i/>
          <w:color w:val="000000"/>
          <w:sz w:val="20"/>
          <w:lang w:val="en-US" w:eastAsia="en-US" w:bidi="ar-SA"/>
        </w:rPr>
        <w:t>Poole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McSeveney v. Phone Directories Company, Inc.</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2005 BCSC 1510</w:t>
        </w:r>
      </w:hyperlink>
      <w:r>
        <w:rPr>
          <w:rFonts w:ascii="arial" w:eastAsia="arial" w:hAnsi="arial" w:cs="arial"/>
          <w:color w:val="000000"/>
          <w:sz w:val="20"/>
          <w:lang w:val="en-US" w:eastAsia="en-US" w:bidi="ar-SA"/>
        </w:rPr>
        <w:t xml:space="preserve">. A failure to pay between 14-17% can amount to a fundamental breach, but only in conjunction with some other significant unilateral change to the employment contract: </w:t>
      </w:r>
      <w:r>
        <w:rPr>
          <w:rFonts w:ascii="arial" w:eastAsia="arial" w:hAnsi="arial" w:cs="arial"/>
          <w:b/>
          <w:i/>
          <w:color w:val="000000"/>
          <w:sz w:val="20"/>
          <w:lang w:val="en-US" w:eastAsia="en-US" w:bidi="ar-SA"/>
        </w:rPr>
        <w:t>Doran v. Ontario Power Generation Inc</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(2007), 61 C.C.E.L. (3d) 232</w:t>
        </w:r>
      </w:hyperlink>
      <w:r>
        <w:rPr>
          <w:rFonts w:ascii="arial" w:eastAsia="arial" w:hAnsi="arial" w:cs="arial"/>
          <w:color w:val="000000"/>
          <w:sz w:val="20"/>
          <w:lang w:val="en-US" w:eastAsia="en-US" w:bidi="ar-SA"/>
        </w:rPr>
        <w:t xml:space="preserve"> (Ont. S.C.). A reduction in remuneration amounting to anywhere between 20-46% (and presumably anything greater) by itself has been held to amount to a fundamental breach: </w:t>
      </w:r>
      <w:r>
        <w:rPr>
          <w:rFonts w:ascii="arial" w:eastAsia="arial" w:hAnsi="arial" w:cs="arial"/>
          <w:b/>
          <w:i/>
          <w:color w:val="000000"/>
          <w:sz w:val="20"/>
          <w:lang w:val="en-US" w:eastAsia="en-US" w:bidi="ar-SA"/>
        </w:rPr>
        <w:t>Boyd v. Whistler Mountain Ski Corp.</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[1990] B.C.J. No. 821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Streight v. Dean</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2002 BCSC 399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Wood v. Owen De Bathe Ltd. (c.o.b. Canadian Tire)</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[1998] B.C.J. No. 288</w:t>
        </w:r>
      </w:hyperlink>
      <w:r>
        <w:rPr>
          <w:rFonts w:ascii="arial" w:eastAsia="arial" w:hAnsi="arial" w:cs="arial"/>
          <w:color w:val="000000"/>
          <w:sz w:val="20"/>
          <w:lang w:val="en-US" w:eastAsia="en-US" w:bidi="ar-SA"/>
        </w:rPr>
        <w:t xml:space="preserve"> (S.C.), aff'd </w:t>
      </w:r>
      <w:hyperlink r:id="rId756" w:history="1">
        <w:r>
          <w:rPr>
            <w:rFonts w:ascii="arial" w:eastAsia="arial" w:hAnsi="arial" w:cs="arial"/>
            <w:i/>
            <w:color w:val="0077CC"/>
            <w:sz w:val="20"/>
            <w:u w:val="single"/>
            <w:shd w:val="clear" w:color="auto" w:fill="FFFFFF"/>
            <w:lang w:val="en-US" w:eastAsia="en-US" w:bidi="ar-SA"/>
          </w:rPr>
          <w:t>1999 BCCA 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Farquhar v. Butler Brothers Supplies Ltd.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(1988), 23 B.C.L.R. (2d) 89</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Ilkay v. Acadia Motors Ltd.</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2006 NBCA 103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now turn to the five primary claims set out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Trailer Fee Calculation - Statement of Claim, Paragraph 16(a)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stated earlier, the payment of trailer fees from a mutual fund company to an investment dealer and then to individual IAs was based on a complex formula involving a number of variables and dependent on accurate record-keeping which required continued updating and vigilance. The record-keeping was particularly susceptible to error when changes in personnel occurred, especially in regard to identification of the appropriate IA as advisors came and went and clients were reassigned to those advisors who remained in the employ of Securities. Change provided fertile ground for error and errors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fall of 2000, Ms. Pavlis had discussions with Securities office personnel about whether all of her clients were properly accounted for in the context of the payment of trailer fees. Securities staff looked into the issue. It was mutually determined that Ms. Pavlis was owed trailer fees and within six weeks the amounts missed were paid to her. All matters at that stage were handled amicably and professionally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fall of 2001, after a particularly complicated reorganization of clients due to the departure of two IAs, Ms. Pavlis became concerned that she was not receiving all of the trailer fees to which she was entitled. She testified she conducted her own "audit" as of September 30, 2001, and concluded she was owed trailer fees in the amounts referred to earlier. Securities eventually completed its own audit and found errors regarding trailer fees owed to Ms. Pavlis and to other IAs in the office. On May 1, 2002, the Toronto head office of Securities approved payments to several advisors, including Ms. Pavlis. On May 7, 2002, Ms. Pavlis was told the outcome of Securities' review, culminating in Securities' view that she was owed $1,926.29. Securities paid her this amount on May 24, 2002. On the evidence of Ms. Pavlis, she is still owed $4,044.24 in trailer fees. As mentioned previously, I take this to mean that Ms. Pavlis claims that she was initially owed $5,970.53 in missing trailer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Using the average of Ms. Pavlis' income over her three years with Securities, namely approximately $100,000, Securities failed to pay Ms. Pavlis between 2% and 6% of her average salary, depending on whose trailer fee calculations you accept. Securities calculated the missing trailer fees to approximately total $2,000, or 2% of Ms. Pavlis' average annual income. Ms. Pavlis calculated the missing trailer fees to approximately total $6,000, or 6% of her average annual income. The approximately $4,000 she claims is still owing is 4% of her average annual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Pavlis bears the onus of establishing that the amount of the trailer fees she claims was in fact owing. I am not persuaded that her methodology in the identification and calculation of trailer fees owed is to be preferred over that used by Securities. Ms. Pavlis has not met the onus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Even if I did find that Ms. Pavlis' calculations of the trailer fees were correct (which I do not), the amount she claimed she was owed is 6% of her average annual income and the amount she claims remained unpaid after May 24, 2002 is about 4% of her average annual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McSeveney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 9.3% reduction did not amount to a fundamental breach. In </w:t>
      </w:r>
      <w:r>
        <w:rPr>
          <w:rFonts w:ascii="arial" w:eastAsia="arial" w:hAnsi="arial" w:cs="arial"/>
          <w:b/>
          <w:i/>
          <w:color w:val="000000"/>
          <w:sz w:val="20"/>
          <w:lang w:val="en-US" w:eastAsia="en-US" w:bidi="ar-SA"/>
        </w:rPr>
        <w:t>Doran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14-17% reduction only qualified as a fundamental breach when paired with a change in job responsibilities. On the authorities, the trailer fees that were owed to Ms. Pavlis in relative dollars are not significant enough to constitute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also considered whether the near seven month delay by Securities (from November 2001 when Ms. Pavlis first passed the issue to Ms. Piazza to the date of payment on May 24, 2002) in paying Ms. Pavlis the amount of the trailer fees to which she was entitled, would, in the circumstances, amount to a fundamental breach. Again, Ms. Pavlis first raised the issue with Securities in November 2001 when she assigned her sales assistant, Ms. Piazza, the task of sorting out the missing trailer fees. By late November or early December 2001, Ms. Piazza was able to look at the issue in earnest. In the ensuing period, many people from Securities worked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delay from the time the issue was first raised to the eventual payment of the trailer fees is a significant one, especially when considered against the six weeks it took Securities to sort out the first instance of non-payment due to error in 2000. But even so, given the amount owed in relation to her overall compensation, the delay does not elevate non-payment of relatively small amounts of compensation to a point where it constitutes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all of the circumstances, I find that Securities did not fundamentally breach its employment contract by failing for approximately seven months to pay the trailer fees in the amount of $1,926.29 which it owed to Ms. Pavlis.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Disability Calculation - Statement of Claim, Paragraph 16(b)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Pavlis testified that because her income was incorrectly stated by the employer on her application for disability benefits (arising, she contends, from the error made in calculating the trailer fees owed to her), her disability payments were consequently incorrectly calculated and were too low. She testified that the shortfall on the short-term disability plan totals $2,907.31 and the shortfall in respect of long-term disability benefits totals $529.32, for a total shortfall of $3,436.63.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short-term disability payments were calculated on the basis of a formula, the terms of which are not in dispute. The dispute between the parties centers on the accurateness of the income figures plugged into that formula, bearing in mind the trailer fees owed and paid May 24, 2002 and the proper calculation of Ms. Pavlis' "base income". Ms. Pavlis contends the base income, which did not include the trailer fees owed in the sum she asserts is proper, led to a shortfall in the calculation of both her short-term and long-term disability benefits. Further, she contends that the shortfall which ensued was based on Securities' not only erroneous but "wilful and malicious"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Base income is defined in Securities' Short Term Disability Policy as follows: "Average monthly base salary plus average monthly commission during the previous 24 months x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Pavlis went on short-term disability on October 23, 2001. She calculates her base salary in part on a 24 month time frame. Securities on the other hand used the calendar months of November 1999 to October 2001 which, in effect, ignored one week of her 1999 income (a low income week) and added one week from 2001 (a higher earning week). Furthermore, Ms. Pavlis based her calculations partly on her T4s which include taxable benefits and paid holiday pay, neither of which equate to "base salary plus ... commission ..." as provided in the definition of the applicable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Furthermore, the evidence shows that the calculations of income for the purpose of a claim for disability benefits were made according to the reality of this workplace. I agree with the written submission of Securities at paragraph 67, namely that:</w:t>
      </w:r>
      <w:r>
        <w:rPr>
          <w:rFonts w:ascii="arial" w:eastAsia="arial" w:hAnsi="arial" w:cs="arial"/>
          <w:sz w:val="20"/>
          <w:lang w:val="en-US" w:eastAsia="en-US" w:bidi="ar-SA"/>
        </w:rPr>
        <w:cr/>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HSBC Securities there was always a timing difference between when income was earned and when it was paid. For example, trailer income was earned on an ongoing basis but was paid quarterly. As a further example, payouts were based upon grid levels estimated in advance which were adjusted at year end. Over the course of a two year period of time, these timing differences would balance out. Accruals and adjustments were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satisfied that the figures adopted by Securities are reliable. The figures utilized more than favoured Ms. Pavlis and were arguably more generous than she was entitled to. Ms. Pavlis has not met the onus upon her to prove that the figures used in calculating the consequent disability payments were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any event, even if Ms. Pavlis' figures were accepted as correct, she was, when on short-term disability, paid $30,873.46 in the first 15 weeks of eligibility and in the next 11 weeks she was paid $15,848.35. On long-term disability she was paid $8,506.23. The shortfall she alleges amounts to approximately 6.2% of what she was paid overall. Such a shortfall cannot, in the context of all of the evidence, amount to a fundamental breach of her employment contract with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Charge for Client Settlement - Statement of Claim, Paragraph 16(c)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Securities' policy in the compensation manual, which Ms. Pavlis relies upon as forming part of her employment contract, provided that "... client settlements ... will be charged on a net basis to the advisor ..." The policy clearly obligates an IA to accept responsibility for settlements reached between his or her client(s) and Securities whether or not the IA is/was "legally" at fault. In this case, a trading error was made on September 11, 2001 -- a chaotic day in the markets generally and Securities' office was no exception. In the result, a client settlement was reached and that client was paid compensation of $954.30. The evidence shows that the direct source of the error was either Ms. Pavlis or an office employee at the Toronto Mutual Fund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Clark discussed this matter with Ms. Pavlis and concluded that, notwithstanding the policy of absolute liability as regards the appropriate IA, the fair result would be to charge Ms. Pavlis with only one-half of the client settlement, namely $477.15. In the result and quite outside Securities' policy, discretion was exercised by Mr. Clark and exercised in favour of Ms. Pavlis. She claims the $477.15 was wrongfully charged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onus is on Ms. Pavlis to prove she was wrongfully, and in breach of her employment contract, charged one-half of this client settlement by Securities. Arguably, according to the terms of her employment, she ought to have paid the entire client settlement of $954.30. I cannot find that the client settlement charged to Ms. Pavlis amounted to a breach of her employment contract at all. It follows that this charge cannot amount in law to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Access to Sales Support - Statement of Claim, Paragraph 16(d)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Pavlis contends that with increased sales support she would have increased her income. She contends that Securities did not provide the sales support she was entitled to pursuant to her employment contract. Ms. Pavlis does not take particular issue with the level of sales support she received through a receptionist and Ms. Van Grinsven in the first five months of her employment. Thereafter, and through to October 2001, she received sales support from Ms. Piazza amounting to approximately one-third of Ms. Piazza's time. Ms. Pavlis took issue with this and wanted more assistance. She contends further that Securities, through Mr. Clark, refused to treat her as another IA or other IAs were treated in this regard, thereby singling her out and leaving her without the requisite tools to do her job well or even 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Securities' policy in this regard was based on productivity; sales support was supplied to IAs in varying increments depending on the revenue production of the particular 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Pavlis raised this issue repeatedly with Mr. Clark who told her he considered the request unjustified based on Ms. Pavlis' revenue production. At one point she asked that she be allowed to hire and pay her own support person. Mr. Clark denied that request. He testified that the Victoria office was already staffed at a higher than justifiable level, that such a support person, even if hired and paid for by Ms. Pavlis, would be another employee of Securities and that his supervisors would not in the circumstances support such a hiring. He also reiterated that, in any event, Ms. Pavlis was provided with the level of support to which she was entitled pursuant to the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Eventually, Ms. Pavlis advised Securities she would not return to work unless and until the requested sales support was made available to her; the level she demanded and described was one which she considered she was contractually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contemplating her return from disability leave, Ms. Pavlis honestly but mistakenly understood that she would receive no sales support at all upon her resumption of employment. In one email, Mr. Clark admitted that "we will be short support staff for Marcia's planned return". However, the evidence does not show that upon her return from disability leave she would have been entirely without sales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that the overall sales support provided fell within the level Ms. Pavlis was entitled to under her employment contract. Securities' position in this regard was reasonable in all the circumstances. I am satisfied that there was a probability that immediately upon her return from disability leave the level of sales support available to Ms. Pavlis would fall short of her contractual entitlement but I am not satisfied that such a level would prevail over the long-term nor am I satisfied that the level available went far enough outside of her entitlement under her employment contract as to constitute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Pavlis was not entitled to tie her return to work with the provision of sales support at a level she unilaterally determined was adequate when she knew or ought to have known that the demanded level fell outside the stated policy which she accepted when she took the position with Securities. The matter of sales support entitlement was clearly one which reasonable parties to an employment contract would be required to discuss. Reasonable people may even disagree. However, the evidence shows that Ms. Pavlis' view of her entitlement was an entitlement beyond that which she was contractually entitled to. Her view did not prevail. It does not follow that she was then entitled to treat the lack of consensus on this issue and on the others she raises, as a fundamental breach of her employment contract entitling her to reasonably conclude that it was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Confidential Communications - Statement of Claim, Paragraph 16(e)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Pavlis proved that in September 2001, one of her business calls made at work was taped by Securities. She testified and I accept that she did not know this conversation was taped until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shows that conversations with the mutual fund trading desk were routinely taped. Securities' stated reason for invoking this practice was that such calls concerned trade orders and taping the calls provided an accurate record of the orders. Ms. Pavlis testified and I accept that she was unaware that calls to the mutual fund desk were routinely taped by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evidence as part of Exhibit 1 is an outline of Securities' "Principles of Conduct". This guide informs an employee of Securities' position in respect of employee privacy. The relevant portion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Communications between employees using HSBC Securities [sic] system are the property of HSBC Securities, and may be monitored and accessed by authorized HSBC Securities representative [sic] when there is an identified need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Pavlis testified that she considered the taping to be illegal and a serious breach of her privacy. She raised the matter more than once with Mr. Clark but was unsatisfied with his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Regardless of Ms. Pavlis' personal view of privacy, I am not persuaded that the evidence supports her contention that taping her conversation in September 2001 was a breach of her employment contract, fundamental or otherwise, or that by recording this conversation her employer singled her out or treated her uniquely.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all of the evidence, I have concluded that Ms. Pavlis has not proved that the allegations she asserts, whether individually or taken together, constitute a fundamental breach of her employment contract. Accordingly, I find Ms. Pavlis has not proved that she was constructively dismissed from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Comment on </w:t>
      </w:r>
      <w:r>
        <w:rPr>
          <w:rFonts w:ascii="arial" w:eastAsia="arial" w:hAnsi="arial" w:cs="arial"/>
          <w:b/>
          <w:i/>
          <w:color w:val="000000"/>
          <w:sz w:val="20"/>
          <w:u w:val="single"/>
          <w:lang w:val="en-US" w:eastAsia="en-US" w:bidi="ar-SA"/>
        </w:rPr>
        <w:t>Wallace</w:t>
      </w:r>
      <w:r>
        <w:rPr>
          <w:rFonts w:ascii="arial" w:eastAsia="arial" w:hAnsi="arial" w:cs="arial"/>
          <w:b/>
          <w:color w:val="000000"/>
          <w:sz w:val="20"/>
          <w:u w:val="single"/>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Obviously, having found no fundamental breach and therefore no constructive dismissal, no damages flow. Accordingly, the consideration of notice in the circumstances is purely academic. Similarly, a consideration of the so-called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"extension" or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damages which relate to bad faith is also academic. A discussion of bad faith in the manner of dismissal only has meaning and relevance if constructive dismissal occurred. Despite this, however, I have concluded that Ms. Pavlis' claims in paragraphs 19, 21, 22 and 23 of her statement of claim, assertions of acts of harassment, harm and maliciousness, which arguably could go to this issue, require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most recent Supreme Court of Canada authority on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"extensions", </w:t>
      </w:r>
      <w:r>
        <w:rPr>
          <w:rFonts w:ascii="arial" w:eastAsia="arial" w:hAnsi="arial" w:cs="arial"/>
          <w:b/>
          <w:i/>
          <w:color w:val="000000"/>
          <w:sz w:val="20"/>
          <w:lang w:val="en-US" w:eastAsia="en-US" w:bidi="ar-SA"/>
        </w:rPr>
        <w:t>Keays v. Honda Canada Inc.</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2008 SCC 39</w:t>
        </w:r>
      </w:hyperlink>
      <w:r>
        <w:rPr>
          <w:rFonts w:ascii="arial" w:eastAsia="arial" w:hAnsi="arial" w:cs="arial"/>
          <w:color w:val="000000"/>
          <w:sz w:val="20"/>
          <w:lang w:val="en-US" w:eastAsia="en-US" w:bidi="ar-SA"/>
        </w:rPr>
        <w:t>, provides the following instructions at paragraphs 59 and 62 (emphasis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is no reason to retain the distinction between "true aggravated damages" resulting from a separate cause of action and moral damages resulting from conduct in the manner of termination. Damages attributable to conduct in the manner of dismissal are always to be awarded under the </w:t>
      </w:r>
      <w:r>
        <w:rPr>
          <w:rFonts w:ascii="arial" w:eastAsia="arial" w:hAnsi="arial" w:cs="arial"/>
          <w:i/>
          <w:color w:val="000000"/>
          <w:sz w:val="20"/>
          <w:lang w:val="en-US" w:eastAsia="en-US" w:bidi="ar-SA"/>
        </w:rPr>
        <w:t>Hadley</w:t>
      </w:r>
      <w:r>
        <w:rPr>
          <w:rFonts w:ascii="arial" w:eastAsia="arial" w:hAnsi="arial" w:cs="arial"/>
          <w:color w:val="000000"/>
          <w:sz w:val="20"/>
          <w:lang w:val="en-US" w:eastAsia="en-US" w:bidi="ar-SA"/>
        </w:rPr>
        <w:t xml:space="preserve"> principle. Moreover, </w:t>
      </w:r>
      <w:r>
        <w:rPr>
          <w:rFonts w:ascii="arial" w:eastAsia="arial" w:hAnsi="arial" w:cs="arial"/>
          <w:color w:val="000000"/>
          <w:sz w:val="20"/>
          <w:u w:val="single"/>
          <w:lang w:val="en-US" w:eastAsia="en-US" w:bidi="ar-SA"/>
        </w:rPr>
        <w:t>in cases where damages are awarded, no extension of the notice period is to be used to determine the proper amount to be paid</w:t>
      </w:r>
      <w:r>
        <w:rPr>
          <w:rFonts w:ascii="arial" w:eastAsia="arial" w:hAnsi="arial" w:cs="arial"/>
          <w:color w:val="000000"/>
          <w:sz w:val="20"/>
          <w:lang w:val="en-US" w:eastAsia="en-US" w:bidi="ar-SA"/>
        </w:rPr>
        <w:t xml:space="preserve">. The amount is to be fixed according to the same principles and in the same way as in all other cases dealing with moral damages. Thus, if the employee can prove that the manner of dismissal caused mental distress that was in the contemplation of the parties, those damages will be awarded </w:t>
      </w:r>
      <w:r>
        <w:rPr>
          <w:rFonts w:ascii="arial" w:eastAsia="arial" w:hAnsi="arial" w:cs="arial"/>
          <w:color w:val="000000"/>
          <w:sz w:val="20"/>
          <w:u w:val="single"/>
          <w:lang w:val="en-US" w:eastAsia="en-US" w:bidi="ar-SA"/>
        </w:rPr>
        <w:t>not through an arbitrary extension of the notice period, but through an award that reflects the actual damages</w:t>
      </w:r>
      <w:r>
        <w:rPr>
          <w:rFonts w:ascii="arial" w:eastAsia="arial" w:hAnsi="arial" w:cs="arial"/>
          <w:color w:val="000000"/>
          <w:sz w:val="20"/>
          <w:lang w:val="en-US" w:eastAsia="en-US" w:bidi="ar-SA"/>
        </w:rPr>
        <w:t>. Examples of conduct in dismissal resulting in compensable damages are attacking the employee's reputation by declarations made at the time of dismissal, misrepresentation regarding the reason for the decision, or dismissal meant to deprive the employee of a pension benefit or other right, permanent status for instance ... Damages for conduct in the manner of dismissal are compensatory; punitive damages are restricted to advertent wrongful acts that are so malicious and outrageous that they are deserving of punishment on their own. This distinction must guide judges in their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Here the Supreme Court makes it clear that the notion of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"extensions" to the notice period must now be put to rest. Any bad conduct on the employer's part can be considered along with all of the other aspects of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damages compensate a dismissed employee for damages suffered as a result of an employer's bad conduct in the manner of dismissal. For example, if an employer engages in unfair practices or bad faith conduct such as lying, acting in a misleading fashion or being unduly insensitive, the dismissed employee can recover damages: see </w:t>
      </w:r>
      <w:r>
        <w:rPr>
          <w:rFonts w:ascii="arial" w:eastAsia="arial" w:hAnsi="arial" w:cs="arial"/>
          <w:b/>
          <w:i/>
          <w:color w:val="000000"/>
          <w:sz w:val="20"/>
          <w:lang w:val="en-US" w:eastAsia="en-US" w:bidi="ar-SA"/>
        </w:rPr>
        <w:t>Keays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57. In </w:t>
      </w:r>
      <w:r>
        <w:rPr>
          <w:rFonts w:ascii="arial" w:eastAsia="arial" w:hAnsi="arial" w:cs="arial"/>
          <w:b/>
          <w:i/>
          <w:color w:val="000000"/>
          <w:sz w:val="20"/>
          <w:lang w:val="en-US" w:eastAsia="en-US" w:bidi="ar-SA"/>
        </w:rPr>
        <w:t>Wood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plaintiff claimed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damages. The trial judge refused to award such damages because the conduct of the employer was not "egregious enough" (see paragraph 33). The use of the phrase "egregious enough" connotes a requirement for outrageously bad or reprehensible behaviour on the part of the employer. In </w:t>
      </w:r>
      <w:r>
        <w:rPr>
          <w:rFonts w:ascii="arial" w:eastAsia="arial" w:hAnsi="arial" w:cs="arial"/>
          <w:b/>
          <w:i/>
          <w:color w:val="000000"/>
          <w:sz w:val="20"/>
          <w:lang w:val="en-US" w:eastAsia="en-US" w:bidi="ar-SA"/>
        </w:rPr>
        <w:t>Streight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Macaulay J. found the conduct of the defendant employer insensitive and misleading (though not intentionally so) but still refused to award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my view of the evidence, even if I had found that Securities did constructively dismiss Ms. Pavlis by fundamentally breaching the terms of its employment contract (which, again, I do not), the behaviour of Securities simply would not meet the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test. I note that Ms. Pavlis, until late May, did not ask for an advance of the funds she was owed nor did she describe her acute financial need to Securities as numerous staff members worked through the missing trailer fee issue. I also note that Securities failed to offer an advance to Ms. Pavlis despite knowing that they owed her a certain sum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took Securities approximately seven months to quantify and pay the outstanding amount. The payroll system of Securities was cumbersome in this regard. While I am satisfied that the "need" of an employee for his or her rightful compensation is not determinative of this issue, it is unfortunate that Securities made no offer to advance funds to Ms. Pavlis and that she did not ask for such an advance early on. While I am puzzled that an entity such as Securities would require numerous personnel, both in the Victoria branch and in the head office in Toronto, to review the trailer fee issue and take seven months to conclude that they had in fact underpaid Ms. Pavlis in the amount of $1,926.29, that unfortunate reality goes more to disorganization, miscommunication and/or confusion. It falls far short of amounting to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cannot say whether Securities would have acceded to an advance request had Ms. Pavlis raised it early on in that seven month period. For whatever reason, she simply did not avail herself of the opportunity to discuss the matter. When, at the end of May, she made the demand for an advance, her attitude was unsettlingly threatening and vitriolic. While Securities offered to discuss matters generally with Ms. Pavlis in a letter dated May 31, 2002, it appears she did not receive that letter until June 5, 2002 when Securities attached the letter to an email. In that email, Ms. Gallagher states that the May 31, 2002 letter was sent by courier on June 3, 2002. Upon receipt of the letter, however, Ms. Pavlis did not take up Securities' offer to discuss matters. She had already concluded that she had been constructively dismissed and therefore had not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that point, the relationship between Ms. Pavlis and Securities had clearly broken down. It would have required enormous effort, reason, and compromise on the part of all involved to repair it as well as a desire to do so, none of which either party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Finally, if I had to decide the issue of </w:t>
      </w:r>
      <w:r>
        <w:rPr>
          <w:rFonts w:ascii="arial" w:eastAsia="arial" w:hAnsi="arial" w:cs="arial"/>
          <w:b/>
          <w:i/>
          <w:color w:val="000000"/>
          <w:sz w:val="20"/>
          <w:lang w:val="en-US" w:eastAsia="en-US" w:bidi="ar-SA"/>
        </w:rPr>
        <w:t>Wallace</w:t>
      </w:r>
      <w:r>
        <w:rPr>
          <w:rFonts w:ascii="arial" w:eastAsia="arial" w:hAnsi="arial" w:cs="arial"/>
          <w:color w:val="000000"/>
          <w:sz w:val="20"/>
          <w:lang w:val="en-US" w:eastAsia="en-US" w:bidi="ar-SA"/>
        </w:rPr>
        <w:t xml:space="preserve"> damages, I would note that Ms. Pavlis testified that further evidence of bad faith and unfair conduct on the part of Securities may be found in the Uniform Termination Notice in which Securities stated that Ms. Pavlis "failed to meet expectations of the business". This was not a lie nor was it a malicious statement. In any event, Ms. Pavlis' claim that this document destroyed her ability to secure new employment (and therefore to mitigate) is not persuasive. A June 6, 2003 letter from Edward Jones shows that Ms. Pavlis was able to secure an employment opportunity in the banking world following the events at Securities. It appears that her bankruptcy, not her Termination Notice, put that opportunity on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Acknowledging that Ms. Pavlis represented herself and did a masterful job in doing so, and considering that the evidence comprised hundreds of documents and lengthy oral testimony, I have taken quite some time going over that evidence. Much is at stake for Ms. Pavlis. Much is at stake for Securities. The chain of events outlined in the evidence led to a regrettable conclusion but that chain does not give rise to a valid claim in law. While the evidence shows there was some contact between Ms. Pavlis and the Bank and much contact between Ms. Pavlis and Securities on various issues relating to her employment -- pages and pages of emails for example -- contact is not synonymous with communication or problem solving. It appears that meaningful, constructive communication between the parties broke down at pivotal points in their history together. Miscommunication or missed opportunities to effectively communicate may be human foibles but they are not actionable in and of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Accordingly, Ms. Pavlis'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requested, there is liberty to apply in regard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8"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Petersen v. Cromwell Restoration Ltd., [2008] I.L.R. para. G-2198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May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S020075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[2008] I.L.R. para. G-2198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[2008] B.C.J. No. 872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2008 BCSC 601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Petersen v. Cromwell Restoration Ltd. and Canadian Northern Shield Insurance Company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36"/>
      <w:bookmarkEnd w:id="273"/>
      <w:r>
        <w:rPr>
          <w:rFonts w:ascii="arial" w:eastAsia="arial" w:hAnsi="arial" w:cs="arial"/>
          <w:b/>
          <w:color w:val="000000"/>
          <w:sz w:val="20"/>
          <w:lang w:val="en-US" w:eastAsia="en-US" w:bidi="ar-SA"/>
        </w:rPr>
        <w:t xml:space="preserve">Negligent repair — No evidence motion — Plaintiff suffered severe injury when she entered her home, which had been treated with ozone — Plaintiff had entered home on advice of her insurance adjuster, who was aware that repair was being carried out on the premises — Defendants brought no evidence motion after plaintiff rested her case — Motion dismissed — Sufficient evidence to support plaintiff's position — Supreme Court Rules, </w:t>
      </w:r>
      <w:r>
        <w:rPr>
          <w:rFonts w:ascii="arial" w:eastAsia="arial" w:hAnsi="arial" w:cs="arial"/>
          <w:b/>
          <w:i/>
          <w:color w:val="000000"/>
          <w:sz w:val="20"/>
          <w:lang w:val="en-US" w:eastAsia="en-US" w:bidi="ar-SA"/>
        </w:rPr>
        <w:t>B.C. Reg. 221/90</w:t>
      </w:r>
      <w:r>
        <w:rPr>
          <w:rFonts w:ascii="arial" w:eastAsia="arial" w:hAnsi="arial" w:cs="arial"/>
          <w:b/>
          <w:color w:val="000000"/>
          <w:sz w:val="20"/>
          <w:lang w:val="en-US" w:eastAsia="en-US" w:bidi="ar-SA"/>
        </w:rPr>
        <w:t>, Rules 40(8), 40(9).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36"/>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Petersen, needed repair and restoration work to her home after a fire. Canadian Northern Shield Insurance Company ("CNS") arranged for Cromwell Restoration Ltd. ("Cromwell") to carry out such activities. Between December 9, 1999, and January 6, 2000, Cromwell completed their services, which included using ozone-generating machines. On January 6, 2000, Petersen, who had been staying away from the home during the repairs, entered her home on the advice of a CNS adjuster, in order to pick up her mail. She inhaled ozone while in the home, in concentrations high enough to seriously injure her respiratory system, and she developed pneumonia and pleurisy, which caused debilitating chest pains and shortness of breath. Petersen was treated in the hospital for a long period. She commenced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CNS and Cromwell, and they in turn brought a no evidence motion after the close of her case.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28"/>
            <w:bookmarkEnd w:id="275"/>
            <w:r>
              <w:rPr>
                <w:rFonts w:ascii="arial" w:eastAsia="arial" w:hAnsi="arial" w:cs="arial"/>
                <w:color w:val="000000"/>
                <w:sz w:val="20"/>
                <w:lang w:val="en-US" w:eastAsia="en-US" w:bidi="ar-SA"/>
              </w:rPr>
              <w:t>HELD: The motion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was satisfied that sufficient evidence existed to support Petersen's claim. The Court disagreed with CNS and Cromwell's position that Petersen failing to call an expert regarding industry standards was fatal to her case; it found that the standard could be derived from evidence of the general practice at that time. Further, it was for the Court to decide whether the inference Petersen sought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be deduced from the evidence, if accepted. It was not for the Court to decide whether or not the trier of fact should accept that evidence. The Court concluded that a properly instructed jury could make the requisite finding.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Counsel_36"/>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I.G. Waddell for the plaintiff; D.H. Taylor for the defendant Cromwell Restoration Ltd.; J.D. Fisher for the defendant Canadian Northern Shield.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37"/>
      <w:bookmarkEnd w:id="277"/>
      <w:r>
        <w:pict>
          <v:line id="_x0000_s1211" style="position:absolute;z-index:2517995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No Evidence Motion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B.I. COHEN J."/>
            <w:bookmarkEnd w:id="278"/>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jointly brought a no evidence motion following the close of the plaintiff's case. I dismissed the motion with reasons to follow.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her Statement of Claim, the plaintiff alleges, as follows:</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fire damage, on or about December 9, 1999 Canadian Northern Shield arranged for Cromwell to clean and restore the plaintiff's home.</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between December 9, 1999 and January 6, 2000, Cromwell made various efforts to clean and deodorize the plaintiff's home, including by the use of ozone generating devices.</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Ozone is a toxic gas which, when inhaled, can cause damage to the respiratory system.</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2000, on the advice of an adjuster in the employ of Canadian Northern Shield, the plaintiff entered her house for the purpose of picking up her mail, at which time she inhaled ozone in a sufficiently high concentration as to cause serious injury to her respiratory system.</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result of the said respiratory injury, the plaintiff developed pleurisy and pneumonia, causing debilitating chest pain and shortness of breath for which she required prolonged treatment in hospital.</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defendants were negligent in encouraging or permitting the plaintiff to return to her home before ensuring that the concentrations of ozone in all parts of her home were within acceptable levels.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Cromwell was negligent in using ozone at unsafe concentrations, in failing to properly ventilate the plaintiff's home, and in failing to warn the plaintiff of the risk of ozone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submitted that the plaintiff failed to adduce evidence on the standard of care of either of the defendants, or that such breach caused the plaintiff's injury, and the nature of that injury, or that such injury resulted in damages that are foreseeable and not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argued that in a case such as this, expert evidence on the standard of care, breach of the standard of care, and causation, both scientifically and medically, is required to be put in by the plaintiff in her case in chief to meet the burden of proof required of her, in order that a properly instructed jury, acting reasonably, could find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asserted that the events claimed by the plaintiff underlying her litigation are not such every day occurrences analogous to a motor vehicle accident or a slip and fall accident where lay persons may, without expert assistance, draw inferences as to the standard of care and causation from 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contended that a lay person is not familiar with the standard of care applicable to insurance adjusters or a fire restoration company retained by the plaintiff to effect emergency repairs to her home, and clear or repair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Nor, argued counsel, would a lay person be able to infer:</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high concentration of ozone existed in her house six days after the ozone application was completed;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such a concentration of ozone was or could have been toxic, and if toxic, whether the concentration of ozone caused or contributed to her respiratory symptoms that caused the pneumonia and pleurisy of which the plaintiff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Rule 40(8) and (9) of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state, as follows: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there is no evidence to support the plaintiff's case;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defendant is entitled to make an application under subrule (8) without being called upon to elect whether or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text, John Sopinka, Sidney N. Lederman &amp; Alan W.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2d ed. (Toronto: Butterworths, 1999) at 139, the appropriate test on a no evidence motion is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in performing this function, does not decide whether he or she believes the evidence. Rather, the judge decides whether there is any evidence, if left uncontradicted, to satisfy a reasonable person. The judge must conclude whether a reasonable trier of fact could find in the plaintiff's favour if it believed the evidence given in the trial up to that point. The judge does not decide whether the trier of fact should accept the evidence, but whether the inference that the plaintiff seeks in his or her favour could be drawn from the evidence adduced, if the trier of fact chose to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relied heavily upon the decision in </w:t>
      </w:r>
      <w:r>
        <w:rPr>
          <w:rFonts w:ascii="arial" w:eastAsia="arial" w:hAnsi="arial" w:cs="arial"/>
          <w:b/>
          <w:i/>
          <w:color w:val="000000"/>
          <w:sz w:val="20"/>
          <w:lang w:val="en-US" w:eastAsia="en-US" w:bidi="ar-SA"/>
        </w:rPr>
        <w:t>Seiler v. Mutual Fire Insurance Co. et al.</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2003 BCSC 1423</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4 C.C.L.I. (4th) 308</w:t>
        </w:r>
      </w:hyperlink>
      <w:r>
        <w:rPr>
          <w:rFonts w:ascii="arial" w:eastAsia="arial" w:hAnsi="arial" w:cs="arial"/>
          <w:color w:val="000000"/>
          <w:sz w:val="20"/>
          <w:lang w:val="en-US" w:eastAsia="en-US" w:bidi="ar-SA"/>
        </w:rPr>
        <w:t>, a case where the plaintiffs brought an action against their insurer, an insurance adjuster company and that company's employee, and against the restoration contractor, Cromwell, for two incidents of water damage to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August 1998, a water pipe burst and leaked over several days while the plaintiffs were on vacation, flooding two floors in their home and causing loss and damage. The damage was repaired by Cromwell. The plaintiffs detected no mould in their home after these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November 1998, a windstorm blew 1,000 square feet of roof off the plaintiffs' house, and within hours, Cromwell secured the roof with a tarp and installed dryers inside the house. The roof continued to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January 1999, another contractor was engaged to effect roof repairs and Cromwell effected the repairs to the water damaged portions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alleged that mould later developed in the walls of the house, rendering the house "toxic", and resulting in health problems for the plaintiffs and their children, two of whom allegedly suffered an exacerbation of asthma and allergies. The plaintiffs alleged that they were forced to sell their toxic house at a reduced price and move to a less desirable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claimed that Cromwell breached their contract and were negligent in the repairs and failed to advise the plaintiffs on prudent repairs disallowed by the adjuster company's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also alleged against the adjuster company and its employee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provide proper advice to the plaintiffs on the repairs, and the plaintiffs relied on such advice concerning the repairs and restoration work. Further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made for exposing the plaintiffs to an unreasonable risk of harm in failing to warn of hazards arising after the completion of the restoration.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settled their claim with the insurer before trial, but continued against the adjuster company, its employee and Cromwell. A Third Party Claim by the insurer against the adjuster company and its employee was adjourned by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close of the plaintiffs' case, the defendants applied for a dismissal of the claim under Rule 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allowed the motion and dismissed the plaintiffs' case as Edwards J. found that expert evidence was necessary to establish the appropriate standards of care the defendants had to meet in the execution of their functions in regards to the plaintiffs' claim against their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paragraphs 15-19, 25, 32, and 38, Edwards 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Regardless of whether the plaintiffs' claim is in tort or contract, a key element they must prove is that the defendants failed to meet the tort law standards of care required of professionals in their respective disciplines, or standards they implicitly warranted in any contract that they would meet in carrying out the work they did. That work was insurance adjusting by Brouwer and Clingwall and water damage restoration by Cromwell.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short point is that there is no expert evidence of what standards of care are required of the defendants so there is no basis upon which the Court can make a key finding of fact, that is, breach of the appropriate standards, by any of the three defendants, necessary for the plaintiffs' action to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submission is that this is not a case where a breach of the standard of professional competence is obvious to a lay person. It is not a case, like that posited by the Court in a question to counsel for Cromwell, of leaving a gaping hole in the roof. Nor is it a case like that posited by counsel for the adjuster, of the adjuster failing to secure the house against vandals.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 is it similar to a typical accident claim where the circumstances of a motor vehicle crash permit an inference of a breach of duty of care by the driver who caused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there is no evidence of any obvious structural or even cosmetic shortcomings in the ultimate repairs done by Cromwell on Brouwer's instructions. What is primarily alleged is that there is latent toxicity, due to mould growth, which caused health problems and lowered the value of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believe that their health problems and those of their children are attributable to mould hidden in the house. They may be right, but since the existence of mould is not established by testing or observation and the causal relationship between mould and disease is not a matter of common knowledge, expert evidence is required to establish both the presence of mould at toxic levels in the house and a link between mould and the symptoms experienced by the plaintiffs' family members. There is no such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counsel's responses are that there is no evidence of any standards of care, no evidence that the defendants failed to meet the requisite standards of care nor any evidence that if the defendants had met whatever standards of care the law imposes on them as professionals, all toxic mould or any other health hazards in the house would have been eradicated, if indeed any such mould or other hazards had started to develop when the house was flooded.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concluded that the defendants' no evidence motions must succeed. Expert evidence is necessary to establish the appropriate standards of care these defendants had to meet in the execution of their functions in regard to the plaintiffs' claim against their insurer. There is no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applied to the Court of Appeal for an extension of time to file a Notice of Appeal and the defendants opposed on the basis that there was no merit to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Finch C.J.B.C. (in Chambers) at </w:t>
      </w:r>
      <w:hyperlink r:id="rId769"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5 C.C.L.I. (4th) 176</w:t>
        </w:r>
      </w:hyperlink>
      <w:r>
        <w:rPr>
          <w:rFonts w:ascii="arial" w:eastAsia="arial" w:hAnsi="arial" w:cs="arial"/>
          <w:color w:val="000000"/>
          <w:sz w:val="20"/>
          <w:lang w:val="en-US" w:eastAsia="en-US" w:bidi="ar-SA"/>
        </w:rPr>
        <w:t>, dismissed the plaintiffs' application. In considering the trial decision, His Lordship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the learned trial judge, </w:t>
      </w:r>
      <w:hyperlink r:id="rId768" w:history="1">
        <w:r>
          <w:rPr>
            <w:rFonts w:ascii="arial" w:eastAsia="arial" w:hAnsi="arial" w:cs="arial"/>
            <w:i/>
            <w:color w:val="0077CC"/>
            <w:sz w:val="20"/>
            <w:u w:val="single"/>
            <w:shd w:val="clear" w:color="auto" w:fill="FFFFFF"/>
            <w:lang w:val="en-US" w:eastAsia="en-US" w:bidi="ar-SA"/>
          </w:rPr>
          <w:t>[2003] B.C.J. No. 2151</w:t>
        </w:r>
      </w:hyperlink>
      <w:r>
        <w:rPr>
          <w:rFonts w:ascii="arial" w:eastAsia="arial" w:hAnsi="arial" w:cs="arial"/>
          <w:color w:val="000000"/>
          <w:sz w:val="20"/>
          <w:lang w:val="en-US" w:eastAsia="en-US" w:bidi="ar-SA"/>
        </w:rPr>
        <w:t>, held that the proof failed on two counts. First he held there was no evidence on which the court could find the standard of care the defendants had to meet in tort law, or the standard of care impliedly warranted in any contract. Second, he held there was no evidence to establish a causal connection between the water damage and the development of mould, or between the presence of mould and the health problems the plaintiffs' family developed.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both issues, counsel for the plaintiffs argues that there was evidence from which the appropriate standard of care, and a causal relationship, could be inferred. She said there was no need to adduce expert evidence on these issues, as a lay person could as readily draw the necessary inferences as an expert.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these submissions are not supportable. The events underlying this litigation are not such every day occurrences as a motor vehicle accident or a slip and fall accident where lay persons may, without expert assistance, draw inferences as to the standard of care and causation from proven facts. A lay person would not be familiar with the standard of care applicable to insurance adjusters, or the repairers they hired, to effect temporary or permanent repairs to a roof, part of which is blown away. Nor would a lay person be able to infer whether mould or mildew developed as a result of the water damage, whether any such mould or mildew that did develop was toxic, or, if toxic, whether the mould or mildew caused or contributed to the symptoms about which the plaintiffs' family complained.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found at para. 25 of his reasons that there was no expert evidence pointing to the existence of mould, and that the relationship between mould and disease was not a matter of common knowledge. In my respectful view he was correct in reaching these findings. I also agree that the absence of expert evidence on those issues supports the conclusion that there was no evidence upon which a jury acting reasonably could find that the defendants breached the standard of care or caused harm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in the instant case argued that, as in </w:t>
      </w:r>
      <w:r>
        <w:rPr>
          <w:rFonts w:ascii="arial" w:eastAsia="arial" w:hAnsi="arial" w:cs="arial"/>
          <w:b/>
          <w:i/>
          <w:color w:val="000000"/>
          <w:sz w:val="20"/>
          <w:lang w:val="en-US" w:eastAsia="en-US" w:bidi="ar-SA"/>
        </w:rPr>
        <w:t>Seiler</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there has been no evidence led by any expert that informs the judge and jury as to the standard of care applicable to the defendant Cromwell at the time that the work was done in December 1999, nor on the standard of care applicable to the in-house adjuster for the defendant Canadian Northern Shield Insurance Company ("CNS") with respect to adjusting a claim for indemnity under a fire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Furthermore, argued the defendants, there is no evidence led by any expert that informs the judge and jury as to whether a breach occurred that caused injury. The defendants contended that there has been no evidence led that makes a connection between the plaintiff's entry to the house on January 6, 2000, and any possible exposure to ozone at any concentration level or any other toxic substance at any concentration level, and the conduct of either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Nor, submitted the defendants, has there been any medical evidence led making a connection between the plaintiff's complaints, her medical diagnosis, and treatments in January 2000, and an alleged exposure to ozone or other chemicals on January 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insisted that evidence consisting of mere suggestions, possibilities, and speculation without any connection to the actual case presented is incapable of being put to the jury to make any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Furthermore, the defendants argued that the plaintiff has not led any evidence suggesting any specialized knowledge or skill by the defendant CNS regarding the recent application of ozone in her home, nor evidence of any reasonable reliance on such skill by the plaintiff. This defendant said that the only skill applied by it was to adjusting the plaintiff's claim for indemnity for losses payable under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submitted that the plaintiff has failed to prove the essential ingredients of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as is her burden, and thus her case against both of them ought to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I disagree with 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First, I think that the facts and circumstances in the case at bar can be distinguished from those in </w:t>
      </w:r>
      <w:r>
        <w:rPr>
          <w:rFonts w:ascii="arial" w:eastAsia="arial" w:hAnsi="arial" w:cs="arial"/>
          <w:b/>
          <w:i/>
          <w:color w:val="000000"/>
          <w:sz w:val="20"/>
          <w:lang w:val="en-US" w:eastAsia="en-US" w:bidi="ar-SA"/>
        </w:rPr>
        <w:t>Seiler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that case, what was primarily alleged was that there was latent toxicity, due to mould growth, which caused health problems and lowered the value of the house. On appeal, Finch C.J.B.C., at para. 15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 would a lay person be able to infer whether mould or mildew developed as a result of the water damage, whether any such mould or mildew that did develop was toxic, or, if toxic, whether the mould or mildew caused or contributed to the symptoms about which the plaintiffs' family complained.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case at bar, there is evidence that ozone is a toxic substance and that care must be taken in its use and application. For example, the plaintiff's expert Dr. Michael Brauer was qualified to give expert testimony as an expert in toxic chemicals, air quality and the effect on plants and animals (including humans) of toxic chemicals.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explained that ozone is a gas that is similar to oxygen. It is a common part of air pollution. It is always present in the air. In higher concentrations, it can destroy lung tissue and cause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explained that it is used to remove odours when there has been a fire or smoke damage. It can be extremely dangerous, depending upon the level of concentration. People respond differently to the same dose. The higher the concentration, the more likely people will have a negative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testified that ozone can affect the respiratory system. One's ability to breathe can be hampered by ozone. This can happen almost instantaneously as we breathe it in, just like oxygen.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also said that whether ozone is applied indoors or outdoors, one has to be careful. It is a highly toxic substance. He said that when ozone is used, you either want to use it in an area that is unoccupied, or if it is in an area that is occupied, then you want to ensure that persons have respirators.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testified that on January 6, 2000 she finished work at about 4:30 p.m. She then went to her house to pick up mail. When the restoration started, the defendant Cromwell had told the plaintiff and her husband that they would be out of the house for five days or so, so they did not change their mail address. She said she had spoken to Mr. Steve Millar, the in-house adjuster for CNS, and he had told her that it was fine to go to the house to collect the mail. He told her that the defendant Cromwell had already done the ozone process on the house and that it was safe to go back in the house. She said that both Mr. Millar and Mr. Cam Wilson, the project manager of the defendant Cromwell, had told her that they had ozoned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about 4:45 p.m. or 5:00 p.m. she entered the house. She entered from the rear of the house to an inside landing where there is a set of stairs going down to the basement. She started to go down the stairs to the basement and made it about five stairs when she could not go any further. She could not breathe the air. There was something wrong. She could feel it, taste it, and she walked back up the five stairs and went outside and stood on the rear porch.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said she stood on the porch for at least a minute and caught her breath. She told herself that this was silly and when she caught her breath, she went back inside the house and made it down three or four stairs, and again, she could not breathe the air. She tried to breathe the air, but she could not. She went outside and locked the door. She did not get the mail or the newspaper and left without what she had come to accomplish.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then drove two miles to her parents' house where she was living. She said something was wrong with her. She tried to catch her breath, but she could not quite get it. She went into the kitchen where her husband was. She was clutching at her chest. She could not catch her breath. She tried to sit down and talk to him. He asked her what the matter was. She thought it was complications with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then went and sat in the living room. She thought that by relaxing, she would be able to breathe easier. She found that she would have to every once in a while consciously take a breath. That sensation got more frequent. She had to consciously take a deep breath. She was not feeling right. She could not describe what was going on. She told her husband that she needed oxygen. As time went on, she concentrated more and more on her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During the evening her breathing got more and more laboured. She had to concentrate more and more on her breathing. Eventually she told her husband that something was going on, that she could not catch her breath, and her husband drove her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hospital, they put an oxygen clip on her finger. The oxygen level was 83% and she knew that there was something to be worried about. She was terrified for her unborn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was given oxygen. She was also given drugs to ease her breathing. She was told that she was in respiratory distress and that she was having an acute asthma attack. She had never had asthma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stayed in the hospital for four days. Her breathing improved. She was discharged with a lot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spoke to Mr. Millar on January 7, 2000. She told him one of the doctors had told her that she had been poisoned by something. He told her he would look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January 17, 2000 the plaintiff woke up in extreme respiratory distress. Her husband took her back to the hospital. She was told that she had a bacterial invasion in her lungs caused by the prior episode.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her second visit to the hospital, she said that she had excruciating pain in her lungs. She was hospitalized for nine days. She was terrified for her unborn baby, not only because of her breathing activity, but because she was in extreme pain. She was placed on a huge amount of medication so she could breathe. She was afraid that she was poisoning her unborn baby. She was put on a drug much stronger than morphine. She was terrified to take narcotics while she was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Allan Hunt, the plaintiff's obstetrician, testified that at the time of the plaintiff's admission on January 17, 2000, she was in a lot of pain and he struggled to get her pain under control. He said that he had never used so many pain medications on a patient as he did with the plaintiff. He said that he has treated at least 100 patients with pneumonia. The plaintiff seemed to have much more pain than he had ever seen before. He said she seemed to have a severe amount of chest pain related to what he thought was pneumonia. He said it was debilitating. He had to ask for help from other departments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Hunt said that an x-ray showed an area of consolidation in the plaintiff's lungs. He felt that if the pneumonia resolved, the chest pain would improve, but that did not happen. He found this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testified that on December 19, 2001 she met with Mr. Millar. At that time, Mr. Millar reported to her that Mr. Wilson told him in December 1999 that he was at a loss about what to do about the fire damage, and that he was going to hit the house with everything he had while there was no one in it. According to the plaintiff, Mr. Millar told her that the house had been ozoned for a full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also testified that Messrs. Wilson and Millar told her ozone was harmless. She was told that the ozone process would be done on December 31, 1999. When the ozone was in progress, she did not attend at the house. Despite the fact that the defendant Cromwell's records indicate that the ozone machine was placed in the house on December 31, 1999 and removed on the same day, the plaintiff insisted that Mr. Millar had told her that the defendant Cromwell had run the ozone machine in the house for a full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Ian Salomon is an Occupational Hygiene Officer employed by WorkSafeBC (formerly known as the WCB). He has been employed by WorkeSafeBC for 29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authored a manual dealing with the use and application of ozone. The manual existed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testified that an ozonation system is a machine that will convert oxygen to ozone and then deliver it to where the ozone will do its work. He explained that an ozone room is an enclosure that contains the ozone generator and any related equipment. If a room in a house was sealed where an ozone generator was being used, then it is an ozone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said that continuous monitoring is required to know if it is safe to enter the room and if it is safe within the enclosure. He explained that different monitoring meters are available on the market. These give a read-out of the ozone in the air within the enclosure.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also said that there were requirements on employers to give information to workers. This is done because ozone may be hazardous.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Salomon explained that ventilation is done once the process of ozonation is over. The employer has to make sure that all of the contaminant air has been removed from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cross-examination, Mr. Salomon said that the manual itself is not law. It pertains only to employers and their workers. He said that the manual had no application to the plaintiff in the circumstances of this case as far as the regulations 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Graham Dick has worked in the restoration industry since 1990. He has applied ozone in performing restoration with respect to a house after a fire to get rid of odours.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said when doing this kind of work he took special precautions. His understanding was that ozone is an oxidated gas, dangerous to breathe and will attack certain kinds of materials. He said that when ozone is being applied, there should be no plants, food stuffs, animals or people in the area. He said that he always posts signs on access doors that state "DO NOT ENTER - OZONE TREATMENT IN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Dick said that ozone is not safe to breathe and the restoration company wants to create a safe environment and keep people out of the area where the process is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Dick explained that ozone is twice as heavy as air. He said that after the ozone process has been completed, you have to set up an air mover at a window with a duct to the lowest and furthest point away and then, in essence, suck out the ozone. He explained that in 1999 he would go into an area after the ozone process had been completed, and install air movers to bring in fresh air and exhaust the ozone. He said that you have to use a duct to pull the air out. He would use a fan with a flex duct and an open window. The flex duct is placed, for example, in the basement, and then the air is sucked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cross-examination, Mr. Dick said that he had never been to the plaintiff's house. He was not present on December 31, 1999 when the defendant Cromwell set up the ozone machine. He did not know whether the machine had a shut off or whether warning signs had been removed or when the machines were shut off, whether the defendant Cromwell ventilated the plaintiff's house. Nor was he present on January 6, 2000 when the plaintiff re-entered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Joe Walters is an indoor air quality specialist. He has had sixteen years' experience. In 1999 he was doing job site risk assessment. He would test for toxic gas. He explained that ozone is a toxic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said that in 1999 he would attend at a site and examine the situation prior to the application of the ozone. He would do an assessment of the area, interview the general contractor, or the occupants, and then formulate a plan for how to apply the ozone safely. He explained that when other chemicals are applied or other substances are in the area, they react with the ozone. This can cause hazardous by-products (Dr. Brauer gave similar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Walters also testified that following the ozone process, ventilation must be used to suck the air out. He explained that you have to replace the air with fresh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also said that you take air quality before the ozone is generated and intermittently during the application and then at the end. He said that at the time there was a hand-held device used to measure ozone and that it was a simple machine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Thus, there is evidence that ozone is a dangerous substance; that when it is being applied by a restoration company in a house after a fire there should be no persons in the area where the ozone is being generated; and that following the ozone process, there should be a system of ventilation that replaces the air within the area where the process took place with fresh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also evidence that the defendants, through their representatives, Messrs. Wilson and Millar, understood the danger associated with the use and application of ozone and told the plaintiff that while the ozone process was taking place, she should not enter the house. Following the application of the ozone to the plaintiff's house, according to the plaintiff, she was told by Mr. Millar that it was safe for her to re-enter the house on January 6, 2000 to collect her mail. In addition, she testified that Messrs. Wilson and Millar told her that ozone was harmless.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is that on December 9, 1999 Mr. Millar arranged for Mr. Wilson and another employee of the defendant Cromwell to meet with him and the plaintiff at the plaintiff's house to discuss the restoration of her home following the fire that took place on December 8, 1999. The work authorization contract entered into between the plaintiff and the defendant Cromwell includes a reference to the possible use of ozone as part of the restoration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Cromwell in fact did apply ozone to the plaintiff's home on December 31, 1999. The evidence is that from the outset, Mr. Millar was in constant communication with Mr. Wilson and the plaintiff regarding the plaintiff's concerns with respect to smoke and paint smells in the house, as well as the use by the defendant Cromwell of certain paint products being applied in the plaintiff's home. Mr. Millar in fact knew that the defendant Cromwell applied ozone to the plaintiff's home on December 31, 1999 and he told the plaintiff on January 4 or 5, 2000 that she could go back into the house to collect her mail. Relying on this advice, the plaintiff did in fact enter her house on January 6, 2000 and had an immediate reaction that impacted upon her ability to breathe.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Wilson, at his examination for discovery, testified that no testing (or measuring) was conducted by the defendant Cromwell with respect to the concentration of ozone within the plaintiff's home prior to the plaintiff being told by Mr. Millar that it was alright for her to go back into her home to collect her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Prior to the application of the ozone, the defendant Cromwell, as part of the restoration, used an oil based paint called "Kilz" as a smoke sealant. There was other painting done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all of the circumstances, I do not consider that it would be appropriate to dismiss the plaintiff's claim on a no evidence application. There is certainly some evidence to support the plaintiff's allegations against the defendants. I disagree with defence counsel that the failure on the part of the plaintiff to call an expert to testify about an industry standard relating to the conduct of the defendant Cromwell, as a restoration company, and the defendant CNS, with respect to the role of its in-house adjuster, is fatal to the plaintiff's claim. Rather, I think that in the circumstances of this case, based on the test described in </w:t>
      </w:r>
      <w:r>
        <w:rPr>
          <w:rFonts w:ascii="arial" w:eastAsia="arial" w:hAnsi="arial" w:cs="arial"/>
          <w:b/>
          <w:i/>
          <w:color w:val="000000"/>
          <w:sz w:val="20"/>
          <w:lang w:val="en-US" w:eastAsia="en-US" w:bidi="ar-SA"/>
        </w:rPr>
        <w:t>Murao v. Blackcomb Skiing Enterprises Limited Partnership</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2005 BCCA 43</w:t>
        </w:r>
      </w:hyperlink>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36 B.C.L.R. (4th) 317</w:t>
        </w:r>
      </w:hyperlink>
      <w:r>
        <w:rPr>
          <w:rFonts w:ascii="arial" w:eastAsia="arial" w:hAnsi="arial" w:cs="arial"/>
          <w:color w:val="000000"/>
          <w:sz w:val="20"/>
          <w:lang w:val="en-US" w:eastAsia="en-US" w:bidi="ar-SA"/>
        </w:rPr>
        <w:t>, the standard may be derived from evidence of a general practice that prevailed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Moreover, it is not for me to decide whether the trier of fact should accept the evidence. It is for me to decide whether the inference that the plaintiff seeks in her favour could be drawn from the evidence adduced, if the trier of fact chose to accept it. In my view, on the basis of the evidence before the court relating to the plaintiff's allegations that the defendants were negligent in their conduct following the fire at the plaintiff's residence, a properly instructed jury could make the requisite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result, the defendants' motion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Plakholm v. Victoria (City), [2008] I.L.R. para. G-2213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06 3168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[2008] I.L.R. para. G-2213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[2008] B.C.J. No. 1473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2008 BCSC 1048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Plakholm v. Victoria (City)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3"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9" w:name="Keywords_37"/>
      <w:bookmarkEnd w:id="279"/>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Slip and fall — Plaintiff fell while crossing street that had been recently repaired — Plaintiff brought claim against City because no warning signs had been placed in regard to the recent repair, which had caused the pavement to become uneven — Action allowed — City should have known that, in a residential area, people leaving a bus would be likely to cross the street in the middle of the block instead of going to a crosswalk, and should have warned pedestrians of the danger of the unsettled pavement — Occupiers Liability Act, R.S.B.C. 1996, c. 33, s. 8(2)(b).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0" w:name="Case Summary_37"/>
            <w:bookmarkEnd w:id="28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City of Victoria (the "City") decided in late 2005 to repair a certain section of Oswego Street. In January 2006, the area was excavated, backfilled, and repaved. Employees of the City were familiar with the fact that some settling of the roadway would occur following such excavation, and that a second course of pavement would be required at some point when the weather was warmer. One evening in March 2006, the plaintiff, Plakholm, exited a bus on Oswego Street, which she had to cross in order to get home. It was dark outside, and Plakholm decided to cross Oswego Street mid-block, since the nearest crosswalk was some ways away and rather secluded. Plakholm began crossing the street but fell due to the uneven pavement. No warning signs had been posted and there were no markers in the area to indicate that the area had recently been under construction. Plakholm dislocated and fractured her left shoulder in the fall. She duly reported the fall to the City, following which she commenced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1" w:name="Holdings of Court_29"/>
            <w:bookmarkEnd w:id="281"/>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was satisfied that, at the time Plakholm fell, the City knew or ought to have known that in a residential area, people leaving a bus would cross the street mid-block rather than go to the nearest intersection; the City also should have known that the recently excavated and repaved road would settle and unevenness would eventually result. The Court also noted that no steps had been taken to warn any pedestrians that the road surface had been recently repaired.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2" w:name="Counsel_37"/>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Turner for the plaintiff; B. Jordan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3" w:name="Judgment_38"/>
      <w:bookmarkEnd w:id="283"/>
      <w:r>
        <w:pict>
          <v:line id="_x0000_s1215"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4" w:name="R. JOHNSTON J._0"/>
            <w:bookmarkEnd w:id="284"/>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under Rules 18A and 57 for an order dismissing the plaintiff's claims. The plaintiff's claims arise out of a fall on a city street in March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parties agree that this is an appropriate case for disposition under Rule 18A and after reading the affidavits and hearing from counsel, I agree that I can find the facts necessary to decide any issues of fact or law required, and that it is just that this case be decided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late 2005 the City of Victoria decided that a portion of one of its streets -- Oswego Street -- near its intersection with Niagara Street required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Between January 24 and February 1, 2006, the City caused Oswego Street to be excavated in that area, then backfilled and repaved.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Experience had taught the City employees that, following work such as this, there would be further settling of the roadway, and City employees responsible for such work knew that a second course of pavement would be required after some time had passed to allow for that further settling. It was also of some advantage to put the final layer of pavement down when the weather was warmer.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area in question is primarily residential, being one of the oldest parts of the City of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who was 57 years old at the time, lived in an apartment at the intersection of Boyd Street and Niagara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March 4, 2006, at about 7:45 p.m. the plaintiff got off a bus at the bus stop near the intersection of Oswego and Niagara Streets. The area where the bus stopped was part of the area on which the City had completed its work a little over a month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dark out at that time of year. There were street lights, but not in the immediate area of the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 get to her home, the plaintiff had to cross Oswego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elected to cross Oswego Street in mid-block for a couple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First, the nearest crosswalk in the direction she needed to get to was some distance away along Oswego Street and to get to it the plaintiff would have to walk along a darkened area where there were no houses. There were no houses along that part of the street because there was a school nearby and the school playing fields adjoined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Directly across the street there were houses and at least one driveway that was ramped up from the roadway so as to eliminate any sharp elevation change between roadway and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started to cross the street and, before she reached midway, she says she fell as a result of tripping over dramatically uneven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were no barricades, warning signs, or markings of any kind to warn of any break in the pavement or change in elevation of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dislocated and fractured her left shoulder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reported her fall to the City on March 7, 2006, and that same day Mr. Clark was sent to the area to examine the road surface. Mr. Clark inspected the area of repair near the intersection of Oswego and Niagara Streets and saw nothing that caused him any concern for the safety of vehicular traffic or, he says, even for a pedestrian who chose to cross Oswego Street in mid-block.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Clark swears that it is his usual practice to measure height differentials when he investigates complaints but on this occasion he did not do so because he did not see any height differential that, in his opinion, came close to 40 mm. That was the standard set by City policy as triggering the need for repair to its roadways.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Clark has worked in the City's roads department since 1981 and at the time of his inspection had been the assistant supervisor for roads and bridges for two and one-half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affidavit sworn some time later, Mr. Clark estimated the maximum differential he saw on his inspection at no more than 15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Rouleau is an acquaintance of the plaintiff and went with the plaintiff to the area of her fall some time afterward. Ms. Rouleau observed that the roadway was "very rough and uneven in places" and there was at least one area where it appeared that pavement was missing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Rouleau swears that in the area where pavement was missing completely, she estimated an elevation differential of more than two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Ms. Rouleau was not precise as to the date of this inspection, I find that it must have been between the date the plaintiff fell and March 27, 2006, as that latter date is when the City returned and did its final paving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Any crosswalk at the intersection of Oswego and Niagara Streets is unmarked, and derives from an extension of curb or sidewalk lines pursuant to s. 119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as there are no crosswalk markings at that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does not apply in this case by virtue of s. 8(2)(b):</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this Act does not apply to the government or to the Crown in right of Canada or to a municipality if the government, the Crown in right of Canada or the municipality is the occupier of</w:t>
      </w:r>
    </w:p>
    <w:p>
      <w:pPr>
        <w:numPr>
          <w:numId w:val="2"/>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Oswego Street is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common law, a municipality is the occupier of its streets and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Prior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the duties owed by an occupier varied according to whether the person claiming the benefit of the duty was considered an invitee, a licensee, or a trespasser, with the duties ranging from the highest owing to the invitee to the lowest owing to a trespasser.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Without extensively canvassing the law, I can say that to attain a status as invitee, a claimant should show that some benefit flowed to the occupier from the claimant's presence, and, in spite of some faint hope on the part of the plaintiff that she might demonstrate a benefit to the City from her presence on the street, I conclude she was not an invitee at the time of her fall. No "material interest" appears from the evidence such as would be needed to elevate this plaintiff to the status of invitee when using a city street. That test was approved in </w:t>
      </w:r>
      <w:r>
        <w:rPr>
          <w:rFonts w:ascii="arial" w:eastAsia="arial" w:hAnsi="arial" w:cs="arial"/>
          <w:b/>
          <w:i/>
          <w:color w:val="000000"/>
          <w:sz w:val="20"/>
          <w:lang w:val="en-US" w:eastAsia="en-US" w:bidi="ar-SA"/>
        </w:rPr>
        <w:t>Pringle and Pringle v. Price</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[1971] 3 W.W.R. 321</w:t>
        </w:r>
      </w:hyperlink>
      <w:r>
        <w:rPr>
          <w:rFonts w:ascii="arial" w:eastAsia="arial" w:hAnsi="arial" w:cs="arial"/>
          <w:color w:val="000000"/>
          <w:sz w:val="20"/>
          <w:lang w:val="en-US" w:eastAsia="en-US" w:bidi="ar-SA"/>
        </w:rPr>
        <w:t xml:space="preserve"> (BCCA), particularly in the judgment of Robertson J.A. at pp. 336 and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also conclude the plaintiff was not a trespasser. She had a right as a member of the public to be on the street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all of the circumstances, it is clear that at all material times the plaintiff was a licensee, and indeed, that status seems to be generally accepted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duty owed by an occupier to an licensee was described in </w:t>
      </w:r>
      <w:r>
        <w:rPr>
          <w:rFonts w:ascii="arial" w:eastAsia="arial" w:hAnsi="arial" w:cs="arial"/>
          <w:b/>
          <w:i/>
          <w:color w:val="000000"/>
          <w:sz w:val="20"/>
          <w:lang w:val="en-US" w:eastAsia="en-US" w:bidi="ar-SA"/>
        </w:rPr>
        <w:t>Mersey Docks and Harbour Board v. Procter</w:t>
      </w:r>
      <w:r>
        <w:rPr>
          <w:rFonts w:ascii="arial" w:eastAsia="arial" w:hAnsi="arial" w:cs="arial"/>
          <w:color w:val="000000"/>
          <w:sz w:val="20"/>
          <w:lang w:val="en-US" w:eastAsia="en-US" w:bidi="ar-SA"/>
        </w:rPr>
        <w:t>, [1923] A.C. 253, at p. 274,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licensee takes premises, which he is merely permitted to enter, just as he finds them. The one exception to this is that, as it is put shortly, the occupier must not lay a trap for him or expose him to a danger not obvious nor to be expected there under the circumstances. If the danger is obvious, the licensee must look out for himself: if it is one to be expected, he must expect it and take his own precautions. If he will walk blindfold, he walks at his peril, even though he is blindfolded by the action of the elements. As usual in cases of duties of care, the reasonable man is the standard on both sides. The licensor must act with reasonable diligence to prevent his premises from misleading or entrapping a licensee, who on his side uses reasonable judgement and conduct under the circumstances that can be reasonably foreseen. The licensee is to take reasonable care of himself and cannot call a thing a trap, the existence of which a reasonable man would have expected or suspected, so as to guard himself from falling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is not a case in which a municipality's duty to inspect roadways, or the frequency with which it conducts such inspection,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 years, the common law distinguished between the duties owed to licensees and invitees. Invitees were entitled to expect that occupiers used reasonable care to prevent damage from unusual danger flowing from the state of the premises, while licensees were entitled to expect that occupiers used reasonable care to prevent damage from concealed dangers.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By the time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came into force, the line between licensees and invitees had blurred considerably, and the duties owed to each had grown toward each other. In </w:t>
      </w:r>
      <w:r>
        <w:rPr>
          <w:rFonts w:ascii="arial" w:eastAsia="arial" w:hAnsi="arial" w:cs="arial"/>
          <w:b/>
          <w:i/>
          <w:color w:val="000000"/>
          <w:sz w:val="20"/>
          <w:lang w:val="en-US" w:eastAsia="en-US" w:bidi="ar-SA"/>
        </w:rPr>
        <w:t>Mitchell v. Canadian National Railway,</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[1975] 1 S.C.R. 592</w:t>
        </w:r>
      </w:hyperlink>
      <w:r>
        <w:rPr>
          <w:rFonts w:ascii="arial" w:eastAsia="arial" w:hAnsi="arial" w:cs="arial"/>
          <w:color w:val="000000"/>
          <w:sz w:val="20"/>
          <w:lang w:val="en-US" w:eastAsia="en-US" w:bidi="ar-SA"/>
        </w:rPr>
        <w:t>, it was held that danger need not be a concealed danger for liability to arise. In that case, a child found to be a licensee when on a railroad right-of-way succeeded at least in part when he slipped on a patently icy path or, perhaps, tripped on a patently protruding shrub on the patently icy path, and fell onto the railway track below, losing his leg. For the majority, Laskin J. said at p. 616: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think it is any longer proper to hold that mere knowledge of likely danger is any more exonerative of a licensor than of an invitor.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regard it as wrong in principle to dissolve a duty of care that arises on the facts of a case merely because the person to whom the duty is owed knows that he may be exposing himself to some danger, and especially so when there is applicable apportionment legislation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Bartlett et al. v. Weische Apartments Ltd.</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(1974), 7 O.R. (2d) 263</w:t>
        </w:r>
      </w:hyperlink>
      <w:r>
        <w:rPr>
          <w:rFonts w:ascii="arial" w:eastAsia="arial" w:hAnsi="arial" w:cs="arial"/>
          <w:color w:val="000000"/>
          <w:sz w:val="20"/>
          <w:lang w:val="en-US" w:eastAsia="en-US" w:bidi="ar-SA"/>
        </w:rPr>
        <w:t xml:space="preserve"> (Ont. C.A.), at p. 267, Jessup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think I should state that I conceive to be the principle arising from the Mitchell and Hanson, </w:t>
      </w:r>
      <w:hyperlink r:id="rId782" w:history="1">
        <w:r>
          <w:rPr>
            <w:rFonts w:ascii="arial" w:eastAsia="arial" w:hAnsi="arial" w:cs="arial"/>
            <w:i/>
            <w:color w:val="0077CC"/>
            <w:sz w:val="20"/>
            <w:u w:val="single"/>
            <w:shd w:val="clear" w:color="auto" w:fill="FFFFFF"/>
            <w:lang w:val="en-US" w:eastAsia="en-US" w:bidi="ar-SA"/>
          </w:rPr>
          <w:t>[1974] S.C.R. 354</w:t>
        </w:r>
      </w:hyperlink>
      <w:r>
        <w:rPr>
          <w:rFonts w:ascii="arial" w:eastAsia="arial" w:hAnsi="arial" w:cs="arial"/>
          <w:color w:val="000000"/>
          <w:sz w:val="20"/>
          <w:lang w:val="en-US" w:eastAsia="en-US" w:bidi="ar-SA"/>
        </w:rPr>
        <w:t xml:space="preserve">, cases governing the liability of an occupier to a licensee. It is to take reasonable care to avoid foreseeable risks of harm from any unusual danger on the occupier's premises of which the occupier actually has knowledge or of which he ought to have knowledge because he was aware of the circumstances. The licensee's knowledge of the danger goes only to the questions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facts, any issue of inspection evaporated when the City detected a defect in Oswego Street and embarked upon work to repair that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the same token, this is not a case where the difference between nonfeasance and misfeasance need be explored.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this province, the duty owed to the plaintiff by the City was captured in the language of Munro J. in </w:t>
      </w:r>
      <w:r>
        <w:rPr>
          <w:rFonts w:ascii="arial" w:eastAsia="arial" w:hAnsi="arial" w:cs="arial"/>
          <w:b/>
          <w:i/>
          <w:color w:val="000000"/>
          <w:sz w:val="20"/>
          <w:lang w:val="en-US" w:eastAsia="en-US" w:bidi="ar-SA"/>
        </w:rPr>
        <w:t>Lichty v. K.E. Holdings Ltd.</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35 D.L.R. (3d) 561</w:t>
        </w:r>
      </w:hyperlink>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[1973] 4 W.W.R. 96</w:t>
        </w:r>
      </w:hyperlink>
      <w:r>
        <w:rPr>
          <w:rFonts w:ascii="arial" w:eastAsia="arial" w:hAnsi="arial" w:cs="arial"/>
          <w:color w:val="000000"/>
          <w:sz w:val="20"/>
          <w:lang w:val="en-US" w:eastAsia="en-US" w:bidi="ar-SA"/>
        </w:rPr>
        <w:t xml:space="preserve"> (BCSC), at p. 100:</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hold that the plaintiff was not a trespasser at the time of the accident but was rather, a licensee with implied permission to enter upon the City property for her own purposes to whom the City therefore, owed a duty to warn of any concealed danger of which the City knew: </w:t>
      </w:r>
      <w:r>
        <w:rPr>
          <w:rFonts w:ascii="arial" w:eastAsia="arial" w:hAnsi="arial" w:cs="arial"/>
          <w:i/>
          <w:color w:val="000000"/>
          <w:sz w:val="20"/>
          <w:lang w:val="en-US" w:eastAsia="en-US" w:bidi="ar-SA"/>
        </w:rPr>
        <w:t>Marquardt et al v. DeKeyser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[1972] 2 W.W.R. 49</w:t>
        </w:r>
      </w:hyperlink>
      <w:r>
        <w:rPr>
          <w:rFonts w:ascii="arial" w:eastAsia="arial" w:hAnsi="arial" w:cs="arial"/>
          <w:color w:val="000000"/>
          <w:sz w:val="20"/>
          <w:lang w:val="en-US" w:eastAsia="en-US" w:bidi="ar-SA"/>
        </w:rPr>
        <w:t xml:space="preserve">. I hold that the plaintiff was not a trespasser at the time of the accident but was rather, a licensee with implied permission to enter upon the City property for her own purposes to whom the City therefore, owed a duty to warn of any concealed danger of which the City knew: </w:t>
      </w:r>
      <w:r>
        <w:rPr>
          <w:rFonts w:ascii="arial" w:eastAsia="arial" w:hAnsi="arial" w:cs="arial"/>
          <w:i/>
          <w:color w:val="000000"/>
          <w:sz w:val="20"/>
          <w:lang w:val="en-US" w:eastAsia="en-US" w:bidi="ar-SA"/>
        </w:rPr>
        <w:t>Marquardt et al v. DeKeyser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[1972] 2 W.W.R. 49</w:t>
        </w:r>
      </w:hyperlink>
      <w:r>
        <w:rPr>
          <w:rFonts w:ascii="arial" w:eastAsia="arial" w:hAnsi="arial" w:cs="arial"/>
          <w:color w:val="000000"/>
          <w:sz w:val="20"/>
          <w:lang w:val="en-US" w:eastAsia="en-US" w:bidi="ar-SA"/>
        </w:rPr>
        <w:t xml:space="preserve">. Knowing of the physical facts which constituted the danger, as a reasonable person the City would appreciate the risk involved, and thus is not excused by its own failure to appreciate the risk: </w:t>
      </w:r>
      <w:r>
        <w:rPr>
          <w:rFonts w:ascii="arial" w:eastAsia="arial" w:hAnsi="arial" w:cs="arial"/>
          <w:i/>
          <w:color w:val="000000"/>
          <w:sz w:val="20"/>
          <w:lang w:val="en-US" w:eastAsia="en-US" w:bidi="ar-SA"/>
        </w:rPr>
        <w:t>Winfield on Torts</w:t>
      </w:r>
      <w:r>
        <w:rPr>
          <w:rFonts w:ascii="arial" w:eastAsia="arial" w:hAnsi="arial" w:cs="arial"/>
          <w:color w:val="000000"/>
          <w:sz w:val="20"/>
          <w:lang w:val="en-US" w:eastAsia="en-US" w:bidi="ar-SA"/>
        </w:rPr>
        <w:t xml:space="preserve"> 8th Ed. p. 172 et seq. In the recent case of </w:t>
      </w:r>
      <w:r>
        <w:rPr>
          <w:rFonts w:ascii="arial" w:eastAsia="arial" w:hAnsi="arial" w:cs="arial"/>
          <w:i/>
          <w:color w:val="000000"/>
          <w:sz w:val="20"/>
          <w:lang w:val="en-US" w:eastAsia="en-US" w:bidi="ar-SA"/>
        </w:rPr>
        <w:t>Herrington v. British Railways Board</w:t>
      </w:r>
      <w:r>
        <w:rPr>
          <w:rFonts w:ascii="arial" w:eastAsia="arial" w:hAnsi="arial" w:cs="arial"/>
          <w:color w:val="000000"/>
          <w:sz w:val="20"/>
          <w:lang w:val="en-US" w:eastAsia="en-US" w:bidi="ar-SA"/>
        </w:rPr>
        <w:t>, [1972] A.C. 877, the House of Lords re-examined the earlier decisions of the Courts and revised the law. Applying the common sense principles therein enunciated, the liability of the City for the damages sustained by the plaintiff becomes more certain than it was before, even assuming that the plaintiff was a trespasser which, I think, she was not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does not appear that either </w:t>
      </w:r>
      <w:r>
        <w:rPr>
          <w:rFonts w:ascii="arial" w:eastAsia="arial" w:hAnsi="arial" w:cs="arial"/>
          <w:b/>
          <w:i/>
          <w:color w:val="000000"/>
          <w:sz w:val="20"/>
          <w:lang w:val="en-US" w:eastAsia="en-US" w:bidi="ar-SA"/>
        </w:rPr>
        <w:t>Mitchell</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Bartlett</w:t>
      </w:r>
      <w:r>
        <w:rPr>
          <w:rFonts w:ascii="arial" w:eastAsia="arial" w:hAnsi="arial" w:cs="arial"/>
          <w:color w:val="000000"/>
          <w:sz w:val="20"/>
          <w:lang w:val="en-US" w:eastAsia="en-US" w:bidi="ar-SA"/>
        </w:rPr>
        <w:t xml:space="preserve"> were cited in </w:t>
      </w:r>
      <w:r>
        <w:rPr>
          <w:rFonts w:ascii="arial" w:eastAsia="arial" w:hAnsi="arial" w:cs="arial"/>
          <w:b/>
          <w:i/>
          <w:color w:val="000000"/>
          <w:sz w:val="20"/>
          <w:lang w:val="en-US" w:eastAsia="en-US" w:bidi="ar-SA"/>
        </w:rPr>
        <w:t>Lichty</w:t>
      </w:r>
      <w:r>
        <w:rPr>
          <w:rFonts w:ascii="arial" w:eastAsia="arial" w:hAnsi="arial" w:cs="arial"/>
          <w:color w:val="000000"/>
          <w:sz w:val="20"/>
          <w:lang w:val="en-US" w:eastAsia="en-US" w:bidi="ar-SA"/>
        </w:rPr>
        <w:t xml:space="preserve">, and that </w:t>
      </w:r>
      <w:r>
        <w:rPr>
          <w:rFonts w:ascii="arial" w:eastAsia="arial" w:hAnsi="arial" w:cs="arial"/>
          <w:b/>
          <w:i/>
          <w:color w:val="000000"/>
          <w:sz w:val="20"/>
          <w:lang w:val="en-US" w:eastAsia="en-US" w:bidi="ar-SA"/>
        </w:rPr>
        <w:t>Lichty</w:t>
      </w:r>
      <w:r>
        <w:rPr>
          <w:rFonts w:ascii="arial" w:eastAsia="arial" w:hAnsi="arial" w:cs="arial"/>
          <w:color w:val="000000"/>
          <w:sz w:val="20"/>
          <w:lang w:val="en-US" w:eastAsia="en-US" w:bidi="ar-SA"/>
        </w:rPr>
        <w:t xml:space="preserve"> has been overtaken by both later decisions, and, further, that the language in </w:t>
      </w:r>
      <w:r>
        <w:rPr>
          <w:rFonts w:ascii="arial" w:eastAsia="arial" w:hAnsi="arial" w:cs="arial"/>
          <w:b/>
          <w:i/>
          <w:color w:val="000000"/>
          <w:sz w:val="20"/>
          <w:lang w:val="en-US" w:eastAsia="en-US" w:bidi="ar-SA"/>
        </w:rPr>
        <w:t>Mersey Docks</w:t>
      </w:r>
      <w:r>
        <w:rPr>
          <w:rFonts w:ascii="arial" w:eastAsia="arial" w:hAnsi="arial" w:cs="arial"/>
          <w:color w:val="000000"/>
          <w:sz w:val="20"/>
          <w:lang w:val="en-US" w:eastAsia="en-US" w:bidi="ar-SA"/>
        </w:rPr>
        <w:t xml:space="preserve"> must be viewed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conclude that the duty owed by the City to the plaintiff here, as a licensee, is the duty set out in </w:t>
      </w:r>
      <w:r>
        <w:rPr>
          <w:rFonts w:ascii="arial" w:eastAsia="arial" w:hAnsi="arial" w:cs="arial"/>
          <w:b/>
          <w:i/>
          <w:color w:val="000000"/>
          <w:sz w:val="20"/>
          <w:lang w:val="en-US" w:eastAsia="en-US" w:bidi="ar-SA"/>
        </w:rPr>
        <w:t>Bartlett,</w:t>
      </w:r>
      <w:r>
        <w:rPr>
          <w:rFonts w:ascii="arial" w:eastAsia="arial" w:hAnsi="arial" w:cs="arial"/>
          <w:color w:val="000000"/>
          <w:sz w:val="20"/>
          <w:lang w:val="en-US" w:eastAsia="en-US" w:bidi="ar-SA"/>
        </w:rPr>
        <w:t xml:space="preserve"> that is, to avoid foreseeable risks of harm from unusual danger of which the City knew or ought to have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Turning to the evidence, I find that the plaintiff was crossing Oswego Street on a somewhat diagonal path, that she came to an area where the recently repaired and repaved portion of the roadway adjoined the original road surface, and she fell as a result of tripping over the difference in elevation between the repaired and repaved portion and the undisturbed portion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to the extent of the difference in elevation, the evidence is not completely satisfactory. There does not appear to be any measurement contemporaneous with the time of the fall. There is at best, one by Mr. Clark, who has job experience at that kind of thing, and who says that on his examination it did not appear to him there was any elevation change sufficient to warrant measurement. As I have indicated, Ms. Rouleau describes very rough and uneven payment, an area where there was no pavement at all beside the bus stop on Oswego Street, and her estimate was that the elevation difference in several big indentations was more than two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Both Mr. Clark and Ms. Rouleau were looking at the same area some time between the plaintiff's fall on March 4, 2006 and when the road was repaved on March 27,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was additional evidence of elevation difference from the plaintiff herself who went back and had a photograph taken with her foot in the repaired area. On that occasion, the plaintiff was wearing a sandal and she swears that she measured the sole of that sandal as between three-quarters and one inch thick. The photographs of the plaintiff in the area of the fall, attempting to show the elevation difference, are of little assistance in providing a measurement of the height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photographs do show generally uneven pavement and, more to the point, a sharp line representing the elevation difference between old and newly repaved areas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City's policy with respect to acting when height differential exceeds 40 mm is of little assistance as that is geared more toward the effect of a height differential on vehicular traffic than on pedestrian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on the evidence before me, that at the time the plaintiff fell, the City knew or ought to have known that in a residential area such as was involved here, persons alighting from a bus at the bus stop would cross the street in mid-block rather than go to the nearest intersection, based on the primarily residential nature of the neighbourhood. I find further that, having excavated the roadway and refilled and repaved, the City knew that it would settle and that a height differential between old and new pavement would inevitably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there was nothing to warn the plaintiff or anyone else that the road surface had been repaired and that the height differential was to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City knew that public transit stopped in the area of the road repair during hours of darkness as well as light. I find that the plaintiff was wearing flat soled hiking style shoes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Having looked at the photographs provided by the plaintiff, I am fortified in my conclusion that the elevation difference in at least two areas that would have been on the path taken by the plaintiff was sufficient to constitute an unusual danger to a pedestrian crossing Oswego Street in the dark. I prefer the evidence of the plaintiff and Mrs. Rouleau over that of Mr. Clark because the plaintiff and Mrs. Rouleau seem to have focussed more on the height differential than Mr. Clark, and because Mr. Clark's perception of the height differential may have been influenced by the vehicular standard of his employer more than whether it may have been an unusual danger for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is liable to the plaintiff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parties did not address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it has been pleaded by the City. They have leave to set the matter down for argument whether there should be a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Prevost (Committee of) v. Vetter, [2001] B.C.J. No. 323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23047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323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Adam Prevost, a person under a disability by his committee, Linda Prevost and Edward Prevost, plaintiff, and Desiree Nicole Vetter, Gregory Adam Vetter, Shari Irene Vetter, Her Majesty the Queen in Right of Canada and the Attorney General of British Columbia, defendants, and Gregory Adam Vetter, Shari Irene Vetter, Her Majesty the Queen in Right of Canada and the Attorney General of British Columbia,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38"/>
      <w:bookmarkEnd w:id="285"/>
      <w:r>
        <w:rPr>
          <w:rFonts w:ascii="arial" w:eastAsia="arial" w:hAnsi="arial" w:cs="arial"/>
          <w:b/>
          <w:color w:val="000000"/>
          <w:sz w:val="20"/>
          <w:lang w:val="en-US" w:eastAsia="en-US" w:bidi="ar-SA"/>
        </w:rPr>
        <w:t>Practice — Judgments and orders — Summary judgments — To dismiss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38"/>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the Vetters, for an order dismissing Prevost's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0"/>
            <w:bookmarkEnd w:id="28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Vetters owed a duty of care to prevent Prevost from being harmed while off their premises, at the hands of a person who became impaired on their premises. They breached this duty.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30"/>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8"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March 14, 2001. See </w:t>
            </w:r>
            <w:hyperlink r:id="rId792" w:history="1">
              <w:r>
                <w:rPr>
                  <w:rFonts w:ascii="arial" w:eastAsia="arial" w:hAnsi="arial" w:cs="arial"/>
                  <w:i/>
                  <w:color w:val="0077CC"/>
                  <w:sz w:val="18"/>
                  <w:u w:val="single"/>
                  <w:shd w:val="clear" w:color="auto" w:fill="FFFFFF"/>
                  <w:lang w:val="en-US" w:eastAsia="en-US" w:bidi="ar-SA"/>
                </w:rPr>
                <w:t>[2001] B.C.J. No. 495</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Counsel_38"/>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A. Clarke, for the plaintiff. Darren G. Blois, for Greg and Shari Vetter.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39"/>
      <w:bookmarkEnd w:id="290"/>
      <w:r>
        <w:pict>
          <v:line id="_x0000_s1220"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COULTAS J."/>
            <w:bookmarkEnd w:id="291"/>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9, 2001 at Vernon, British Columbia, I reserved my decision on an application brought by the defendants, Gregory and Shari Vetter, under Rule 18A of the Rules of Court to dismiss the action against them. There are two issues for determination:</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Gregory and Shari Vetter owe the plaintiff a duty of care to prevent him from coming to harm while off their premises, at the hands of a person who became impaired on their premises?</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the Vetters breach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Because the trial date is imminent, I now give cryptic Reasons and shall hand down more extensive Reasons,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find Gregory and Shari Vetter did owe a duty of care to the plaintiff, Adam Prevost, and that they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Prince George (City) v. Rahn Bros. Logging Ltd., [2001] B.C.J. No. 1684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9 - 14,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16, 2001.</w:t>
      </w:r>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Registry No. 09823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1684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1200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203 D.L.R. (4th) 499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22 M.P.L.R. (3d) 215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107 A.C.W.S. (3d) 319</w:t>
      </w:r>
    </w:p>
    <w:p>
      <w:pPr>
        <w:spacing w:before="120" w:line="260" w:lineRule="atLeast"/>
        <w:rPr>
          <w:lang w:val="en-US" w:eastAsia="en-US" w:bidi="ar-SA"/>
        </w:rPr>
      </w:pPr>
      <w:r>
        <w:rPr>
          <w:rFonts w:ascii="arial" w:eastAsia="arial" w:hAnsi="arial" w:cs="arial"/>
          <w:color w:val="000000"/>
          <w:sz w:val="20"/>
          <w:lang w:val="en-US" w:eastAsia="en-US" w:bidi="ar-SA"/>
        </w:rPr>
        <w:t>Between City of Prince George, plaintiff, and Rahn Bros. Logging Ltd. and T.H.R. Trucking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2" style="position:absolute;z-index:2517002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2" w:name="Keywords_39"/>
      <w:bookmarkEnd w:id="292"/>
      <w:r>
        <w:rPr>
          <w:rFonts w:ascii="arial" w:eastAsia="arial" w:hAnsi="arial" w:cs="arial"/>
          <w:b/>
          <w:color w:val="000000"/>
          <w:sz w:val="20"/>
          <w:lang w:val="en-US" w:eastAsia="en-US" w:bidi="ar-SA"/>
        </w:rPr>
        <w:t>Land regulation — Land use control, building or development permits — Issue of, validity of — Land use control, remedies — Injunctions.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3" w:name="Case Summary_39"/>
            <w:bookmarkEnd w:id="29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City of Prince George for an permanent injunction to enjoin Rahn Bros Logging from storing or parking logging equipment on its land. Rahn was a contract logger. It required facilities to store, maintain and repair its logging equipment. In 1980, it purchased property in the City. Its principal shareholder, Eric Rahn, and his wife resided in the dwelling situated on the property until 1984. Eric transferred the property to his son, Gordon, who resided on the property with his wife until 1996, when the property was transferred to Rahn. A company employee had resided on the property since 1996. Shortly after the property was purchased, Eric erected a small service building for the equipment. In 1980, the City adopted a comprehensive zoning bylaw that affected the development and use of the land. By 1984, Rahn owned a considerable amount of logging equipment and a new facility was erected. A permit was sought in August 1984. Rahn was informed that the City's zoning prohibited the proposed storage, maintenance and repair facility. It was told that it would have to obtain authorization under the Special Home Occupation Overlay Zoning District provisions of the bylaw. The City's Technical Planning Committee obtained a legal opinion that the development permit process could not be used to vary the SHO restriction. The opinion indicated that a variance would require an amendment to the bylaw. The City advised Rahn to proceed under the SHO provisions, to file a voluntary development permit application to vary the size restriction and to obtain approval for the construction. In March 1985, a building permit was issued for the construction of the facility. By the early 1990s, Rahn's repair and maintenance needs increased and discussions were initiated in order to obtain approval for the construction of a 2,000 square foot addition to the building erected in 1985. The Director of Development Services was of the view that Rahn could build the addition because the company used the building for a forestry use located on the site, which it did not. In 1997, Rahn sold its contract and a portion of its logging equipment. It now engaged in freelance logging and forestry-related road building work, using some of the equipment that it retained after the sale. It leased the yard and shop facilities to another logging contractor, THR Trucking. Neighbours complained to the City about the use of the Rahn property. Rahn filed a defence and counterclaim claiming that the City negligently issued two building permits to it. Rahn submitted that it suffered damages because it could not use the buildings for the purpose for which they were intended. The City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issue of one of the permits. Rahn agreed to an injunction, but not with respect to the terms. </w:t>
            </w:r>
            <w:r>
              <w:rPr>
                <w:lang w:val="en-US" w:eastAsia="en-US" w:bidi="ar-SA"/>
              </w:rPr>
              <w:cr/>
            </w:r>
          </w:p>
          <w:p>
            <w:pPr>
              <w:spacing w:before="120" w:line="260" w:lineRule="atLeast"/>
              <w:ind w:left="240"/>
              <w:jc w:val="both"/>
              <w:rPr>
                <w:lang w:val="en-US" w:eastAsia="en-US" w:bidi="ar-SA"/>
              </w:rPr>
            </w:pPr>
            <w:bookmarkStart w:id="294" w:name="Holdings of Court_31"/>
            <w:bookmarkEnd w:id="294"/>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Rahn was permanently enjoined from permitting the use of its land or buildings by anyone other than itself for the purpose of storing, repairing or maintaining motor vehicles or equipment. The City was aware that the bylaw did not permit the construction of a repair and maintenance shop of the size that was approved. It admitted that its duty was not discharged with reasonable care when it anticipated that the bylaw would be amended. The City was also negligent in 1993. It was reasonably expected to have known or to have determined that the proposed addition was not intended for a forestry use within the meaning of the bylaw. The City was negligent in regarding the site as a forestry site within the meaning of the bylaw and in omitting to make reasonable inquiries that would have permitted it to conclude that the use was not authorized and that the expansion could not be accommodated. Rahn's loss was measured as the proportion of 1985 and 1993 building costs that remained useful with respect to the life of the building. </w:t>
            </w:r>
            <w:r>
              <w:rPr>
                <w:lang w:val="en-US" w:eastAsia="en-US" w:bidi="ar-SA"/>
              </w:rPr>
              <w:cr/>
            </w:r>
          </w:p>
          <w:p>
            <w:pPr>
              <w:rPr>
                <w:lang w:val="en-US" w:eastAsia="en-US" w:bidi="ar-SA"/>
              </w:rPr>
            </w:pPr>
          </w:p>
        </w:tc>
      </w:tr>
    </w:tbl>
    <w:p>
      <w:pPr>
        <w:jc w:val="both"/>
        <w:rPr>
          <w:lang w:val="en-US" w:eastAsia="en-US" w:bidi="ar-SA"/>
        </w:rPr>
      </w:pPr>
      <w:bookmarkStart w:id="295" w:name="Counsel_39"/>
      <w:bookmarkEnd w:id="29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3" style="position:absolute;z-index:2517514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Roy J. Stewart, Q.C., for the plaintiff. Charles G. Fletcher, for the defendants.</w:t>
      </w:r>
      <w:r>
        <w:rPr>
          <w:lang w:val="en-US" w:eastAsia="en-US" w:bidi="ar-SA"/>
        </w:rPr>
        <w:cr/>
      </w:r>
    </w:p>
    <w:p>
      <w:pPr>
        <w:spacing w:after="240"/>
        <w:rPr>
          <w:lang w:val="en-US" w:eastAsia="en-US" w:bidi="ar-SA"/>
        </w:rPr>
      </w:pPr>
      <w:bookmarkStart w:id="296" w:name="Judgment_40"/>
      <w:bookmarkEnd w:id="296"/>
      <w:r>
        <w:pict>
          <v:line id="_x0000_s1224" style="position:absolute;z-index:2518026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7" w:name="PITFIELD J."/>
            <w:bookmarkEnd w:id="297"/>
            <w:r>
              <w:rPr>
                <w:rFonts w:ascii="arial" w:eastAsia="arial" w:hAnsi="arial" w:cs="arial"/>
                <w:b/>
                <w:color w:val="000000"/>
                <w:sz w:val="30"/>
                <w:lang w:val="en-US" w:eastAsia="en-US" w:bidi="ar-SA"/>
              </w:rPr>
              <w:t>PITFIELD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City of Prince George commenced an action with a view to permanently enjoining Rahn Bros. Logging Ltd. ("RBL") from storing or parking logging equipment on land in contravention of the City's zoning bylaw.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RBL filed a defence and counterclaim claiming that the City negligently issued two building permits to the company. The City admits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issue of one of the permits but not the other. RBL says it has suffered damage because it cannot use the buildings for the purpose for which they were intended. RBL agrees an injunction should be granted. The parties do not agree on its terms.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RBL was incorporated in 1964. It carried on business as a contract logger for Northwood Pulp &amp; Paper Ltd. until 1997 when it sold its replaceable volume logging contract, commonly called an "evergreen" contract, and a substantial portion of its logging equipment. Since 1997, RBL has been engaged in intermittent free-lance logging and forestry-related road building work using the comparatively small amount of equipment it retained after the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outset, the shareholders of RBL were Eric Rahn and his son Gordon Rahn. More recently, Gordon Rahn and his wife Catherine have been the sole shareholders.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 RBL business grew from 1964, facilities were required for the storage, maintenance and repair of the company's logging equipment. In 1979 Eric and Gordon Rahn decided to purchase property to meet the company's needs.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1980 Eric Rahn purchased a parcel of 6.9 acres situated within the municipal boundaries of Prince George. He and his wife resided in the dwelling situated on the property until 1984.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1984, Eric Rahn transferred the property to Gordon Rahn. He and his wife resided on the property until 1996 when it was transferred to RBL. A company employee has resided on the property since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1980, the City adopted a comprehensive zoning bylaw affecting the development and use of all land within the municipality including the Rahn land purchased before adoption of the bylaw.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Soon after the purchase in 1980, a small service building of some 1,250 square feet was erected on the site. By 1984 RBL owned a considerable amount of logging equipment. A larger service and repair building was required. RBL retained Ross Russell to supervise the erection of a new, 3,600 square foot facility. One of Mr. Russell's tasks was to obtain a building permit from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Russell applied for the permit on August 23, 1984. In the course of reviewing the application, the City advised Mr. Russell that the Rahn land was zoned AFO-2 in which area the proposed storage, maintenance and repair facility was not a permitted use. Mr. Russell was told that if the desired building were to be constructed and used for its intended purpose, authorization would have to be obtained under the Special Home Occupation ("SHO") Overlay Zoning District provisions of the bylaw.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zoning bylaw defined "Home Occupation, Special" to mean any occupation or business carried on for gain by a resident of a dwelling unit within such dwelling unit or an accessory building. The floor area of any accessory building could not exceed the floor area of the primary building on the site, in this case a residential dwelling of approximately 2,880 square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bylaw specified that the SHO overlay provisions were designed to accommodate small-scale, family-operated, home-craft industry or equipment storage, maintenance or repair services in an AFO area subject to limitations on scale, performance characteristics, commercial or industrial character, and visibility from bounding roads or adjoining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City advised Mr. Russell and RBL to proceed under the SHO provisions and to file a voluntary development permit application with a view to varying the size restriction and obtaining approval for the construction of the 3,600 square foot structure. The City seems not to have been concerned that the logging operator that would use the building was a limited company and neither the owner nor occupant of the dwelling unit on the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RBL filed a development permit application on August 27, 1984. The City's Technical Planning Committee reviewed the application. The committee obtained a legal opinion stating that the development permit process could not be used to vary the SHO restriction on permitted building size. The legal opinion stated that a variance of the desired kind would require an amendment to the zoning bylaw.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10, 1984 the City's planning technician, Ms. Pateman, wrote to Mr. Russell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Dear Mr. Russell: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Re:</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Service and Maintenance Shop -</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Rahn Brothers Logging Ltd.</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As you are aware, we have received a legal opinion that Section 10.56(3)(2) of Zoning By-Law No. 3482 concerning the maximum size of allowable accessory buildings under the Special Home Occupation Overlay District cannot be varied by Development Permit.</w:t>
      </w:r>
    </w:p>
    <w:p>
      <w:pPr>
        <w:spacing w:before="120" w:line="260" w:lineRule="atLeast"/>
        <w:ind w:left="720"/>
        <w:rPr>
          <w:lang w:val="en-US" w:eastAsia="en-US" w:bidi="ar-SA"/>
        </w:rPr>
      </w:pPr>
      <w:r>
        <w:rPr>
          <w:rFonts w:ascii="arial" w:eastAsia="arial" w:hAnsi="arial" w:cs="arial"/>
          <w:color w:val="000000"/>
          <w:sz w:val="20"/>
          <w:lang w:val="en-US" w:eastAsia="en-US" w:bidi="ar-SA"/>
        </w:rPr>
        <w:t>The Special Home Occupation Overlay District currently states a building which is to be used for business purposes cannot exceed the gross floor area of the principal dwelling on the site.</w:t>
      </w:r>
    </w:p>
    <w:p>
      <w:pPr>
        <w:spacing w:before="120" w:line="260" w:lineRule="atLeast"/>
        <w:ind w:left="720"/>
        <w:rPr>
          <w:lang w:val="en-US" w:eastAsia="en-US" w:bidi="ar-SA"/>
        </w:rPr>
      </w:pPr>
      <w:r>
        <w:rPr>
          <w:rFonts w:ascii="arial" w:eastAsia="arial" w:hAnsi="arial" w:cs="arial"/>
          <w:color w:val="000000"/>
          <w:sz w:val="20"/>
          <w:lang w:val="en-US" w:eastAsia="en-US" w:bidi="ar-SA"/>
        </w:rPr>
        <w:t>As the zoning of the property is AFO-1 (Forestry and Agriculture) and the site area is 6.9 acres, the Planning Department has no objections to the project. The proposed building, together with other buildings on the land, would not exceed 3% site coverage.</w:t>
      </w:r>
    </w:p>
    <w:p>
      <w:pPr>
        <w:spacing w:before="120" w:line="260" w:lineRule="atLeast"/>
        <w:ind w:left="720"/>
        <w:rPr>
          <w:lang w:val="en-US" w:eastAsia="en-US" w:bidi="ar-SA"/>
        </w:rPr>
      </w:pPr>
      <w:r>
        <w:rPr>
          <w:rFonts w:ascii="arial" w:eastAsia="arial" w:hAnsi="arial" w:cs="arial"/>
          <w:color w:val="000000"/>
          <w:sz w:val="20"/>
          <w:lang w:val="en-US" w:eastAsia="en-US" w:bidi="ar-SA"/>
        </w:rPr>
        <w:t>In view of the decision that a voluntary development permit cannot be used to permit the construction of this building, the Planning Department is reviewing the existing size regulations for accessory buildings with a view to having only site coverage govern the size. We are currently initiating a rezoning application to amend the Special Home Occupation Overlay District. The amendment would permit the shop as proposed by Rahn Brothers Logging Ltd.</w:t>
      </w:r>
    </w:p>
    <w:p>
      <w:pPr>
        <w:spacing w:before="120" w:line="260" w:lineRule="atLeast"/>
        <w:ind w:left="720"/>
        <w:rPr>
          <w:lang w:val="en-US" w:eastAsia="en-US" w:bidi="ar-SA"/>
        </w:rPr>
      </w:pPr>
      <w:r>
        <w:rPr>
          <w:rFonts w:ascii="arial" w:eastAsia="arial" w:hAnsi="arial" w:cs="arial"/>
          <w:color w:val="000000"/>
          <w:sz w:val="20"/>
          <w:lang w:val="en-US" w:eastAsia="en-US" w:bidi="ar-SA"/>
        </w:rPr>
        <w:t>If you have any further questions please contact this department.</w:t>
      </w:r>
    </w:p>
    <w:p>
      <w:pPr>
        <w:spacing w:before="120" w:line="260" w:lineRule="atLeast"/>
        <w:ind w:left="720"/>
        <w:rPr>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Kerry Pateman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Planning Technician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planning department did not initiate any process with a view to amending the SHO size restriction in the manner suggested in Ms. Pateman's letter. Nonetheless, on March 4, 1985 Ms. Pateman signed a document called a zoning confirmation required by the permit department as a pre-condition to the issue of a building permit. The confirmation was intended to assure permit officials that the proposed structure conformed to zoning requirements. In fact, as Ms. Pateman was aware, it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5, 1985 a building permit was issued to Gordon Rahn allowing construction of the 3,600 square foot facility to proceed. Construction was completed in early 1986. It is evident from Ms. Pateman's letter of October 10, 1984 that the City knew the structure was intended for use by RBL.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accept Gordon Rahn's evidence and find as a fact that if the City had not issued the permit that allowed construction on the 6.9 acre site, he or his father would have acquired some other property on which the required facility could have been built.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RBL's storage, repair and maintenance needs continued to increase after 1986. By the early 1990's RBL owned some 30 pieces of logging equipment including logging trucks, excavators, tractor crawlers, skidders, de-limbers and feller-bunchers. In 1993 discussions were initiated with a view to obtaining approval for the construction of a 2,000 square foot addition to the building erected in 1985. Mr. Russell was retained to assist RBL in its pursuits.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25, 1993, Mr. Peter Bloodoff, the City's director of development services wrote to RBL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Dear Mr. Rahn:</w:t>
      </w:r>
    </w:p>
    <w:p>
      <w:pPr>
        <w:spacing w:before="120" w:line="260" w:lineRule="atLeast"/>
        <w:ind w:left="720"/>
        <w:rPr>
          <w:lang w:val="en-US" w:eastAsia="en-US" w:bidi="ar-SA"/>
        </w:rPr>
      </w:pPr>
      <w:r>
        <w:rPr>
          <w:rFonts w:ascii="arial" w:eastAsia="arial" w:hAnsi="arial" w:cs="arial"/>
          <w:color w:val="000000"/>
          <w:sz w:val="20"/>
          <w:lang w:val="en-US" w:eastAsia="en-US" w:bidi="ar-SA"/>
        </w:rPr>
        <w:t>This letter is to confirm my conversation last week with Mr. Ross Russell regarding the potential expansion of your service and maintenance shop.</w:t>
      </w:r>
    </w:p>
    <w:p>
      <w:pPr>
        <w:spacing w:before="120" w:line="260" w:lineRule="atLeast"/>
        <w:ind w:left="720"/>
        <w:rPr>
          <w:lang w:val="en-US" w:eastAsia="en-US" w:bidi="ar-SA"/>
        </w:rPr>
      </w:pPr>
      <w:r>
        <w:rPr>
          <w:rFonts w:ascii="arial" w:eastAsia="arial" w:hAnsi="arial" w:cs="arial"/>
          <w:color w:val="000000"/>
          <w:sz w:val="20"/>
          <w:lang w:val="en-US" w:eastAsia="en-US" w:bidi="ar-SA"/>
        </w:rPr>
        <w:t>Our Department has previously advised you that the existing building, which is approximately 3600 square feet in area, cannot be expanded as its size exceeds the area of the principal building located on the property. This limitation exists because the shop is deemed to be part of a home occupation use.</w:t>
      </w:r>
    </w:p>
    <w:p>
      <w:pPr>
        <w:spacing w:before="120" w:line="260" w:lineRule="atLeast"/>
        <w:ind w:left="720"/>
        <w:rPr>
          <w:lang w:val="en-US" w:eastAsia="en-US" w:bidi="ar-SA"/>
        </w:rPr>
      </w:pPr>
      <w:r>
        <w:rPr>
          <w:rFonts w:ascii="arial" w:eastAsia="arial" w:hAnsi="arial" w:cs="arial"/>
          <w:color w:val="000000"/>
          <w:sz w:val="20"/>
          <w:lang w:val="en-US" w:eastAsia="en-US" w:bidi="ar-SA"/>
        </w:rPr>
        <w:t>My recent discussion with Mr. Russell has clarified that the building in actual fact does not house a business, rather, it is utilized as part of a forestry use which is located on the parcel. It is our understanding that the machinery repaired on the site belongs primarily to your company and therefore the use is not a home occupation.</w:t>
      </w:r>
    </w:p>
    <w:p>
      <w:pPr>
        <w:spacing w:before="120" w:line="260" w:lineRule="atLeast"/>
        <w:ind w:left="720"/>
        <w:rPr>
          <w:lang w:val="en-US" w:eastAsia="en-US" w:bidi="ar-SA"/>
        </w:rPr>
      </w:pPr>
      <w:r>
        <w:rPr>
          <w:rFonts w:ascii="arial" w:eastAsia="arial" w:hAnsi="arial" w:cs="arial"/>
          <w:color w:val="000000"/>
          <w:sz w:val="20"/>
          <w:lang w:val="en-US" w:eastAsia="en-US" w:bidi="ar-SA"/>
        </w:rPr>
        <w:t>Based on the above, it is my interpretation that the shop can be expanded by the 2000 square feet as you requested. Your next step would be to review your plans with our Permits and Licences Division to ensure that you have adequate information to submit a building permit. They are located on the second floor of City Hall and their phone number is 561-7611.</w:t>
      </w:r>
    </w:p>
    <w:p>
      <w:pPr>
        <w:spacing w:before="120" w:line="260" w:lineRule="atLeast"/>
        <w:ind w:left="720"/>
        <w:rPr>
          <w:lang w:val="en-US" w:eastAsia="en-US" w:bidi="ar-SA"/>
        </w:rPr>
      </w:pPr>
      <w:r>
        <w:rPr>
          <w:rFonts w:ascii="arial" w:eastAsia="arial" w:hAnsi="arial" w:cs="arial"/>
          <w:color w:val="000000"/>
          <w:sz w:val="20"/>
          <w:lang w:val="en-US" w:eastAsia="en-US" w:bidi="ar-SA"/>
        </w:rPr>
        <w:t>Please call us if you require further clarification.</w:t>
      </w:r>
    </w:p>
    <w:p>
      <w:pPr>
        <w:spacing w:before="120" w:line="260" w:lineRule="atLeast"/>
        <w:ind w:left="720"/>
        <w:rPr>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Peter Bloodoff</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Director of Development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Bloodoff is deceased. Ms. Pateman, who signed the 1985 zoning confirmation, testified that while she recalled having discussions with Mr. Bloodoff regarding the proposed 1993 expansion, she could not recall the content of any discussion they had. Nothing more than the letter provides evidence of Mr. Bloodoff's thought process or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apparent from the letter that Mr. Bloodoff was of the view RBL could build the addition because the company used the building for a forestry use located on the site. Forestry was a permitted use of AFO lands. In 1993 the zoning bylaw defined Forestry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Forestry means any land used for the growing, harvesting or storage of forest products produced on the same site and the management or protection of forest lands, and includes the auction, retail or wholesale of forest products harvested on the same site, or the storage of logging equipment or supplies or the repair of such equipment used on that site, but excludes processing of timber.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RBL did not use the land for Forestry. No merchantable timber was grown or harvested on the site. The equipment that was stored or repaired on the site was not used on the site. It was used on woodlands in respect of which others had tenure.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City urged that Mr. Bloodoff's letter plainly communicated his belief that RBL was engaged in logging on the site. The City's view is that RBL misrepresented the use to which the structure would be put by not correcting Mr. Bloodoff's erroneous impression.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letter is ambiguous. There is no recitation of the definition of "Forestry" as the term is used in the bylaw. Nothing in the letter indicates that the "forestry use" of which Mr. Bloodoff wrote meant the growing, harvesting or storing of forest products on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Russell testified to his recollection of his discussions with Mr. Bloodoff. I accept Mr. Russell's evidence and find as a fact that he was not familiar with, and Mr. Bloodoff did not show him, the definition of "Forestry" contained in the zoning bylaw. I accept Mr. Russell's testimony and find as a fact that Mr. Bloodoff did not tell him that logging must be done on site if the forestry use provisions of the bylaw were to permit the construction of the addition.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as a fact that Mr. Russell did not represent to Mr. Bloodoff that the equipment was being used for logging taking place on the site. I accept Mr. Russell's evidence that that he did not construe Mr. Bloodoff's letter to mean that a forestry use would only prevail if there were logging on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Russell testified that he considered the term "forestry", in the general sense of the word, to encompass the storage, maintenance and repair of logging equipment notwithstanding that logging operations and storage and repair were pursued at different locations. In my opinion it was reasonable for Mr. Russell to construe the letter to mean that the site was being used for a forestry purpose as he understood the term. That being the case, there was no misunderstanding to correct. RBL did not misrepresent the situation to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application for a building permit with respect to the expansion was filed on August 25, 1993 in the name of RBL although it did not own the lands. The zoning confirmation assuring the permit department that the proposed use conformed to the zoning bylaw was issued the same date. The building permit was issued to RBL on September 2, 1993. Construction was completed in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1996, the land and buildings were transferred to RBL. Gordon Rahn and his wife moved from the property. An employee of the company took up residence on the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1997, RBL sold its replaceable volume logging contract and approximately two-thirds of its logging equipment. Gordon Rahn testified that he thought he could live comfortably on the sale proceeds. After the sale RBL used the remaining equipment to perform small contracts. It leased the yard and shop facilities to another logging contractor, THR Trucking Ltd. ("THR"), on a month to month term.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Rahn testified that the downsizing of RBL and the rental of the property to THR were intended to be temporary in nature. He said RBL's business would regain its pre-sale size when the economic fortunes of the forest industry improved from their depressed state in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reject the claim that RBL will resume its activities in the manner and to the extent it pursued them prior to the sale. The character of its undertaking changed in material respects in 1997. A valuable asset in the form of a replaceable volume logging contract was sold. So too was the most significant part of the company's equipment. There was no evidence of room for yet another operator in addition to those now at work in the area. There was no evidence to which any weight can be given that a purchase of assets, whether in the form of equipment or logging contracts, was seriously contemplated by RBL so as to permit a renewal of operations.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it to be more likely than not that the business of the past will not be renewed or resurrected. The probability is, and I find, that the business will continue on the greatly reduced scale at which it has been carried on since the sale in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late 1998 and early 1999, neighbours complained to the City about the use of the RBL property by THR. When attempts to find a solution to the problems posed by the RBL operation failed, the City commenced an action seeking a permanent injunction against RBL.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August 29, 2000 the City obtained an interim injunction restricting the use of the property by RBL to the repair and storage of its own equipment "at the level of usage that ha[d] persisted since 1997".</w:t>
      </w:r>
      <w:r>
        <w:rPr>
          <w:lang w:val="en-US" w:eastAsia="en-US" w:bidi="ar-SA"/>
        </w:rPr>
        <w:cr/>
      </w:r>
    </w:p>
    <w:p>
      <w:pPr>
        <w:spacing w:line="260" w:lineRule="atLeast"/>
        <w:ind w:left="720"/>
        <w:rPr>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City admits that it was under a duty to take reasonable care not to issue a building permit to an applicant allowing construction in contravention of the bylaw: see Kamloops (City) v. Nielsen </w:t>
      </w:r>
      <w:hyperlink r:id="rId70" w:history="1">
        <w:r>
          <w:rPr>
            <w:rFonts w:ascii="arial" w:eastAsia="arial" w:hAnsi="arial" w:cs="arial"/>
            <w:i/>
            <w:color w:val="0077CC"/>
            <w:sz w:val="20"/>
            <w:u w:val="single"/>
            <w:shd w:val="clear" w:color="auto" w:fill="FFFFFF"/>
            <w:lang w:val="en-US" w:eastAsia="en-US" w:bidi="ar-SA"/>
          </w:rPr>
          <w:t>(1984), 10 D.L.R. (4th) 641</w:t>
        </w:r>
      </w:hyperlink>
      <w:r>
        <w:rPr>
          <w:rFonts w:ascii="arial" w:eastAsia="arial" w:hAnsi="arial" w:cs="arial"/>
          <w:color w:val="000000"/>
          <w:sz w:val="20"/>
          <w:lang w:val="en-US" w:eastAsia="en-US" w:bidi="ar-SA"/>
        </w:rPr>
        <w:t xml:space="preserve"> (S.C.C.) and Anns v. Merton London Borough Council, [1978] A.C. 728 (H.L.).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City admits it was negligent when it issued the building permit in 1985. The admission is justified. Ms. Pateman was aware that the bylaw did not permit the construction of a repair and maintenance shop of the size that was approved. She admits she did not discharge her duty with reasonable care when she anticipated that the bylaw would be amended and signed the zoning confirmation that resulted in the issue of the permit. She admits she was aware of the risk of harm to RBL and the Rahns from doing so. The City is liable for damages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1993 the City was under the same duty of care with respect to the issue of building permits. The duty obliged the City to make reasonable enquiries with respect to the intended use of a building in order to ensure conformity with the bylaw.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in 1993 the City should reasonably be expected to have known or to have determined that the proposed addition was not intended for a Forestry use within the meaning of the bylaw. The City was negligent in issuing the permit in those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Bloodoff knew that the existing structure did not comply with the SHO provisions of the bylaw. I find as a fact he ought to have known that the addition would not be used to store, maintain or repair logging equipment used to grow, harvest or store forest products produced on the Rahn lands so as to constitute a Forestry use within the meaning of the bylaw.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site was within the municipal boundaries of Prince George. It was 6.9 acres in size and very small by logging or forestry standards. The original 3,600 square foot facility had been on the site for seven or more years. In the circumstances it was not reasonable for Mr. Bloodoff to regard the site as a Forestry site within the meaning of the bylaw. He was negligent in doing so or negligent in omitting to make the reasonable inquiries that would have readily permitted him to conclude that the use was not authorized and the expansion could not be accommodated.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reject the City's claim that there was no tort in 1993 because there was no common understanding between Mr. Bloodoff and Mr. Russell regarding the purpose for which the structure was to be used. I have found that Mr. Bloodoff was negligent in his assessment of the situation. I have found that Mr. Russell did not represent that timber was being grown or harvested from the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point out as well that the City has never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RBL or anyone acting on its behalf in respect of the procurement of either the 1985 or 1993 permits.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City claims RBL has suffered no compensable damage because its inability to use the land under the SHO provision of the zoning bylaw results from the fact that Gordon Rahn transferred the land to RBL in 1996. It is arguable that a corporate landowner cannot avail itself of the SHO exception. On the City's view, the RBL loss was caused by the transfer and not by any action on the City's part. Implicit in the City's submission is the suggestion that if the land had not been transferred to RBL, the City would permit the continued use of the building under the SHO overlay provisions of the bylaw even though the building far exceeded the size permitted for such a purpose.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accept the City's claim that RBL's loss was caused by the transfer. In 1993 the City told RBL that the benefit of the SHO provisions was not available in respect of the structure built in 1985. When RBL, rather than Gordon Rahn personally, applied for a building permit in 1993 the City advised that the use of the 1985 structure and the addition would be permitted under the head of Forestry. Under the bylaw, a Forestry use is not dependent upon personal, as opposed to corporate, ownership of the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From the outset in 1985, the City knew that RBL was the intended user of the property. In the circumstances, it is not open to the City to seek refuge in the fact that the land was transferred from personal to corporate ownership. I reiterate that the City has never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RBL. The City is liable for whatever damage RBL has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is a case of pure economic loss. It is not a case of damage occasioned by the destruction of, or damage to, property. What, then, is the appropriate measure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RBL claims that in accordance with the principle of reinstatement, the appropriate measure of damages is the amount it would be required to spend at present to construct comparable facilities on a site where the intended use is permitted. RBL justifies the claim on the basis that if the City had not been negligent and permits had been denied, the company would have constructed comparable facilities elsewhere.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City claims that the more appropriate measure of damages is the cost of the building and addition in current dollars less a credit for the proportion of their useful life that has been consumed to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general rule in tort where property has been damaged or destroyed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the injured party should be placed in the position that would have prevailed but for the injury or loss. In many instances, that requires replacement of the property regardless of the fact that the cost of replacement may be greater than the market value of what was lost or damaged: Nan v. Black Pine Manufacturing Ltd. (1991), 55 B.C.L.R, (2d) 241 (B.C.C.A.). In other instances the measure of damage has been less, amounting to compensation for the value of that which was lost: Chan v. Farrell Estates Ltd., </w:t>
      </w:r>
      <w:hyperlink r:id="rId800" w:history="1">
        <w:r>
          <w:rPr>
            <w:rFonts w:ascii="arial" w:eastAsia="arial" w:hAnsi="arial" w:cs="arial"/>
            <w:i/>
            <w:color w:val="0077CC"/>
            <w:sz w:val="20"/>
            <w:u w:val="single"/>
            <w:shd w:val="clear" w:color="auto" w:fill="FFFFFF"/>
            <w:lang w:val="en-US" w:eastAsia="en-US" w:bidi="ar-SA"/>
          </w:rPr>
          <w:t>[2001] B.C.J. No. 547</w:t>
        </w:r>
      </w:hyperlink>
      <w:r>
        <w:rPr>
          <w:rFonts w:ascii="arial" w:eastAsia="arial" w:hAnsi="arial" w:cs="arial"/>
          <w:color w:val="000000"/>
          <w:sz w:val="20"/>
          <w:lang w:val="en-US" w:eastAsia="en-US" w:bidi="ar-SA"/>
        </w:rPr>
        <w:t>. In choosing between the alternatives, the court must keep the reasonableness of the result in sight.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Where pure economic loss is involved and there has been no loss of or damage to property, the measure of damages is that which the plaintiff can establish to be the direct and foreseeable economic loss flowing from the breach of duty: see Haida Inn Partnership v. Touche Ross &amp; Co. </w:t>
      </w:r>
      <w:hyperlink r:id="rId801" w:history="1">
        <w:r>
          <w:rPr>
            <w:rFonts w:ascii="arial" w:eastAsia="arial" w:hAnsi="arial" w:cs="arial"/>
            <w:i/>
            <w:color w:val="0077CC"/>
            <w:sz w:val="20"/>
            <w:u w:val="single"/>
            <w:shd w:val="clear" w:color="auto" w:fill="FFFFFF"/>
            <w:lang w:val="en-US" w:eastAsia="en-US" w:bidi="ar-SA"/>
          </w:rPr>
          <w:t>(1989), 42 B.C.L.R. (2d) 151</w:t>
        </w:r>
      </w:hyperlink>
      <w:r>
        <w:rPr>
          <w:rFonts w:ascii="arial" w:eastAsia="arial" w:hAnsi="arial" w:cs="arial"/>
          <w:color w:val="000000"/>
          <w:sz w:val="20"/>
          <w:lang w:val="en-US" w:eastAsia="en-US" w:bidi="ar-SA"/>
        </w:rPr>
        <w:t xml:space="preserve"> (B.C.S.C.). Losses that are too remote will not be recoverable. Recoverability will be reduced to the extent a claimant has not taken reasonable measures to mitigate the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this case, I am satisfied that RBL would have constructed a building and addition suitable to its needs in 1985 and 1993 had the City declined to issue the building permits. For the reasons earlier stated, I am not satisfied, on the balance of probabilities, that RBL has need of a similar facility for the future. As a result, it would be unreasonable to assess damages as the present cost of providing a similar structure on some other piece of land properly zoned for the purpose.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opinion, the appropriate measure of the loss suffered in this case is the proportion of 1985 and 1993 building costs in current dollars at August 31, 2000 that remaining useful life is of total original estimated life. There should be added to that amount the cost incurred in attempting to rezone the property and the cost of the parking area in current dollars at August 31, 2000. Some allowance would have to be made for the fact that the parking area has been used by RBL for some portion of its useful life. Finally, the present value of the building and the parking lot should be deducted from the total derived in the manner I have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evidence adduced by RBL, the estimated useful life of the building was 41 years from 1985. It follows that the original facility was used for its intended purpose for 16 years and the 1993 addition was so used for 7 years. There is no evidence that the addition will have a useful life longer than that of the original building. It follows that the remaining useful life of the entire structure is 25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RBL books of account record the capital cost of 1985 improvements at $91,595.62 and the cost of the 1993 improvements at $68,372.83. Using consumer price index changes from year to year, the costs of the 1985 building and the 1993 addition in August 31, 2000 dollars are $129,516.21 and $76,372.45, respectively.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proportion of the cost attributable to the remaining useful life of the 1985 improvements is $78,973.30 and that of the 1993 improvements is $46,568.57. The total is $125,541.87.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RBL claims that all costs incurred in the construction of the improvements are not reflected in the books of account. No other costs were proved on the balance of probabilities. I find as a fact that the reasonable estimate of original cost is that contained in the RBL books of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amount disbursed by RBL in attempting to obtain a favourable rezoning of the property after the dispute regarding use arose was $7,097.07. This amount is recoverable. Had RBL not pursued rezoning, it would have been open to criticism for failure to mitigate. It was reasonably foreseeable from the outset that the issue of permits authorizing construction of non-conforming structures would result in a rezoning application with a view to curing the problem and reducing the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cost of the parking area comprised of approximately 3 acres was not established in the evidence on a balance of probabilities. Gordon Rahn offered estimates of cost. In the absence of records tending to substantiate the estimates, I am not prepared to accept them as reliable. I am unable to make any assessment of the loss that has been suffered by RBL as a result of constructing the parking area for use in conjunction with the non-conforming structures.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City did not tender any evidence of the residual value of the original building, the extension, or the parking area based on uses to which the facilities might lawfully be put. RBL tendered an appraisal offering the opinion that the value of the entire property as a residential property was $200,000 while its value when used for the light industrial purpose for which the buildings and parking area were intended was $400,000.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appraisal is not helpful in the assessment of damages in the manner I consider appropriate. Value at a point that is 16 years or 7 years after construction is too remote a base on which to assess damages for economic loss. Moreover, the appraisal does not separate the value of land from the value of buildings whether in respect of the RBL property or the comparables considered by the appraiser. That allocation is essential given that the zoning of the RBL land and each of the comparables is materially different. The allocation is also essential if any assessment of residual building and parking area values is to be made in order to reduce the RBL damage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absence of any reliable evidence on parking area cost or residual building and parking area values, I am unable to consider their effect on the assessment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follows that I assess the damages sustained by RBL at the amount of $132,638.94. RBL is entitled to prejudgment interest on $125,541.87 from August 31, 2000, and on the rezoning costs, from the date such expenses were incurred.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Injunction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City is entitled to a permanent injunction. I am not prepared to agree that the terms should be those used in the temporary injunction. It is not for the court to condone what is arguably an unlawful use of the buildings and property, namely the SHO use of lands by a company. Rather the court may enjoin that which is contrary to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follows that RBL shall be permanently enjoined from permitting the use of its land or buildings by anyone other than RBL, whether or not for economic gain, for the purpose of storing, repairing or maintaining motor vehicles or equipment of every nature and kind.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City can decide whether any other use to which the lands may actually be put by RBL will be permitted.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parties are at liberty to make written submissions with respect to costs through the registry.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PITFIELD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Robson v. Trail Bay Developments Ltd., [2009] B.C.J. No. 1212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S073933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1212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179 A.C.W.S. (3d) 229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Sage Robson, Plaintiff, and Trail Bay Developments Ltd. and Trail Bay Properties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8" w:name="Keywords_40"/>
      <w:bookmarkEnd w:id="298"/>
      <w:r>
        <w:rPr>
          <w:rFonts w:ascii="arial" w:eastAsia="arial" w:hAnsi="arial" w:cs="arial"/>
          <w:b/>
          <w:color w:val="000000"/>
          <w:sz w:val="20"/>
          <w:lang w:val="en-US" w:eastAsia="en-US" w:bidi="ar-SA"/>
        </w:rPr>
        <w:t xml:space="preserve">Tort law — Occupiers' liability — Duty of occupier — Unusual danger — To warn of danger — Application by the defendant owners and operators of a shopping mall for an order dismissing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allowed — The plaintiff fell off the edge of a concrete ramp — The plaintiff failed to demonstrate that the ramp was unsafe or constituted an unusual danger — The plaintiff's awareness was diminished because she was attempting to locate her keys in her purse — It was obvious to anyone approaching the ramp that they were travelling in a construction zone and there were sufficient warnings — Occupiers Liability Act, s. 3(1).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Trials — Nonsuit or dismissal of action — Application by the defendant owners and operators of a shopping mall for an order dismissing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allowed — The plaintiff fell off the edge of a concrete ramp — The plaintiff failed to demonstrate that the ramp was unsafe or constituted an unusual danger — The plaintiff's awareness was diminished because she was attempting to locate her keys in her purse — It was obvious to anyone approaching the ramp that they were travelling in a construction zone and there were sufficient warnings — Occupiers Liability Act, s. 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9" w:name="Case Summary_40"/>
            <w:bookmarkEnd w:id="2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owners and operators of a shopping mall applied for an order dismissing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plaintiff fell off the edge of a concrete ramp while looking into her purse to retrieve the keys for her vehicle. The defendants had constructed the ramp in preparation for major renovations. There were numerous signs warning people that construction was underway and the ramp was light-to-medium gray concrete while the asphalt was black. The plaintiff claimed the defendants were in breach of the duties owed to users of the mall and were negligent, submitting that the edge of the sidewalk should have been painted.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0" w:name="Holdings of Court_32"/>
            <w:bookmarkEnd w:id="30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demonstrate that the ramp was unsafe or constituted an unusual danger. The plaintiff was under a duty to be aware of her surroundings and this awareness was diminished by the fact that she was attempting to locate her vehicle keys in her purse. It was obvious to anyone approaching the ramp that they were travelling in a construction zone and there were sufficient warnings in and around the area such that it did not constitute an unusual danger. There was no evidence that painting of the sidewalk was required by any applicable authority or even by industry or common practice. The plaintiff entered the mall by going up the ramp and therefore had the opportunity to observe the ramp and its relation to the asphalt parking surface. The action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Legislation Cited_31"/>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44"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2" w:name="Counsel_40"/>
      <w:bookmarkEnd w:id="3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J.J. Hyde.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J.D. McAfee and M.M. Thiessen.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3" w:name="Judgment_41"/>
      <w:bookmarkEnd w:id="303"/>
      <w:r>
        <w:pict>
          <v:line id="_x0000_s1229"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4" w:name="G.D. BURNYEAT J."/>
            <w:bookmarkEnd w:id="304"/>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July 14, 2005, Ms. Robson fell at the Trail Bay Mall, which is owned and operated by the Defendants. Pursuant to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Robson claims the Defendants were in breach of the duties owed to users of the Mall and were negligent. This application by the Defendants pursuant to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for an order that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early 2004, the Defendants began preparing for major renovations to the Mall which included a large addition. During the course of construction, numerous signs warning people that construction was underway were present. Anyone approaching the Mall would see that construction was underway. During the course of construction, a ramp was constructed near the northeast entrance of the Mall by pouring a concrete slab which was approximately 30 feet wide and 18 feet long. The ramp sloped from being flush with the parking lot adjacent to the Mall up to the height of the sidewalk which surrounded the Mall. The sidewalk was approximately 4 inches above the adjacent parking lot surface. The concrete ramp was light grey in colour and the asphalt of the parking lot was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ramp lead to a covered construction "tunnel" which, in turn, lead to the northeast entrance to the Mall. This "tunnel" was surrounded on all three sides by hoarding so that customers of the Mall could enter the Mall without any danger from the surrounding on-going construction. The "entrance" to the "tunnel" was approximately in the middle of the ramp. There was fencing on either side of the entrance so that it would be necessary to move to the centre of the ramp in order to be in a position to enter the "tunnel". There appears to have been no artificial lighting within the "tunnel" so that any customers exiting the "tunnel" would go from relative darkness into sunshine. The weather was sunny on July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day in question, a small open-topped construction dumpster, measuring approximately 6 to 8 feet in length and 6 to 8 feet in width was beside the ramp in a parking stall immediately adjacent on the left side of the ramp as Ms. Robson exited the Mall through the "tunnel". I find that, after exiting the "tunnel", Ms. Robson walked at an angle to her left in order to go beyond the dumpster and towards her vehicle which was parked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find that Ms. Robson was looking into her purse to retrieve the keys for her vehicle as she approached the edge of the ramp. An independent witness saw what happened that day. In his February 18, 2009 Affidavit, Aaron Battaglio states that he was walking about 10 paces behind Ms. Robson, that he was coming from the construction zone adjacent to the northeast entrance of the Mall, that he and Ms. Robson were travelling in a westerly direction from the northeast entrance of the Mall, and, as Ms. Robson was approaching the "curb", Ms. Robson was: "... looking down at her purse as though she was looking for the keys to her vehicle". Bruce Morris is the President of the Defendants. In his February 18, 2009 Affidavit, Mr. Morris states: "Ms. Robson informed me that she was looking out for her car when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her March 26, 2009 Affidavit, Ms. Robson provides this recollection of how this incident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I exited the Mall, I started to cross a concrete sidewalk/ramp (the "Ramp"). The Ramp declines from the sidewalk outside the Mall to the Mall's parking lot pavement. The top of the Ramp is flush with the sidewalk, and the bottom of the Ramp is flush with the pavement. As I walked across the Ramp, in front of me was the parking lot where my car was parked. When I reached the edge of the Ramp, I fell, sustaining injuries (the "Fall"). At the point where I fell, the Ramp drops vertically 3 to 4 inches to the pavement. I fell because I was not aware of the drop and not expecting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Robson also states that she fell about "2 feet past the northwest end of the dumpster". From that evidence and from the photograph in evidence which is thought to represent approximately where Ms. Robson fell, I find that Ms. Robson was approximately one-half of the way down the ramp. I also find that the difference in the height where she fell would be approximately two inches between the surface of the ramp and the asphalt surface of the parking lot at that point. I am satisfied that nothing turns on the question of whether the height difference was three to four inches, or approximately two inches, at the point where Ms. Robson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Robson submits that the Defendants were negligent and/or were in breach of the duty of care established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the ramp represented an unusual danger to users of the Mall as the "sheer sides of the long and wide ramp were an unexpected drop to users of the premises", as the "sheer sides of the ramp should either have been tapered to prevent the unexpected drop or marked clearly to advise users of the presence of the precipice", as the Defendants knew or ought to have known the nature of the risk and should have taken steps to "mark it or remediate it in the construction of the ramp", and as the Defendants were "in breach of their duties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the users of its premises in constructing the ramp in the fashion it did, and in failing to take any steps to mark or advise users of the risk it presented". In her March 26, 2009 Affidavit, Ms. Robson also states: "I would not have fallen if the edges of the Ramp had been marked to indicate the drop, or if the Ramp had tapered down to the pavement, instead of dropping vertically."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submit that they discharged any common law or statutory duty of care, and that the fall of Ms. Robson was caused in whole or primarily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take reasonable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CASE AUTHORITIES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 on the premises ...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test to be applied is reasonableness, not perfection: </w:t>
      </w:r>
      <w:r>
        <w:rPr>
          <w:rFonts w:ascii="arial" w:eastAsia="arial" w:hAnsi="arial" w:cs="arial"/>
          <w:i/>
          <w:color w:val="000000"/>
          <w:sz w:val="20"/>
          <w:lang w:val="en-US" w:eastAsia="en-US" w:bidi="ar-SA"/>
        </w:rPr>
        <w:t>Weiss v. Greater Vancouver YMCA</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Thomas v. Super-Valu Stores Ltd.</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(1978), 9 B.C.L.R. 210</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(B.C.C.A.). At the same time, a plaintiff has a duty to keep a proper lookout for his or her own safety, and to be aware of their surroundings: </w:t>
      </w:r>
      <w:r>
        <w:rPr>
          <w:rFonts w:ascii="arial" w:eastAsia="arial" w:hAnsi="arial" w:cs="arial"/>
          <w:i/>
          <w:color w:val="000000"/>
          <w:sz w:val="20"/>
          <w:lang w:val="en-US" w:eastAsia="en-US" w:bidi="ar-SA"/>
        </w:rPr>
        <w:t>Gervais v. Do</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[2000] B.C.J. No. 1732</w:t>
        </w:r>
      </w:hyperlink>
      <w:r>
        <w:rPr>
          <w:rFonts w:ascii="arial" w:eastAsia="arial" w:hAnsi="arial" w:cs="arial"/>
          <w:color w:val="000000"/>
          <w:sz w:val="20"/>
          <w:lang w:val="en-US" w:eastAsia="en-US" w:bidi="ar-SA"/>
        </w:rPr>
        <w:t xml:space="preserve"> (B.C.S.C.) at para. 27. In </w:t>
      </w:r>
      <w:r>
        <w:rPr>
          <w:rFonts w:ascii="arial" w:eastAsia="arial" w:hAnsi="arial" w:cs="arial"/>
          <w:i/>
          <w:color w:val="000000"/>
          <w:sz w:val="20"/>
          <w:lang w:val="en-US" w:eastAsia="en-US" w:bidi="ar-SA"/>
        </w:rPr>
        <w:t>Gervais v. Do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R. Holmes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upon the plaintiff to demonstrate on a balance of probabilities, that the premises were unsafe and the unsafe condition caused or contributed to his injury. The plaintiff has a duty to keep a proper lookout for his own safety and to be aware of his surroundings. (at paras. 26-27)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Arkesteyn v. Burgess</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[1989] B.C.J. No. 264</w:t>
        </w:r>
      </w:hyperlink>
      <w:r>
        <w:rPr>
          <w:rFonts w:ascii="arial" w:eastAsia="arial" w:hAnsi="arial" w:cs="arial"/>
          <w:color w:val="000000"/>
          <w:sz w:val="20"/>
          <w:lang w:val="en-US" w:eastAsia="en-US" w:bidi="ar-SA"/>
        </w:rPr>
        <w:t xml:space="preserve"> (B.C.S.C.), Hinds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factors may be considered in determining whether an occupier such as the defendant has fulfilled the duty imposed by section 3(1)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and most important factor is whether there existed an unusual danger. That factor was considered in </w:t>
      </w:r>
      <w:r>
        <w:rPr>
          <w:rFonts w:ascii="arial" w:eastAsia="arial" w:hAnsi="arial" w:cs="arial"/>
          <w:i/>
          <w:color w:val="000000"/>
          <w:sz w:val="20"/>
          <w:lang w:val="en-US" w:eastAsia="en-US" w:bidi="ar-SA"/>
        </w:rPr>
        <w:t>Weiss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Weiss v. Y.M.C.A.</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(B.C.C.A.)], in </w:t>
      </w:r>
      <w:r>
        <w:rPr>
          <w:rFonts w:ascii="arial" w:eastAsia="arial" w:hAnsi="arial" w:cs="arial"/>
          <w:i/>
          <w:color w:val="000000"/>
          <w:sz w:val="20"/>
          <w:lang w:val="en-US" w:eastAsia="en-US" w:bidi="ar-SA"/>
        </w:rPr>
        <w:t>Crerar v. Dover</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[1984] 3 W.W.R. 236</w:t>
        </w:r>
      </w:hyperlink>
      <w:r>
        <w:rPr>
          <w:rFonts w:ascii="arial" w:eastAsia="arial" w:hAnsi="arial" w:cs="arial"/>
          <w:color w:val="000000"/>
          <w:sz w:val="20"/>
          <w:lang w:val="en-US" w:eastAsia="en-US" w:bidi="ar-SA"/>
        </w:rPr>
        <w:t xml:space="preserve"> (B.C.S.C.), affirmed on appeal, </w:t>
      </w:r>
      <w:hyperlink r:id="rId813" w:history="1">
        <w:r>
          <w:rPr>
            <w:rFonts w:ascii="arial" w:eastAsia="arial" w:hAnsi="arial" w:cs="arial"/>
            <w:i/>
            <w:color w:val="0077CC"/>
            <w:sz w:val="20"/>
            <w:u w:val="single"/>
            <w:shd w:val="clear" w:color="auto" w:fill="FFFFFF"/>
            <w:lang w:val="en-US" w:eastAsia="en-US" w:bidi="ar-SA"/>
          </w:rPr>
          <w:t>[1985] B.C.J. No. 2508</w:t>
        </w:r>
      </w:hyperlink>
      <w:r>
        <w:rPr>
          <w:rFonts w:ascii="arial" w:eastAsia="arial" w:hAnsi="arial" w:cs="arial"/>
          <w:color w:val="000000"/>
          <w:sz w:val="20"/>
          <w:lang w:val="en-US" w:eastAsia="en-US" w:bidi="ar-SA"/>
        </w:rPr>
        <w:t xml:space="preserve"> ..., and in </w:t>
      </w:r>
      <w:r>
        <w:rPr>
          <w:rFonts w:ascii="arial" w:eastAsia="arial" w:hAnsi="arial" w:cs="arial"/>
          <w:i/>
          <w:color w:val="000000"/>
          <w:sz w:val="20"/>
          <w:lang w:val="en-US" w:eastAsia="en-US" w:bidi="ar-SA"/>
        </w:rPr>
        <w:t>Liszt et al. v. Walbohm Building Materials Ltd.</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[1987] B.C.J. No. 1149</w:t>
        </w:r>
      </w:hyperlink>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other factors set out by Hinds J. were the existence or non-existence of posted warning signs, and the ease, difficulty and expense with which any unusual danger could have been remedied.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considering whether there was an unusual danger, I make the following findings. The surfaces on the parking lot and on the ramp appear to be in good condition. There is nothing to indicate that the area was not in compliance with building, by-law, and/or safety codes. There were no obstructions to vision apart from the natural effect on the eyes of Ms. Robson as they adjusted from the shade and darkness of the "tunnel" to the sunlight. The evidence does not indicate that any shade caused by the building behind her or from the dumpster obscured the ability of Ms. Robson to see the demarcation line between the ramp and the asphalt. The ramp was light-to-medium-gray concrete, while the asphalt was black. It would have been obvious to anyone approaching the ramp or exiting the "tunnel" that they were travelling into or out of a construction zone. There were sufficient warnings in and around the tunnel such that this area did not constitute an unusual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Robson submits that the edge of the sidewalk should have been painted. In his February 18, 2009 Affidavit, Mr. Morris of the Defendants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Trail Bay's policy to paint the curb yellow if they did not want a car to be stopped in that location. The policy was premised on the belief by the management of Trail Bay that painting curbs, other than to indicate a no-parking zone, would create confusion and the contrast between the grey concrete and the black asphalt made the edge of the curb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no evidence that painting was required by any applicable authority, or even by an industry or common practice in use at other locations. While compliance with the local Building Code does not provide a defence, the local Building Code does establish the minimum standard required: </w:t>
      </w:r>
      <w:r>
        <w:rPr>
          <w:rFonts w:ascii="arial" w:eastAsia="arial" w:hAnsi="arial" w:cs="arial"/>
          <w:i/>
          <w:color w:val="000000"/>
          <w:sz w:val="20"/>
          <w:lang w:val="en-US" w:eastAsia="en-US" w:bidi="ar-SA"/>
        </w:rPr>
        <w:t>Simon v. Strata Plan KAS2093</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[2007] B.C.J. No. 2349</w:t>
        </w:r>
      </w:hyperlink>
      <w:r>
        <w:rPr>
          <w:rFonts w:ascii="arial" w:eastAsia="arial" w:hAnsi="arial" w:cs="arial"/>
          <w:color w:val="000000"/>
          <w:sz w:val="20"/>
          <w:lang w:val="en-US" w:eastAsia="en-US" w:bidi="ar-SA"/>
        </w:rPr>
        <w:t xml:space="preserve"> (B.C.S.C.). The evidence establishes that yellow paint was only used in the Municipality of Sechelt to mark curbs where parking was not permitted. However, Ms. Robson submits that, while the contrast in colour between the ramp and the asphalt was obvious, the fact that there was a drop-off at that point was not, as the slope was so gradual that it gave no warning of the drop-off. What is submitted on behalf of Ms. Robson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length and width of the ramp, a person stepping from the Mall onto the centre of the uphill end of the ramp is about 15' from either side of the ramp. At this distance, it would be unlikely the person would perceive that there was a sheer drop at either side of the ramp. What they might perceive is that directly ahead of them the concrete was flush with the asphalt. Furthermore, the gradient is so slight that they might not perceive any slope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submitted on behalf of Ms. Robson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take reasonable care for the safety of users of the premises, the Defendant should have taken into account the likely circumstances of such users, whether they would be carrying packages that might obscure their view, or looking for their keys as they go to their cars, or distracted by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also submitted on behalf of Ms. Robson that a user is not required to travel about with their eyes glued to the floor or the ground: </w:t>
      </w:r>
      <w:r>
        <w:rPr>
          <w:rFonts w:ascii="arial" w:eastAsia="arial" w:hAnsi="arial" w:cs="arial"/>
          <w:i/>
          <w:color w:val="000000"/>
          <w:sz w:val="20"/>
          <w:lang w:val="en-US" w:eastAsia="en-US" w:bidi="ar-SA"/>
        </w:rPr>
        <w:t>Coleman v. Yen Hoy Enterprises Ltd.</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[2000] B.C.J. No. 403</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Hunning v. Huang</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[1984] B.C.J. No. 2087</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Pedan v. Lark Holdings Ltd.</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[1981] B.C.J. No. 1052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Jones v. Vancouver</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[1979] 2 W.W.R. 138</w:t>
        </w:r>
      </w:hyperlink>
      <w:r>
        <w:rPr>
          <w:rFonts w:ascii="arial" w:eastAsia="arial" w:hAnsi="arial" w:cs="arial"/>
          <w:color w:val="000000"/>
          <w:sz w:val="20"/>
          <w:lang w:val="en-US" w:eastAsia="en-US" w:bidi="ar-SA"/>
        </w:rPr>
        <w:t xml:space="preserve"> at p. 140; and </w:t>
      </w:r>
      <w:r>
        <w:rPr>
          <w:rFonts w:ascii="arial" w:eastAsia="arial" w:hAnsi="arial" w:cs="arial"/>
          <w:i/>
          <w:color w:val="000000"/>
          <w:sz w:val="20"/>
          <w:lang w:val="en-US" w:eastAsia="en-US" w:bidi="ar-SA"/>
        </w:rPr>
        <w:t>Snitzer v. Becker Milk Co. Ltd.</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15 O.R. (2d) 345</w:t>
        </w:r>
      </w:hyperlink>
      <w:r>
        <w:rPr>
          <w:rFonts w:ascii="arial" w:eastAsia="arial" w:hAnsi="arial" w:cs="arial"/>
          <w:color w:val="000000"/>
          <w:sz w:val="20"/>
          <w:lang w:val="en-US" w:eastAsia="en-US" w:bidi="ar-SA"/>
        </w:rPr>
        <w:t xml:space="preserve"> at p. 355.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ramp had been used by a number of customers of the Defendants in the week that it had been in existence. There is nothing in evidence which would allow me to conclude that, either before or after July 14, 2005, other falls occurred. Although prior safe use is not determinative of the question, prior safe use has been found to be a relevant factor in determining whether premises are reasonably safe: </w:t>
      </w:r>
      <w:r>
        <w:rPr>
          <w:rFonts w:ascii="arial" w:eastAsia="arial" w:hAnsi="arial" w:cs="arial"/>
          <w:i/>
          <w:color w:val="000000"/>
          <w:sz w:val="20"/>
          <w:lang w:val="en-US" w:eastAsia="en-US" w:bidi="ar-SA"/>
        </w:rPr>
        <w:t>Cahoon v. Wendy's Restaurant of Canada</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[2000] B.C.J. No. 762</w:t>
        </w:r>
      </w:hyperlink>
      <w:r>
        <w:rPr>
          <w:rFonts w:ascii="arial" w:eastAsia="arial" w:hAnsi="arial" w:cs="arial"/>
          <w:color w:val="000000"/>
          <w:sz w:val="20"/>
          <w:lang w:val="en-US" w:eastAsia="en-US" w:bidi="ar-SA"/>
        </w:rPr>
        <w:t xml:space="preserve"> (B.C.S.C.)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the evidence of Ms. Robson was not completely clear on the question of whether she had entered the Mall by going up the ramp into the "tunnel", I find that this was the case based on her statements at her Examination for Discovery and based on the assumption that she would exit the Mall from the same entrance/exit she had used to enter the Mall which I find to be the closest entrance/exit to where her vehicle was parked in the parking lot. Because I come to this conclusion, Ms. Robson would have had an opportunity to observe the ramp and its relation to the asphalt parking surface so that she would reasonably have observed that there was a height differential running along the edge of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Even with a minimal amount of attention paid, the edge of the ramp and the height differential was there to be seen. Ms. Robson was under a duty to be aware of her surroundings. I am satisfied that this awareness was diminished by the fact that Ms. Robson was attempting to locate her vehicle keys in her purse. In this regard, I accept the evidence of the independent witness, as well as what Ms. Robson states in her December 9, 2008 Examination for Discovery where she was asked the following questions and gave the following answers:</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particular reason why you cut to your left in the fashion that you did as opposed to heading straight out the end of the wheelchair ramp?</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my car was in that direction.</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recall what you were doing just prior to your fall? Where you were looking?</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advised by a witness, Mr. Battaglio, that he observed you digging in your purse just prior to your fall. Are you able to tell me whether that was in fact the case?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Ms. Robson has failed to demonstrate on a balance of probabilities that the ramp was unsafe or that it constituted an unusual danger. The edge of the ramp was there to be seen. It was not seen because Ms. Robson was paying attention to extracting her keys from her purse, rather than watching where she was stepping. While perfection might have seen the Defendants placing some sort of barricade at that side of the ramp, the steps taken by the Defendants to assure patrons that the premises were reasonably safe were more than sufficient in the circumstances. There was no unusual danger. At the same time, Ms. Robson has not proven on a balance of probabilities that the Defendants were negligent. The dismissal of the Action of Ms. Robson is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Ruby Lake Country Developments Ltd. v. Kennedy, [2010] B.C.J. No. 2657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88907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2657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1887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196 A.C.W.S. (3d) 1179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3626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Ruby Lake Country Developments Ltd., Ruby Holdings Ltd. and Vernon Spetifore, Plaintiffs, and John S. Kennedy, Lawyer, Porter Ramsey LLP, Law Firm, the Law Society of British Columbia and the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5" w:name="Keywords_41"/>
      <w:bookmarkEnd w:id="30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Applications by the Law Society and the Attorney General for dismissal of the action against them allowed — Plaintiff sued its lawyer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alleged Law Society and Attorney General breached their duty of care to plaintiff and were vicariously liable for layer's conduct — Relationship between Law Society and lawyers was not such that Law Society or Attorney General could or should be held vicariously liable for the tortious acts of lawyer — Relationship between clients of lawyers and the Law Society or the Attorney General did not give rise to private law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6" w:name="Case Summary_41"/>
            <w:bookmarkEnd w:id="3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Law Society and the Attorney General for dismissal of the action against them. The plaintiff alleged that the defendant Kennedy, a solicitor with the defendant firm Porter Ramsey, was negligent in his representation of the plaintiff in prior foreclosure proceedings. The plaintiff alleged that the Law Society and Attorney General were vicariously liable and owed the plaintiff a duty of care which they breached.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7" w:name="Holdings of Court_33"/>
            <w:bookmarkEnd w:id="307"/>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on the facts, the plaintiff could not succeed against either the Law Society or the Attorney General on the basis of vicarious liability. The quality of the relationship between the Law Society and lawyers was not such that the former could or should be held vicariously liable for the tortious acts of the latter. Kennedy was not performing any tasks assigned by either defendant, nor could his pursuit of his client's instructions be regarded as a materialization of a risk created by the relationship between him and either the Law Society or the Attorney General. The plaintiff's claims based on the assertion that these defendants were directly liable were, in the circumstances of this case, bound to fail. The relationship between the clients of lawyers and the Law Society or the Attorney General simply did not rise to the level necessary to ground a private law duty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8" w:name="Legislation Cited_32"/>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Attorney General Act, </w:t>
      </w:r>
      <w:hyperlink r:id="rId827" w:history="1">
        <w:r>
          <w:rPr>
            <w:rFonts w:ascii="arial" w:eastAsia="arial" w:hAnsi="arial" w:cs="arial"/>
            <w:i/>
            <w:color w:val="0077CC"/>
            <w:sz w:val="20"/>
            <w:u w:val="single"/>
            <w:shd w:val="clear" w:color="auto" w:fill="FFFFFF"/>
            <w:lang w:val="en-US" w:eastAsia="en-US" w:bidi="ar-SA"/>
          </w:rPr>
          <w:t>RSBC 1996, CHAPTER 22, s. 2</w:t>
        </w:r>
      </w:hyperlink>
      <w:r>
        <w:rPr>
          <w:rFonts w:ascii="arial" w:eastAsia="arial" w:hAnsi="arial" w:cs="arial"/>
          <w:color w:val="000000"/>
          <w:sz w:val="20"/>
          <w:lang w:val="en-US" w:eastAsia="en-US" w:bidi="ar-SA"/>
        </w:rPr>
        <w: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Professions Act, s. 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9" w:name="Counsel_41"/>
      <w:bookmarkEnd w:id="3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V.G. Spetifore.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Greathead, A. Priess.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42"/>
      <w:bookmarkEnd w:id="310"/>
      <w:r>
        <w:pict>
          <v:line id="_x0000_s1234"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1" w:name="G. BARROW J. (orally)"/>
            <w:bookmarkEnd w:id="311"/>
            <w:r>
              <w:rPr>
                <w:rFonts w:ascii="arial" w:eastAsia="arial" w:hAnsi="arial" w:cs="arial"/>
                <w:b/>
                <w:color w:val="000000"/>
                <w:sz w:val="30"/>
                <w:lang w:val="en-US" w:eastAsia="en-US" w:bidi="ar-SA"/>
              </w:rPr>
              <w:t>G. BARROW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of the defendants in this action have applied to have the claim against them dismissed. The Attorney General relies on Rule 9-5(1)(a). The Law Society of British Columbia relies on other subsections within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commenced this action on October 5, 2010. I assume that the corporate defendants are companies controlled by the personal defendant, Mr. Spetifore. The defendant, Mr. Kennedy, is Mr. Spetifore's previous lawyer. His law firm is also a defendant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arises out of two other proceedings in which the plaintiffs in this case were defendants. Those earlier proceedings were foreclosure actions. Ruby Lake was the mortgagor in one action. Vernon Spetifore was named as a defendant in both because he had guaranteed the mortgage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Orders nisi of foreclosure and personal judgment were granted in both proceedings in March 2009. Mr. Kennedy acted for both the mortgagors and Mr. Spetifore and other personal defendants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action in which these applications are brought, the notice of civil claim sets out that the plaintiff retained Mr. Kennedy to act in the two cases I have just described. The plaintiff pleads that Mr. Kennedy owed them a duty and that he breached that duty in a number of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Those alleged breaches are particularized in paragraphs 5 to 16 of the notice of claim. The allegations are that Mr. Kennedy did not plead that the mortgagees committed unconscionable acts or deceptive trade acts, that he did not advance a counterclaim, and that he failed to object to the admissibility of certain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against the Attorney General of B.C. and the Law Society of B.C., the notice of claim reads at paras. 18 to 24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Defendant "the Law Society of British Columbia" did violate the Legal Profession Act and is therefore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Defendant "the Law Society of British Columbia" did have a non-delegable statutory duty to uphold and protect the public interest in the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Defendant "the Law Society of British Columbia" did have a vicarious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Defendant "the Attorney General of BC" did violate the Attorney General Act and is therefore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Defendant "the Attorney General of BC" did have a non-delegable statutory duty to superintend all matters connected with the administration of justice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Defendant "the Attorney General of BC" did have a vicarious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Defendant John S. Kennedy, the Defendant lawfirm (sic) Porter Ramsey, the Defendant the Law Foundation of British Columbia and the Defendant Attorney General of BC are jointly and severally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assume that the reference in paragraph 24 to the Law Foundation should be a reference to the Law Society. These are the only paragraphs in the notice of claim that mention the Attorney General of British Columbia or the Law Society. From these paragraphs, it is apparent that as against these defendants, the plaintiff's claim is both direct and indirect. The direct claim is that the defendants owed the plaintiff a duty of care which they breached. The indirect claim rests on the assertion that the defendants are vicariously liable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the Law Society invokes other aspects of Rule 9-5(1), I find it necessary to deal only with Rule 9-5(1)(a). It provides that a pleading may be struck out on the ground that it discloses no reasonable claim. The test for determining whether to strike a pleading under the rule is stringent. It must be "plain and obvious" that the pleading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applying the test, the court is to assume the facts pleaded are true. Considerations that may assist in guiding the application of the plain and obvious test were set out in </w:t>
      </w:r>
      <w:r>
        <w:rPr>
          <w:rFonts w:ascii="arial" w:eastAsia="arial" w:hAnsi="arial" w:cs="arial"/>
          <w:i/>
          <w:color w:val="000000"/>
          <w:sz w:val="20"/>
          <w:lang w:val="en-US" w:eastAsia="en-US" w:bidi="ar-SA"/>
        </w:rPr>
        <w:t>Strata Plan LMS 1328 v. Surrey (City of)</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2001 BCCA 693</w:t>
        </w:r>
      </w:hyperlink>
      <w:r>
        <w:rPr>
          <w:rFonts w:ascii="arial" w:eastAsia="arial" w:hAnsi="arial" w:cs="arial"/>
          <w:color w:val="000000"/>
          <w:sz w:val="20"/>
          <w:lang w:val="en-US" w:eastAsia="en-US" w:bidi="ar-SA"/>
        </w:rPr>
        <w:t>. At paragraph 5 of that decision, Lambert J.A. adopted the following summary:</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complexity or novelty;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outcome of the claim at trial is beyond a reasonable doubt;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serious questions of law or questions of general importance are raised or if facts should be known before rights are decided;</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pleadings might be amended; 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element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All of this was most recently summarized and adopted by the Court of Appeal in </w:t>
      </w:r>
      <w:r>
        <w:rPr>
          <w:rFonts w:ascii="arial" w:eastAsia="arial" w:hAnsi="arial" w:cs="arial"/>
          <w:i/>
          <w:color w:val="000000"/>
          <w:sz w:val="20"/>
          <w:lang w:val="en-US" w:eastAsia="en-US" w:bidi="ar-SA"/>
        </w:rPr>
        <w:t>Cimaco International Sales, Inc. v. British Columbia (Attorney General)</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at paras. 39 and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deal with the claims based on vicarious liability first. I note that there are virtually no facts pleaded which support the claim; rather, there is simply the bald assertion that the defendants are vicariously liable. I will assume that the claims rest on the statutory obligations these defendants have in relation to the conduct of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Legal Professions Act</w:t>
      </w:r>
      <w:r>
        <w:rPr>
          <w:rFonts w:ascii="arial" w:eastAsia="arial" w:hAnsi="arial" w:cs="arial"/>
          <w:color w:val="000000"/>
          <w:sz w:val="20"/>
          <w:lang w:val="en-US" w:eastAsia="en-US" w:bidi="ar-SA"/>
        </w:rPr>
        <w:t>, which continues the Law Society as a legal entity and defines the object of the society, provides in s. 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It is the object and duty of the society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uphold and protect the public interest in the administration of justice by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preserving and protecting the rights and freedoms of all persons,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the independence, integrity and honour of its members,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standards for the education, professional responsibility and competence of its members and applicants for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gather that the plaintiff in this proceeding rests its claim on the broad object of the society set out in the opening words of s. 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Attorney General Act</w:t>
      </w:r>
      <w:r>
        <w:rPr>
          <w:rFonts w:ascii="arial" w:eastAsia="arial" w:hAnsi="arial" w:cs="arial"/>
          <w:color w:val="000000"/>
          <w:sz w:val="20"/>
          <w:lang w:val="en-US" w:eastAsia="en-US" w:bidi="ar-SA"/>
        </w:rPr>
        <w:t xml:space="preserve"> provides in s. 2(c)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Attorney General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superintend all matters connected with the administration of justice in British Columbia that are not within the jurisdiction of the government of Canada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McLachlin C.J.C., on behalf of a majority of the court, set out what must be established if liability is to be imposed vicariously. At para. 19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make out a successful claim for vicarious liability, plaintiffs must demonstrate at least two things. First, they must show that the relationship between the tortfeasor and the person against whom liability is sought is sufficiently close as to make a claim for vicarious liability appropriate ... Second, plaintiffs must demonstrate that the tort is sufficiently connected to the tortfeasor's assigned tasks that the tort can be regarded as a materialization of the risks created by the enterprise ... These two issues are of course related. A tort will only be sufficiently connected to an enterprise to constitute a materialization of the risks introduced by it if the tortfeasor is sufficiently closely related to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 21, she further elucidated the analysis to be applied in the first branch of this test, namely, the relationship between the tortfeasor and the party that the plaintiff seeks to have held vicariously liable. In for-profit organizations, the task is to evaluate the relationship from a functional perspective. In doing that, one question that might usefully be asked is whether the putative tortfeasor, in this case Mr. Kennedy, was a person in business for himself, or whether he was in essence pursuing the goals of the Law Society or the Attorney General. In the latter case, the test is likely met; in the former case, it is likely not. The test is somewhat different for non-profit enterprises, and in those situations, one might ask whether the putative tortfeasor was acting on his or her own account or on behalf of the entity sought to be held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either approach, the quality of the relationship between the Law Society and lawyers is not such that the former can or should be held vicariously liable for the tortious acts of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McLachlin C.J.C. notes, the two aspects of the test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are related. If the first aspect is not met it is unlikely, although not impossible, that the second aspect will be met. That is so because the second aspect of the test invites a consideration of whether the tortious act was part of the tortfeasor's assigned tasks or can properly be regarded as a materialization of the risk created by the enterprise (that is, the enterprise of the party sought to be held vicariously liable). If there the tortfeasor was acting on his own account, it is unlikely that the tortious act will be among tasks assigned by the party said to be vicariously liable. In any case, Mr. Kennedy was not performing any tasks assigned by either defendant, nor can his pursuit of his client's instructions be regarded as a materialization of a risk created by the relationship between him and either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plain and obvious that on the facts, at least the facts that I have assumed, the plaintiff cannot succeed against either the Law Society or the Attorney General on the basis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turn now to the question of whether the Attorney General or the Law Society might be directly liable to this plaintiff. If there is direct liability in the context of the facts of this case, it would amount to a new category of relationships within the meaning of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 To the extent that is so, the question is whether a duty of care should be recognized. That requires a consideration of both foreseeability and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These propositions are set out by McLachlin C.J.C. and Major J.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At paragraph 42, the court wrote the plaintiff must show that the party against whom liability is sought to be imposed "was in a close and direct relationship" with the plaintiff such that it would be "just to impose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the court held that if a duty of care exists in connection with entities such as the Law Society or the Attorney General, it must arise from the statute creating them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as I indicated earlier, points to the </w:t>
      </w:r>
      <w:r>
        <w:rPr>
          <w:rFonts w:ascii="arial" w:eastAsia="arial" w:hAnsi="arial" w:cs="arial"/>
          <w:i/>
          <w:color w:val="000000"/>
          <w:sz w:val="20"/>
          <w:lang w:val="en-US" w:eastAsia="en-US" w:bidi="ar-SA"/>
        </w:rPr>
        <w:t>Attorney General Act</w:t>
      </w:r>
      <w:r>
        <w:rPr>
          <w:rFonts w:ascii="arial" w:eastAsia="arial" w:hAnsi="arial" w:cs="arial"/>
          <w:color w:val="000000"/>
          <w:sz w:val="20"/>
          <w:lang w:val="en-US" w:eastAsia="en-US" w:bidi="ar-SA"/>
        </w:rPr>
        <w:t xml:space="preserve">, and specifically s. 2(c), and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and specifically s. (a)(3). Both the Law Society and the Attorney General argue that, to the extent the enacting legislation creates duties, these duties are owed to the public as a whole and not to individual clients of individual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Jones (Litigation guardian of) v. Donaghey</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2010 BCSC 1498</w:t>
        </w:r>
      </w:hyperlink>
      <w:r>
        <w:rPr>
          <w:rFonts w:ascii="arial" w:eastAsia="arial" w:hAnsi="arial" w:cs="arial"/>
          <w:color w:val="000000"/>
          <w:sz w:val="20"/>
          <w:lang w:val="en-US" w:eastAsia="en-US" w:bidi="ar-SA"/>
        </w:rPr>
        <w:t xml:space="preserve">, the Province of British Columbia represented by both the Ministry of Children and Families and the Attorney General, sought to strike a claim under Rule 9-5(1). The Attorney General's direct liability in that case was said to rest, in part, on s. 2(c) of the </w:t>
      </w:r>
      <w:r>
        <w:rPr>
          <w:rFonts w:ascii="arial" w:eastAsia="arial" w:hAnsi="arial" w:cs="arial"/>
          <w:i/>
          <w:color w:val="000000"/>
          <w:sz w:val="20"/>
          <w:lang w:val="en-US" w:eastAsia="en-US" w:bidi="ar-SA"/>
        </w:rPr>
        <w:t>Attorney General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case arose out of an injury sustained by a young boy while in foster care. Macaulay J. granted the application and dismissed the claim as against the Attorney General. In doing so, he emphasized the distinction between the Attorney General's public law duties and any private law duty that the office or office holder may have. He reasoned, relying in part on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that when there is a statutory duty to the public at large, that alone is not sufficient to give rise to a private law duty. Indeed, as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he noted that a private law duty may and often will be inconsistent with the overarching duty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analysis applies with equal force to the circumstances at bar. The statutes in this case do not, in my judgment, create private law duties in relation to this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Moreover, and independent of the foregoing, if one steps back to the broad question posed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namely, whether the plaintiff has shown a close and direct relationship between the Attorney General on the one hand and the Law Society of British Columbia on the other, such that it would be just to impose a duty of care, the answer in my view is no. In both </w:t>
      </w:r>
      <w:r>
        <w:rPr>
          <w:rFonts w:ascii="arial" w:eastAsia="arial" w:hAnsi="arial" w:cs="arial"/>
          <w:i/>
          <w:color w:val="000000"/>
          <w:sz w:val="20"/>
          <w:lang w:val="en-US" w:eastAsia="en-US" w:bidi="ar-SA"/>
        </w:rPr>
        <w:t>Donaghue v. Stevenson</w:t>
      </w:r>
      <w:r>
        <w:rPr>
          <w:rFonts w:ascii="arial" w:eastAsia="arial" w:hAnsi="arial" w:cs="arial"/>
          <w:color w:val="000000"/>
          <w:sz w:val="20"/>
          <w:lang w:val="en-US" w:eastAsia="en-US" w:bidi="ar-SA"/>
        </w:rPr>
        <w:t xml:space="preserve">, [1932] A.C. 562, and </w:t>
      </w:r>
      <w:r>
        <w:rPr>
          <w:rFonts w:ascii="arial" w:eastAsia="arial" w:hAnsi="arial" w:cs="arial"/>
          <w:i/>
          <w:color w:val="000000"/>
          <w:sz w:val="20"/>
          <w:lang w:val="en-US" w:eastAsia="en-US" w:bidi="ar-SA"/>
        </w:rPr>
        <w:t>Hercules Management,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cases often relied on when considering the question of whether a duty of care exists, the emphasis is on the proximity or closeness of the relationship. The relationship between the clients of lawyers and the Law Society or the Attorney General simply does not rise to the level necessary to ground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result, the plaintiffs' claims based on the assertion that these defendants are directly liable are, in the circumstances of this case,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From the foregoing, it follows that paragraphs 18 to 23 of the notice of claim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Paragraph 24 of the notice of claim, to the extent it relates to these particular defendants, is similarly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Both parties are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Scheck v. Parkdale Place Housing Society, [2018] B.C.J. No. 1099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Rossland,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12828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Rossland</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2018 BCSC 938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293 A.C.W.S. (3d) 444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77 M.P.L.R. (5th) 339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2018 CarswellBC 1470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Muriel Winona Scheck, Plaintiff, and Parkdale Place Housing Society and The Corporation of the District of Summerland,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2" w:name="Keywords_42"/>
      <w:bookmarkEnd w:id="312"/>
      <w:r>
        <w:rPr>
          <w:rFonts w:ascii="arial" w:eastAsia="arial" w:hAnsi="arial" w:cs="arial"/>
          <w:b/>
          <w:color w:val="000000"/>
          <w:sz w:val="20"/>
          <w:lang w:val="en-US" w:eastAsia="en-US" w:bidi="ar-SA"/>
        </w:rPr>
        <w:t xml:space="preserve">Municipal law — Liability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Types — Property maintenance and operation — Sidewalks — Trip and fall — Application by District for dismissal of action against it adjourned — Plaintiff sued for injuries suffered in slip and fall accident on sidewalk — District argued any duty of care owed to plaintiff was negated by snow removal bylaw which made defendant Parkdale liable for snow removal on sidewalk — It would not be just to determine District's policy immunity defence based on its snow and ice removal bylaw without some agreement that plaintiff did in fact slip on snow or ice or sufficient evidence that snow or ice caused her fall.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Definitions — Occupier — Common law — Application by Parkdale for dismissal of the action against it allowed — Plaintiff slipped on a sidewalk owned by District — Parkdale operated seniors residence on property abutting sidewalk — Parkdale owed no duty to the plaintiff as an occupier of the municipal sidewalk where she fell — There was no evidence that Parkdale asserted any control over the activities conducted on the sidewalk outside its building or that it purported to control or regulate who might use the sidewalk.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3" w:name="Case Summary_42"/>
            <w:bookmarkEnd w:id="3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for dismissal of the action against them. The plaintiff sued for injuries suffered as a result of slip and fall accident on a public sidewalk. The sidewalk, owned by the District, separated the street from a senior's housing facility operated by the defendant Parkdale. The District argued any duty of care it owed to the plaintiff had been negated or satisfied by its snow and ice removal Bylaw which shifted any obligation to clear its sidewalk of snow and ice to Parkdale as the adjoining property owner. Parkdale argued it did not owe the plaintiff any duty of care with respect to the sidewalk as it was not an occupier of the sidewalk.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4" w:name="Holdings of Court_34"/>
            <w:bookmarkEnd w:id="314"/>
            <w:r>
              <w:rPr>
                <w:rFonts w:ascii="arial" w:eastAsia="arial" w:hAnsi="arial" w:cs="arial"/>
                <w:color w:val="000000"/>
                <w:sz w:val="20"/>
                <w:lang w:val="en-US" w:eastAsia="en-US" w:bidi="ar-SA"/>
              </w:rPr>
              <w:t>HELD: District's application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Parkdale's application allowed. The bylaw was concerned entirely with snow and ice removal and who was responsible for it. The Bylaw afforded no protection against an unreasonable defect in the sidewalk that created an unreasonable risk of tripping and did not deal with inspection for such faults. It would not be just to determine the District's policy immunity defence based on its snow and ice removal bylaw, without some agreement that the plaintiff did in fact slip on snow or ice or sufficient evidence that snow or ice caused her fall. Parkdale owed no duty to the plaintiff as an occupier of the municipal sidewalk where she fell. There was no evidence that Parkdale asserted any control over the activities conducted on the sidewalk outside its building or that it purported to control or regulate who might use the sidewalk. Its obligations to clear snow and ice gave it arguable control over at least that aspect of the condition of the sidewalk but not control over cracks or other defects in the surface of the sidewalk.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5" w:name="Legislation Cited_33"/>
      <w:bookmarkEnd w:id="3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4" w:history="1">
        <w:r>
          <w:rPr>
            <w:rFonts w:ascii="arial" w:eastAsia="arial" w:hAnsi="arial" w:cs="arial"/>
            <w:i/>
            <w:color w:val="0077CC"/>
            <w:sz w:val="20"/>
            <w:u w:val="single"/>
            <w:shd w:val="clear" w:color="auto" w:fill="FFFFFF"/>
            <w:lang w:val="en-US" w:eastAsia="en-US" w:bidi="ar-SA"/>
          </w:rPr>
          <w:t>R.S.B.C. 1996, c. 337, s. 1</w:t>
        </w:r>
      </w:hyperlink>
      <w:r>
        <w:rPr>
          <w:rFonts w:ascii="arial" w:eastAsia="arial" w:hAnsi="arial" w:cs="arial"/>
          <w:color w:val="000000"/>
          <w:sz w:val="20"/>
          <w:lang w:val="en-US" w:eastAsia="en-US" w:bidi="ar-SA"/>
        </w:rPr>
        <w:t>, s. 2(1), s.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6" w:name="Counsel_42"/>
      <w:bookmarkEnd w:id="3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Gelber.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Parkdale Place Housing Society: P.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District of Summerland: J. Krusell.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7" w:name="Judgment_43"/>
      <w:bookmarkEnd w:id="317"/>
      <w:r>
        <w:pict>
          <v:line id="_x0000_s1239"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8" w:name="R. JOHNSTON J._1"/>
            <w:bookmarkEnd w:id="318"/>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29, 2015 Ms. Scheck slipped and fell on a public sidewalk in Summerland, B.C. The sidewalk separated Angus Street in Summerland from a senior's housing facility operated by the defendant Parkdale Place Housing Society ("Parkdale"), where Ms. Scheck lived. The sidewalk was the property of the defendant The Corporation of the District of Summerland ("Summerland").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All parties agree that Ms. Scheck fell on Summerland's sidewalk, and that she injured herself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All parties wish the court to determine if either or both of the defendants owed Ms. Scheck a duty of care on the day she fell, and, in the case of Summerland, whether any duty it owed to Ms. Scheck was vitiated or negated by a policy immunity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For the purposes of this application, Summerland admits that it "occupied" the sidewalk where Ms. Scheck fell, in the common law sense of occupation, as well as within the definition of occupier set out in s. 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October 25, 1993, Summerland adopted Bylaw 93-065, pursuant to s. 579(2)(a)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R.S.B.C. 1979, c. 290, which is now renamed to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2015, c. 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Relevant portions of the bylaw provide:</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 shall have the meaning given it by Section 1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R.S.B.C., Chapter 290 and amendments thereto;</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owner or occupier of real property, shall remove, snow, ice or rubbish from the sidewalks or footpaths bordering on the real property owned or occupied by them not later than whichever of the following times in a particular case apply:</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such snow, ice or rubbish accumulated prior to 12:00 noon on any day then not later than 12:00 noon of that day; or</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such snow, ice or rubbish accumulated after 12:00 noon on any day then not later than 12:00 noon on the next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have not agreed on whether Ms. Scheck's fall was caused or contributed to by an accumulation of ice or snow, or both, on the sidewalk, or how much ice or snow was on the sidewalk,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Each of Summerland and Parkdale have applied for orders dismissing Ms. Scheck's claims on different bases: Summerland says any duty of care it owed to the plaintiff has been negated or in the alternative satisfied by its snow and ice removal Bylaw 93-065; Parkdale says it did not owe Ms. Scheck any duty of care with respect to Summerland's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Neither Parkdale nor Summerland have claimed over against the other by way of third party proceedings, at least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SUMMERLAND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Summerland has two main arguments: first, that it cannot be held liable as the occupier of the sidewalk for failing to "take care that in all the circumstances of the case is reasonable to see that a person, ... on the premises, ... will be reasonably safe in using the premises", in the language of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Subsection (2)(1) provides that this duty applies in relation to the condition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contains these definitions in s. 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means a person who</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premises</w:t>
      </w:r>
      <w:r>
        <w:rPr>
          <w:rFonts w:ascii="arial" w:eastAsia="arial" w:hAnsi="arial" w:cs="arial"/>
          <w:color w:val="000000"/>
          <w:sz w:val="20"/>
          <w:lang w:val="en-US" w:eastAsia="en-US" w:bidi="ar-SA"/>
        </w:rPr>
        <w:t>" includes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Summerland's argument is that any common law and/or statutory duty of care that it may have owed to Ms. Scheck "is vitiated by way of the policy immunity defence, the District's reasonable, rational and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policy decision to adopt (pursuant to its authority under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a bylaw in respect of snow, ice and rubbish removal from sidewalks, and the proper operation of that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the alternative, Summerland argues that its snow, ice and rubbish removal bylaw met the standard of care imposed on it by common law and/or statute. This argument repeats that the bylaw was reasonable, rational and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policy decision on Summerland's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effect, Summerland argues that in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 of its authority, after weighing its obligations against its ability to pay, it reasonably and properly shifted any obligation to clear its sidewalk of snow and ice to Parkdale as the adjoining property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There is no suggestion that the bylaw was not properly passed, nor that Summerland had the authority necessary to pass it under s. 579(2)(a)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R.S.B.C. 1979, c. 290, which was in effect when the bylaw was passed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Minutes of a meeting of Summerland's council where the bylaw had third reading indicate that the bylaw represented an extension of the obligation to clear municipal sidewalks of snow, ice and rubbish from owners of commercial properties to owners of all properties, and show that council considered the cost to Summerland of clearing sidewalks in residential areas before it passed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two-step approach to whether a government agency owes a duty of care to a person is taken from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(1977), [1978] A.C. 728 (U.K.H.L.), as approved by the Supreme Court of Canada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64 D.L.R. (4th) 689</w:t>
        </w:r>
      </w:hyperlink>
      <w:r>
        <w:rPr>
          <w:rFonts w:ascii="arial" w:eastAsia="arial" w:hAnsi="arial" w:cs="arial"/>
          <w:color w:val="000000"/>
          <w:sz w:val="20"/>
          <w:lang w:val="en-US" w:eastAsia="en-US" w:bidi="ar-SA"/>
        </w:rPr>
        <w:t>. The first step requires consideration of whether there was a sufficient relationship of proximity between an alleged wrongdoer and a person claiming to have suffered damage such that a person in the position of the alleged wrongdoer would reasonably contemplate that carelessness on their part may be likely to cause damage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If the answer to the first question is yes, one moves on to the second step, and that is to consider whether there are considerations that ought to negate or reduce or limit the scope of the duty owed by the wrongdoer, or the class of persons to whom the duty is owed, or the damages to which a breach of the duty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stated by Macaulay J. in </w:t>
      </w:r>
      <w:r>
        <w:rPr>
          <w:rFonts w:ascii="arial" w:eastAsia="arial" w:hAnsi="arial" w:cs="arial"/>
          <w:i/>
          <w:color w:val="000000"/>
          <w:sz w:val="20"/>
          <w:lang w:val="en-US" w:eastAsia="en-US" w:bidi="ar-SA"/>
        </w:rPr>
        <w:t>Sullivan v. Victoria (City)</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2010 BCSC 218</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step offers little difficulty. There is sufficient proximity between a municipal government and those who walk its streets that the latter reasonably expect the sidewalks to be reasonably maintained and the former foresees the risk of harm if it does not do so. Thus,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in the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the same way, and on the same reasoning, Summerland owed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Ms. Scheck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Turning to the second step, it is here that Summerland asserts what it calls its policy immunity defence. It argues that its Bylaw 93-065 negates the duty it otherwise owed to Ms. Scheck, and that the bylaw was passed in good faith as a reasonable and rational policy decision on its part, having weighed the public good against the cost to the public purse of inspecting and clearing public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alternative, Summerland argues that if it owed a duty to Ms. Scheck, its Bylaw met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branch or department of government that seeks to negate a duty of care that it would otherwise owe to a claimant, on the strength of what it asserts was a true policy decision must show that the decision on which it relies involved social, political and economical factors or constraints. See </w:t>
      </w:r>
      <w:r>
        <w:rPr>
          <w:rFonts w:ascii="arial" w:eastAsia="arial" w:hAnsi="arial" w:cs="arial"/>
          <w:i/>
          <w:color w:val="000000"/>
          <w:sz w:val="20"/>
          <w:lang w:val="en-US" w:eastAsia="en-US" w:bidi="ar-SA"/>
        </w:rPr>
        <w:t>Brown v. British Columbia</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at 441.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this case, Summerland needs to show that it acted reasonably in exercising discretion in good faith when it arrived at the decision it says negated a duty it owed Ms. Scheck. At minimum, Summerland must show that it considered the matter. See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1242-1243.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parties have agreed that Ms. Scheck fell and injured herself on Summerland's sidewalk on a winter's day in 2015, but they have not agreed on why she fell, nor is there evidence from which I can conclude the reason for her fall. Summerland submits that the court need not make findings with respect to the condition of its sidewalk when and where Ms. Scheck fell in order to decide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disagree. Summerland's Bylaw 93-065 is concerned entirely with snow and ice removal, and who is responsible for it. The Bylaw says nothing about, nor would it afford any protection against, an unreasonable defect in the sidewalk that created an unreasonable risk of tripping, nor does it deal in any way with inspection for such faults.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other circumstances, that lack of evidence might lead to a dismissal of a claim brought to summary trial, on the basis that the plaintiff in an action must lead evidence sufficient to prove her claim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But the parties' agreement to bring at least the Summerland application in order to argue Summerland's policy immunity defence may well have lulled plaintiff's counsel into thinking that for the purpose of that application, it was not important to prove the underlying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that it would not be just to determine Summerland's policy immunity defence, based on its snow and ice removal bylaw, without some agreement that Ms. Scheck did in fact slip on snow or ice on December 29, 2015, or sufficient evidence that I could find on a balance of probabilities that snow or ice caused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Given the desire of the parties to have Summerland's issue determined summarily, the appropriate order in my view is to adjourn its application to allow the parties to either agree that Ms. Scheck fell after she slipped on snow or ice, or lead enough evidence to permit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PARKDALE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Parkdale's application is different. It submits that it is entitled to have the claims against it dismissed because it was not an "occupier"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of Summerland's sidewalk at the time Ms. Scheck fell, that it owed no duty of care to Ms. Scheck, and no liability can attach to it. Parkdale says that can be decided without considering whether any steps it took to clear the sidewalk of snow and ice were sufficient to meet any standard of care that might be imposed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parties agree that Summerland's Bylaw 93-065 did not impose a common law duty of care on Parkdale.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Parkdale relies on the definition of "occupier" in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says it was not in physical possession of the sidewalk and had no control over the condition of the sidewalk, activities conducted on it and those allowed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What might constitute physical possession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considered in </w:t>
      </w:r>
      <w:r>
        <w:rPr>
          <w:rFonts w:ascii="arial" w:eastAsia="arial" w:hAnsi="arial" w:cs="arial"/>
          <w:i/>
          <w:color w:val="000000"/>
          <w:sz w:val="20"/>
          <w:lang w:val="en-US" w:eastAsia="en-US" w:bidi="ar-SA"/>
        </w:rPr>
        <w:t>Gardner v. Unimet Investments Ltd.</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 B.C.L.R. (3d) 196</w:t>
        </w:r>
      </w:hyperlink>
      <w:r>
        <w:rPr>
          <w:rFonts w:ascii="arial" w:eastAsia="arial" w:hAnsi="arial" w:cs="arial"/>
          <w:color w:val="000000"/>
          <w:sz w:val="20"/>
          <w:lang w:val="en-US" w:eastAsia="en-US" w:bidi="ar-SA"/>
        </w:rPr>
        <w:t xml:space="preserve">, 1996 CanLII 3683 (C.A.), where a trial judge's finding that a defendant was not in physical possession of an area, the defendant not having appropriated the sidewalk or placed anything in or around it, was conceded by the appellant. The Court of Appeal repeated the trial judge's citation of an unreported decision of this court in </w:t>
      </w:r>
      <w:r>
        <w:rPr>
          <w:rFonts w:ascii="arial" w:eastAsia="arial" w:hAnsi="arial" w:cs="arial"/>
          <w:i/>
          <w:color w:val="000000"/>
          <w:sz w:val="20"/>
          <w:lang w:val="en-US" w:eastAsia="en-US" w:bidi="ar-SA"/>
        </w:rPr>
        <w:t>Goldmanis v. Mador</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[1991] B.C.J. No. 3049</w:t>
        </w:r>
      </w:hyperlink>
      <w:r>
        <w:rPr>
          <w:rFonts w:ascii="arial" w:eastAsia="arial" w:hAnsi="arial" w:cs="arial"/>
          <w:color w:val="000000"/>
          <w:sz w:val="20"/>
          <w:lang w:val="en-US" w:eastAsia="en-US" w:bidi="ar-SA"/>
        </w:rPr>
        <w:t xml:space="preserve">, where the court concluded that a tenant of premises was an "occupier" of a lot immediately in front of the leased premises partly because the tenant had "physically taken possession of the area by parking a 45-foot trailer, a forklift and other materials on the lot". </w:t>
      </w:r>
      <w:r>
        <w:rPr>
          <w:rFonts w:ascii="arial" w:eastAsia="arial" w:hAnsi="arial" w:cs="arial"/>
          <w:i/>
          <w:color w:val="000000"/>
          <w:sz w:val="20"/>
          <w:lang w:val="en-US" w:eastAsia="en-US" w:bidi="ar-SA"/>
        </w:rPr>
        <w:t>Goldmanis</w:t>
      </w:r>
      <w:r>
        <w:rPr>
          <w:rFonts w:ascii="arial" w:eastAsia="arial" w:hAnsi="arial" w:cs="arial"/>
          <w:color w:val="000000"/>
          <w:sz w:val="20"/>
          <w:lang w:val="en-US" w:eastAsia="en-US" w:bidi="ar-SA"/>
        </w:rPr>
        <w:t xml:space="preserve"> was also applied by the Court of Appeal in </w:t>
      </w:r>
      <w:r>
        <w:rPr>
          <w:rFonts w:ascii="arial" w:eastAsia="arial" w:hAnsi="arial" w:cs="arial"/>
          <w:i/>
          <w:color w:val="000000"/>
          <w:sz w:val="20"/>
          <w:lang w:val="en-US" w:eastAsia="en-US" w:bidi="ar-SA"/>
        </w:rPr>
        <w:t>Chamberlain v. Jodoin</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2012 BCCA 108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agree with Parkdale that the evidence in this case, particularly the affidavit of Ms. Gray, establishes that Parkdale did not have physical possession of Summerland's sidewalk within the meaning of s. 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But Parkdale might be an "occupier" under ss. (b) if it is found to have had responsibility for and control over the condition of the sidewalk, the activities on the sidewalk and those allowed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That these criteria are to be read conjunctively was established in </w:t>
      </w:r>
      <w:r>
        <w:rPr>
          <w:rFonts w:ascii="arial" w:eastAsia="arial" w:hAnsi="arial" w:cs="arial"/>
          <w:i/>
          <w:color w:val="000000"/>
          <w:sz w:val="20"/>
          <w:lang w:val="en-US" w:eastAsia="en-US" w:bidi="ar-SA"/>
        </w:rPr>
        <w:t>Chamberlain</w:t>
      </w:r>
      <w:r>
        <w:rPr>
          <w:rFonts w:ascii="arial" w:eastAsia="arial" w:hAnsi="arial" w:cs="arial"/>
          <w:color w:val="000000"/>
          <w:sz w:val="20"/>
          <w:lang w:val="en-US" w:eastAsia="en-US" w:bidi="ar-SA"/>
        </w:rPr>
        <w:t xml:space="preserve"> at para. 30. In that same decision, at para. 36,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therefore appear from the jurisprudence that while some degree of day-to-day control over the premises and those who use the premises is necessary, exclusive possession or control of the premises is not a requirement for the definition of an occupier under s. 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Chamberlain</w:t>
      </w:r>
      <w:r>
        <w:rPr>
          <w:rFonts w:ascii="arial" w:eastAsia="arial" w:hAnsi="arial" w:cs="arial"/>
          <w:color w:val="000000"/>
          <w:sz w:val="20"/>
          <w:lang w:val="en-US" w:eastAsia="en-US" w:bidi="ar-SA"/>
        </w:rPr>
        <w:t xml:space="preserve"> a decision holding a tenant of a portion of a building to be an occupier of an apron space outside the wall of the leased premises, and between the leased area and an adjoining municipal sidewalk was affirmed because the tenant had an obligation under the lease to clear the apron, and exercised some control over the condition, activities and persons using the apron by placing a sign on it, and thereby inviting patrons to cross the apron to access her shop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responds to Parkdale's argument by citing Lewis Klar et al,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xml:space="preserve"> (Toronto: Carswell, 1987) (loose-leaf revision 8), ch. 18 at 41 and </w:t>
      </w:r>
      <w:r>
        <w:rPr>
          <w:rFonts w:ascii="arial" w:eastAsia="arial" w:hAnsi="arial" w:cs="arial"/>
          <w:i/>
          <w:color w:val="000000"/>
          <w:sz w:val="20"/>
          <w:lang w:val="en-US" w:eastAsia="en-US" w:bidi="ar-SA"/>
        </w:rPr>
        <w:t>Snitzer v. Becker Milk Co. Ltd</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(1976), 75 D.L.R. (3d) 649</w:t>
        </w:r>
      </w:hyperlink>
      <w:r>
        <w:rPr>
          <w:rFonts w:ascii="arial" w:eastAsia="arial" w:hAnsi="arial" w:cs="arial"/>
          <w:color w:val="000000"/>
          <w:sz w:val="20"/>
          <w:lang w:val="en-US" w:eastAsia="en-US" w:bidi="ar-SA"/>
        </w:rPr>
        <w:t xml:space="preserve"> (Ont. H.C.), to argue that Parkdale owed a common law duty as invitor to Ms. Scheck as invitee. This argument does not recognize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done away with the common law considerations of invitor/invitee, licensor/licensee, and the duties and standards of care imposed on occupiers before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came into force in 1974. See, in that regard, </w:t>
      </w:r>
      <w:r>
        <w:rPr>
          <w:rFonts w:ascii="arial" w:eastAsia="arial" w:hAnsi="arial" w:cs="arial"/>
          <w:i/>
          <w:color w:val="000000"/>
          <w:sz w:val="20"/>
          <w:lang w:val="en-US" w:eastAsia="en-US" w:bidi="ar-SA"/>
        </w:rPr>
        <w:t>Tutinka v. Mainland Sand &amp; Gravel Ltd</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(1993), 86 B.C.L.R. (2d) 145</w:t>
        </w:r>
      </w:hyperlink>
      <w:r>
        <w:rPr>
          <w:rFonts w:ascii="arial" w:eastAsia="arial" w:hAnsi="arial" w:cs="arial"/>
          <w:color w:val="000000"/>
          <w:sz w:val="20"/>
          <w:lang w:val="en-US" w:eastAsia="en-US" w:bidi="ar-SA"/>
        </w:rPr>
        <w:t xml:space="preserve"> at para. 51 (C.A.), leave to appeal denied </w:t>
      </w:r>
      <w:hyperlink r:id="rId847" w:history="1">
        <w:r>
          <w:rPr>
            <w:rFonts w:ascii="arial" w:eastAsia="arial" w:hAnsi="arial" w:cs="arial"/>
            <w:i/>
            <w:color w:val="0077CC"/>
            <w:sz w:val="20"/>
            <w:u w:val="single"/>
            <w:shd w:val="clear" w:color="auto" w:fill="FFFFFF"/>
            <w:lang w:val="en-US" w:eastAsia="en-US" w:bidi="ar-SA"/>
          </w:rPr>
          <w:t>(1994) 91 B.C.L.R. (2d) xxxvi</w:t>
        </w:r>
      </w:hyperlink>
      <w:r>
        <w:rPr>
          <w:rFonts w:ascii="arial" w:eastAsia="arial" w:hAnsi="arial" w:cs="arial"/>
          <w:color w:val="000000"/>
          <w:sz w:val="20"/>
          <w:lang w:val="en-US" w:eastAsia="en-US" w:bidi="ar-SA"/>
        </w:rPr>
        <w:t xml:space="preserve"> (note). In </w:t>
      </w:r>
      <w:r>
        <w:rPr>
          <w:rFonts w:ascii="arial" w:eastAsia="arial" w:hAnsi="arial" w:cs="arial"/>
          <w:i/>
          <w:color w:val="000000"/>
          <w:sz w:val="20"/>
          <w:lang w:val="en-US" w:eastAsia="en-US" w:bidi="ar-SA"/>
        </w:rPr>
        <w:t>Weiss v. Young Men's Christian Association of Greater Vancouver</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the court cautioned, at 118, against relying on occupier liability cases decided under the common law, before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Summerland's Bylaw 93-065 might have assigned responsibility to Parkdale to remove snow and ice from the sidewalk, Parkdale says that falls short of giving it control over the sidewalk or those using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Scheck responds by citing cases where occupiers of property adjoining public sidewalks were held liable for injuries occasioned to users of the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that regard, Ms. Scheck relies on the reasoning in </w:t>
      </w:r>
      <w:r>
        <w:rPr>
          <w:rFonts w:ascii="arial" w:eastAsia="arial" w:hAnsi="arial" w:cs="arial"/>
          <w:i/>
          <w:color w:val="000000"/>
          <w:sz w:val="20"/>
          <w:lang w:val="en-US" w:eastAsia="en-US" w:bidi="ar-SA"/>
        </w:rPr>
        <w:t>Bogoroch v. Toronto (City)</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[1991] O.J. No. 1032</w:t>
        </w:r>
      </w:hyperlink>
      <w:r>
        <w:rPr>
          <w:rFonts w:ascii="arial" w:eastAsia="arial" w:hAnsi="arial" w:cs="arial"/>
          <w:color w:val="000000"/>
          <w:sz w:val="20"/>
          <w:lang w:val="en-US" w:eastAsia="en-US" w:bidi="ar-SA"/>
        </w:rPr>
        <w:t xml:space="preserve"> (Gen. Div.) and </w:t>
      </w:r>
      <w:r>
        <w:rPr>
          <w:rFonts w:ascii="arial" w:eastAsia="arial" w:hAnsi="arial" w:cs="arial"/>
          <w:i/>
          <w:color w:val="000000"/>
          <w:sz w:val="20"/>
          <w:lang w:val="en-US" w:eastAsia="en-US" w:bidi="ar-SA"/>
        </w:rPr>
        <w:t>Moody v. Toronto (City)</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(1996), 31 O.R. (3d) 53</w:t>
        </w:r>
      </w:hyperlink>
      <w:r>
        <w:rPr>
          <w:rFonts w:ascii="arial" w:eastAsia="arial" w:hAnsi="arial" w:cs="arial"/>
          <w:color w:val="000000"/>
          <w:sz w:val="20"/>
          <w:lang w:val="en-US" w:eastAsia="en-US" w:bidi="ar-SA"/>
        </w:rPr>
        <w:t xml:space="preserve"> (Gen. Div.). In </w:t>
      </w:r>
      <w:r>
        <w:rPr>
          <w:rFonts w:ascii="arial" w:eastAsia="arial" w:hAnsi="arial" w:cs="arial"/>
          <w:i/>
          <w:color w:val="000000"/>
          <w:sz w:val="20"/>
          <w:lang w:val="en-US" w:eastAsia="en-US" w:bidi="ar-SA"/>
        </w:rPr>
        <w:t>Bogoroch</w:t>
      </w:r>
      <w:r>
        <w:rPr>
          <w:rFonts w:ascii="arial" w:eastAsia="arial" w:hAnsi="arial" w:cs="arial"/>
          <w:color w:val="000000"/>
          <w:sz w:val="20"/>
          <w:lang w:val="en-US" w:eastAsia="en-US" w:bidi="ar-SA"/>
        </w:rPr>
        <w:t xml:space="preserve">, a store owner was held liable as occupier of a municipal sidewalk outside the store's premises because the store owner habitually used the sidewalk to display its merchandise. In </w:t>
      </w:r>
      <w:r>
        <w:rPr>
          <w:rFonts w:ascii="arial" w:eastAsia="arial" w:hAnsi="arial" w:cs="arial"/>
          <w:i/>
          <w:color w:val="000000"/>
          <w:sz w:val="20"/>
          <w:lang w:val="en-US" w:eastAsia="en-US" w:bidi="ar-SA"/>
        </w:rPr>
        <w:t>Moody</w:t>
      </w:r>
      <w:r>
        <w:rPr>
          <w:rFonts w:ascii="arial" w:eastAsia="arial" w:hAnsi="arial" w:cs="arial"/>
          <w:color w:val="000000"/>
          <w:sz w:val="20"/>
          <w:lang w:val="en-US" w:eastAsia="en-US" w:bidi="ar-SA"/>
        </w:rPr>
        <w:t xml:space="preserve">, the owners of a private stadium were held to be liable as occupiers of public walkways leading to the stadium because of what were termed "special circumstances" by the Ontario Court of Appeal when it commented on both decisions in </w:t>
      </w:r>
      <w:r>
        <w:rPr>
          <w:rFonts w:ascii="arial" w:eastAsia="arial" w:hAnsi="arial" w:cs="arial"/>
          <w:i/>
          <w:color w:val="000000"/>
          <w:sz w:val="20"/>
          <w:lang w:val="en-US" w:eastAsia="en-US" w:bidi="ar-SA"/>
        </w:rPr>
        <w:t>Bongiardina v. York (Regional Municipality)</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(2000), 189 D.L.R. (4th) 658</w:t>
        </w:r>
      </w:hyperlink>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49 O.R. (3d) 641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Bongiardina</w:t>
      </w:r>
      <w:r>
        <w:rPr>
          <w:rFonts w:ascii="arial" w:eastAsia="arial" w:hAnsi="arial" w:cs="arial"/>
          <w:color w:val="000000"/>
          <w:sz w:val="20"/>
          <w:lang w:val="en-US" w:eastAsia="en-US" w:bidi="ar-SA"/>
        </w:rPr>
        <w:t xml:space="preserve"> confirmed that, at least in Ontario, a municipal bylaw that imposes an obligation on property owners to clear snow and ice from municipal sidewalks adjoining their properties did not make the property owners occupiers of the sidewalks, nor did it impose liability at common law for injuries suffered by pedestrians who fell as a result of alleged deficiencies in the property owners' snow clearing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Ms. Scheck cited </w:t>
      </w:r>
      <w:r>
        <w:rPr>
          <w:rFonts w:ascii="arial" w:eastAsia="arial" w:hAnsi="arial" w:cs="arial"/>
          <w:i/>
          <w:color w:val="000000"/>
          <w:sz w:val="20"/>
          <w:lang w:val="en-US" w:eastAsia="en-US" w:bidi="ar-SA"/>
        </w:rPr>
        <w:t>Lysack v. Burrard Motor Inn Ltd</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(1991), 58 B.C.L.R. (2d) 33</w:t>
        </w:r>
      </w:hyperlink>
      <w:r>
        <w:rPr>
          <w:rFonts w:ascii="arial" w:eastAsia="arial" w:hAnsi="arial" w:cs="arial"/>
          <w:color w:val="000000"/>
          <w:sz w:val="20"/>
          <w:lang w:val="en-US" w:eastAsia="en-US" w:bidi="ar-SA"/>
        </w:rPr>
        <w:t xml:space="preserve"> (C.A.), where the defendant hotel was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placing planters on a public sidewalk so as to divert pedestrians toward a part of the sidewalk where a danger known to the hotel was located. The court found that the hotel was not in sufficient control of the area to be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majority decided the appeal on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evidence that Parkdale asserted any control over the activities conducted on the sidewalk outside its building, or that it purported to control or regulate who might use the sidewalk. Its obligations to clear snow and ice gave it arguable control over at least that aspect of the condition of the sidewalk, but not, say, control over cracks or other defects in the surface of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 review of all of the cases cited, I conclude that Parkdale owed no duty to Ms. Scheck as an occupier of the municipal sidewalk where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to whether Parkdale owed a duty at common law, I accept the reasoning of the Ontario Court of Appeal in </w:t>
      </w:r>
      <w:r>
        <w:rPr>
          <w:rFonts w:ascii="arial" w:eastAsia="arial" w:hAnsi="arial" w:cs="arial"/>
          <w:i/>
          <w:color w:val="000000"/>
          <w:sz w:val="20"/>
          <w:lang w:val="en-US" w:eastAsia="en-US" w:bidi="ar-SA"/>
        </w:rPr>
        <w:t>Bongiardina</w:t>
      </w:r>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then becomes: is there a common law duty on the owner of the property to clear snow and ice from public sidewalks adjacent to the property? In my view, the answer to this question must be "No". Although the "neighbour" principle from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[1932] A.C. 562 (H.L.), has been expanded in recent years to cover a myriad of new relationships, it would stretch it too far if it was applied in the circumstances of this case. A homeowner has a duty to ensure that his or her own property is maintained in a reasonable condition so that persons entering the property are not injured. If the homeowner complies with this duty, he or she should be free from liability for injuries arising from failure to maintain municipally owned streets and sidewalks. The snow and ice accumulating on public sidewalks and the potholes on the street in front of the house are the legal responsibility of the municipality, not the adjacent property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do so with some reluctance as this seems contrary to the prior decision of this court in </w:t>
      </w:r>
      <w:r>
        <w:rPr>
          <w:rFonts w:ascii="arial" w:eastAsia="arial" w:hAnsi="arial" w:cs="arial"/>
          <w:i/>
          <w:color w:val="000000"/>
          <w:sz w:val="20"/>
          <w:lang w:val="en-US" w:eastAsia="en-US" w:bidi="ar-SA"/>
        </w:rPr>
        <w:t>Reidy v. Kamloops Hotel Ltd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(1997), 41 B.C.L.R. (3d) 338</w:t>
        </w:r>
      </w:hyperlink>
      <w:r>
        <w:rPr>
          <w:rFonts w:ascii="arial" w:eastAsia="arial" w:hAnsi="arial" w:cs="arial"/>
          <w:color w:val="000000"/>
          <w:sz w:val="20"/>
          <w:lang w:val="en-US" w:eastAsia="en-US" w:bidi="ar-SA"/>
        </w:rPr>
        <w:t xml:space="preserve"> (S.C.). There, a plaintiff fell on an icy municipal sidewalk outside the defendant hotel. The court found that the hotel was not an occupier of the sidewalk at para. 6, then went on to consider whether the hotel was liable at common law. In concluding that the hotel was liable to the pedestrian, the court applied the "unusual danger" test from </w:t>
      </w:r>
      <w:r>
        <w:rPr>
          <w:rFonts w:ascii="arial" w:eastAsia="arial" w:hAnsi="arial" w:cs="arial"/>
          <w:i/>
          <w:color w:val="000000"/>
          <w:sz w:val="20"/>
          <w:lang w:val="en-US" w:eastAsia="en-US" w:bidi="ar-SA"/>
        </w:rPr>
        <w:t>Indermaur v. Dames</w:t>
      </w:r>
      <w:r>
        <w:rPr>
          <w:rFonts w:ascii="arial" w:eastAsia="arial" w:hAnsi="arial" w:cs="arial"/>
          <w:color w:val="000000"/>
          <w:sz w:val="20"/>
          <w:lang w:val="en-US" w:eastAsia="en-US" w:bidi="ar-SA"/>
        </w:rPr>
        <w:t xml:space="preserve"> (1866), L.R. 1 C.P. 274 (Eng. C.P.), and referred to the Supreme Court of Canada decision in </w:t>
      </w:r>
      <w:r>
        <w:rPr>
          <w:rFonts w:ascii="arial" w:eastAsia="arial" w:hAnsi="arial" w:cs="arial"/>
          <w:i/>
          <w:color w:val="000000"/>
          <w:sz w:val="20"/>
          <w:lang w:val="en-US" w:eastAsia="en-US" w:bidi="ar-SA"/>
        </w:rPr>
        <w:t>Campbell v. Royal Bank</w:t>
      </w:r>
      <w:r>
        <w:rPr>
          <w:rFonts w:ascii="arial" w:eastAsia="arial" w:hAnsi="arial" w:cs="arial"/>
          <w:color w:val="000000"/>
          <w:sz w:val="20"/>
          <w:lang w:val="en-US" w:eastAsia="en-US" w:bidi="ar-SA"/>
        </w:rPr>
        <w:t xml:space="preserve"> (1963), </w:t>
      </w:r>
      <w:hyperlink r:id="rId853" w:history="1">
        <w:r>
          <w:rPr>
            <w:rFonts w:ascii="arial" w:eastAsia="arial" w:hAnsi="arial" w:cs="arial"/>
            <w:i/>
            <w:color w:val="0077CC"/>
            <w:sz w:val="20"/>
            <w:u w:val="single"/>
            <w:shd w:val="clear" w:color="auto" w:fill="FFFFFF"/>
            <w:lang w:val="en-US" w:eastAsia="en-US" w:bidi="ar-SA"/>
          </w:rPr>
          <w:t>[1964] S.C.R. 85</w:t>
        </w:r>
      </w:hyperlink>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43 D.L.R. (2d) 341</w:t>
        </w:r>
      </w:hyperlink>
      <w:r>
        <w:rPr>
          <w:rFonts w:ascii="arial" w:eastAsia="arial" w:hAnsi="arial" w:cs="arial"/>
          <w:color w:val="000000"/>
          <w:sz w:val="20"/>
          <w:lang w:val="en-US" w:eastAsia="en-US" w:bidi="ar-SA"/>
        </w:rPr>
        <w:t>, which considered a test to determine if an unusual danger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What the court in </w:t>
      </w:r>
      <w:r>
        <w:rPr>
          <w:rFonts w:ascii="arial" w:eastAsia="arial" w:hAnsi="arial" w:cs="arial"/>
          <w:i/>
          <w:color w:val="000000"/>
          <w:sz w:val="20"/>
          <w:lang w:val="en-US" w:eastAsia="en-US" w:bidi="ar-SA"/>
        </w:rPr>
        <w:t>Reidy</w:t>
      </w:r>
      <w:r>
        <w:rPr>
          <w:rFonts w:ascii="arial" w:eastAsia="arial" w:hAnsi="arial" w:cs="arial"/>
          <w:color w:val="000000"/>
          <w:sz w:val="20"/>
          <w:lang w:val="en-US" w:eastAsia="en-US" w:bidi="ar-SA"/>
        </w:rPr>
        <w:t xml:space="preserve"> did not refer to, as it was apparently not cited, were the decisions in </w:t>
      </w:r>
      <w:r>
        <w:rPr>
          <w:rFonts w:ascii="arial" w:eastAsia="arial" w:hAnsi="arial" w:cs="arial"/>
          <w:i/>
          <w:color w:val="000000"/>
          <w:sz w:val="20"/>
          <w:lang w:val="en-US" w:eastAsia="en-US" w:bidi="ar-SA"/>
        </w:rPr>
        <w:t>Weiss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Tutinka</w:t>
      </w:r>
      <w:r>
        <w:rPr>
          <w:rFonts w:ascii="arial" w:eastAsia="arial" w:hAnsi="arial" w:cs="arial"/>
          <w:color w:val="000000"/>
          <w:sz w:val="20"/>
          <w:lang w:val="en-US" w:eastAsia="en-US" w:bidi="ar-SA"/>
        </w:rPr>
        <w:t xml:space="preserve">. With respect, it seems to me that the decision in </w:t>
      </w:r>
      <w:r>
        <w:rPr>
          <w:rFonts w:ascii="arial" w:eastAsia="arial" w:hAnsi="arial" w:cs="arial"/>
          <w:i/>
          <w:color w:val="000000"/>
          <w:sz w:val="20"/>
          <w:lang w:val="en-US" w:eastAsia="en-US" w:bidi="ar-SA"/>
        </w:rPr>
        <w:t>Reidy</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per incuriam</w:t>
      </w:r>
      <w:r>
        <w:rPr>
          <w:rFonts w:ascii="arial" w:eastAsia="arial" w:hAnsi="arial" w:cs="arial"/>
          <w:color w:val="000000"/>
          <w:sz w:val="20"/>
          <w:lang w:val="en-US" w:eastAsia="en-US" w:bidi="ar-SA"/>
        </w:rPr>
        <w:t xml:space="preserve"> as a result of not having the advantage of those two decisions, and should not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able to determine the question put by Parkdale's application, as it does not depend on the condition of the sidewalk. I conclude that Parkdale owed no duty to Ms. Scheck with respect to Summerland's sidewalk and dismiss her claims against Parkdale.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Secord v. Doulis, [2002] B.C.J. No. 1870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lang w:val="en-US" w:eastAsia="en-US" w:bidi="ar-SA"/>
        </w:rPr>
      </w:pPr>
      <w:r>
        <w:rPr>
          <w:rFonts w:ascii="arial" w:eastAsia="arial" w:hAnsi="arial" w:cs="arial"/>
          <w:color w:val="000000"/>
          <w:sz w:val="20"/>
          <w:lang w:val="en-US" w:eastAsia="en-US" w:bidi="ar-SA"/>
        </w:rPr>
        <w:t>Supplementary judgment: August 13,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B973247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1870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1197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115 A.C.W.S. (3d) 937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[2002] B.C.T.C. 675</w:t>
        </w:r>
      </w:hyperlink>
    </w:p>
    <w:p>
      <w:pPr>
        <w:spacing w:before="120" w:line="260" w:lineRule="atLeast"/>
        <w:rPr>
          <w:lang w:val="en-US" w:eastAsia="en-US" w:bidi="ar-SA"/>
        </w:rPr>
      </w:pPr>
      <w:r>
        <w:rPr>
          <w:rFonts w:ascii="arial" w:eastAsia="arial" w:hAnsi="arial" w:cs="arial"/>
          <w:color w:val="000000"/>
          <w:sz w:val="20"/>
          <w:lang w:val="en-US" w:eastAsia="en-US" w:bidi="ar-SA"/>
        </w:rPr>
        <w:t>Between Jonah Gordon Secord, plaintiff, and Alexis George Doulis and Judith Thorne Doulis,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1" style="position:absolute;z-index:2517043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9" w:name="Keywords_43"/>
      <w:bookmarkEnd w:id="319"/>
      <w:r>
        <w:rPr>
          <w:rFonts w:ascii="arial" w:eastAsia="arial" w:hAnsi="arial" w:cs="arial"/>
          <w:b/>
          <w:color w:val="000000"/>
          <w:sz w:val="20"/>
          <w:lang w:val="en-US" w:eastAsia="en-US" w:bidi="ar-SA"/>
        </w:rPr>
        <w:t>Practice — Costs — Party and party costs — Entitlement to party and party costs — Where success or fault divided — Judgments and orders — Reconsideration of judgments or orders.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20" w:name="Case Summary_43"/>
            <w:bookmarkEnd w:id="32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Supplementary reasons on costs in an action for damages brought by Secord. Secord was a pedestrian who was injured in an accident. He was found to be 80 per cent liable for his injuries. Secord had been awarded 100 per cent of his costs. The defendant, Doulis, through the Insurance Corporation of British Columbia, had denied any responsibility for Secord's injuries. In his reasons, the judge had written that the ICBC claims examiner had written a letter stating that he had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Doulis at a time when the examiner had in his possession an investigator's report indicating that Doulis was speeding. In additional submissions, the court was advised that the report was not in the file at the time that the examiner wrote the letter. </w:t>
            </w:r>
            <w:r>
              <w:rPr>
                <w:lang w:val="en-US" w:eastAsia="en-US" w:bidi="ar-SA"/>
              </w:rPr>
              <w:cr/>
            </w:r>
          </w:p>
          <w:p>
            <w:pPr>
              <w:spacing w:before="120" w:line="260" w:lineRule="atLeast"/>
              <w:ind w:left="240"/>
              <w:jc w:val="both"/>
              <w:rPr>
                <w:lang w:val="en-US" w:eastAsia="en-US" w:bidi="ar-SA"/>
              </w:rPr>
            </w:pPr>
            <w:bookmarkStart w:id="321" w:name="Holdings of Court_35"/>
            <w:bookmarkEnd w:id="321"/>
            <w:r>
              <w:rPr>
                <w:rFonts w:ascii="arial" w:eastAsia="arial" w:hAnsi="arial" w:cs="arial"/>
                <w:color w:val="000000"/>
                <w:sz w:val="20"/>
                <w:lang w:val="en-US" w:eastAsia="en-US" w:bidi="ar-SA"/>
              </w:rPr>
              <w:t>HELD: The costs award remained as previously ordered.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additional facts brought forward did not change the situation. There was no finding of fact that the examiner was intentionally untruthful. The award of costs was based on a number of still relevant factors. </w:t>
            </w:r>
          </w:p>
          <w:p>
            <w:pPr>
              <w:spacing w:before="120" w:line="260" w:lineRule="atLeast"/>
              <w:ind w:left="240"/>
              <w:jc w:val="both"/>
              <w:rPr>
                <w:lang w:val="en-US" w:eastAsia="en-US" w:bidi="ar-SA"/>
              </w:rPr>
            </w:pPr>
            <w:r>
              <w:rPr>
                <w:rFonts w:ascii="arial" w:eastAsia="arial" w:hAnsi="arial" w:cs="arial"/>
                <w:color w:val="000000"/>
                <w:sz w:val="18"/>
                <w:lang w:val="en-US" w:eastAsia="en-US" w:bidi="ar-SA"/>
              </w:rPr>
              <w:t xml:space="preserve">[Quicklaw note: Original reasons for judgment were released May 3, 2002. See </w:t>
            </w:r>
            <w:hyperlink r:id="rId861" w:history="1">
              <w:r>
                <w:rPr>
                  <w:rFonts w:ascii="arial" w:eastAsia="arial" w:hAnsi="arial" w:cs="arial"/>
                  <w:i/>
                  <w:color w:val="0077CC"/>
                  <w:sz w:val="18"/>
                  <w:u w:val="single"/>
                  <w:shd w:val="clear" w:color="auto" w:fill="FFFFFF"/>
                  <w:lang w:val="en-US" w:eastAsia="en-US" w:bidi="ar-SA"/>
                </w:rPr>
                <w:t>[2002] B.C.J. No. 960</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jc w:val="both"/>
        <w:rPr>
          <w:lang w:val="en-US" w:eastAsia="en-US" w:bidi="ar-SA"/>
        </w:rPr>
      </w:pPr>
      <w:bookmarkStart w:id="322" w:name="Counsel_43"/>
      <w:bookmarkEnd w:id="32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2" style="position:absolute;z-index:2517555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Robert C. Brun, for the plaintiff. Mary-Helen Wright, for the defendants.</w:t>
      </w:r>
      <w:r>
        <w:rPr>
          <w:lang w:val="en-US" w:eastAsia="en-US" w:bidi="ar-SA"/>
        </w:rPr>
        <w:cr/>
      </w:r>
    </w:p>
    <w:p>
      <w:pPr>
        <w:spacing w:after="240"/>
        <w:rPr>
          <w:lang w:val="en-US" w:eastAsia="en-US" w:bidi="ar-SA"/>
        </w:rPr>
      </w:pPr>
      <w:bookmarkStart w:id="323" w:name="Judgment_44"/>
      <w:bookmarkEnd w:id="323"/>
      <w:r>
        <w:pict>
          <v:line id="_x0000_s1243" style="position:absolute;z-index:25180672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24" w:name="ALLAN J."/>
            <w:bookmarkEnd w:id="324"/>
            <w:r>
              <w:rPr>
                <w:rFonts w:ascii="arial" w:eastAsia="arial" w:hAnsi="arial" w:cs="arial"/>
                <w:b/>
                <w:color w:val="000000"/>
                <w:sz w:val="30"/>
                <w:lang w:val="en-US" w:eastAsia="en-US" w:bidi="ar-SA"/>
              </w:rPr>
              <w:t>ALLAN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September 2001, almost a year ago, a jury found the plaintiff pedestrian to be 80% at fault and the defendant driver to be 20% liable for an accident that occurred in November, 1995. Only the liability issue has been determined. On April 26, 2002, counsel made oral submissions with respect to the issue of costs. On May 3, 2002, I issued eight pages of reasons for judgment, </w:t>
      </w:r>
      <w:hyperlink r:id="rId861" w:history="1">
        <w:r>
          <w:rPr>
            <w:rFonts w:ascii="arial" w:eastAsia="arial" w:hAnsi="arial" w:cs="arial"/>
            <w:i/>
            <w:color w:val="0077CC"/>
            <w:sz w:val="20"/>
            <w:u w:val="single"/>
            <w:shd w:val="clear" w:color="auto" w:fill="FFFFFF"/>
            <w:lang w:val="en-US" w:eastAsia="en-US" w:bidi="ar-SA"/>
          </w:rPr>
          <w:t>[2002] B.C.J. No. 960</w:t>
        </w:r>
      </w:hyperlink>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2002 BCSC 675</w:t>
        </w:r>
      </w:hyperlink>
      <w:r>
        <w:rPr>
          <w:rFonts w:ascii="arial" w:eastAsia="arial" w:hAnsi="arial" w:cs="arial"/>
          <w:color w:val="000000"/>
          <w:sz w:val="20"/>
          <w:lang w:val="en-US" w:eastAsia="en-US" w:bidi="ar-SA"/>
        </w:rPr>
        <w:t>, awarding the plaintiff 100% of his taxable costs and disbursements. That Order has not been entered.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Subsequently, counsel for the defendants filed additional submissions, affidavit material and authorities, seeking a variation of the Order to provide for an apportionment of costs in the same proportion as the apportionment of fault between the parties. In the alternative, the defendants request that "at a minimum, certain statements of fact in the reasons for judgment ... be corrected by a corrigendum." It is common ground that I have the jurisdiction to reopen the matter to hear further evidence and submissions in order to prevent a miscarriage of justice: Clayton v. British American Securities Ltd., </w:t>
      </w:r>
      <w:hyperlink r:id="rId862" w:history="1">
        <w:r>
          <w:rPr>
            <w:rFonts w:ascii="arial" w:eastAsia="arial" w:hAnsi="arial" w:cs="arial"/>
            <w:i/>
            <w:color w:val="0077CC"/>
            <w:sz w:val="20"/>
            <w:u w:val="single"/>
            <w:shd w:val="clear" w:color="auto" w:fill="FFFFFF"/>
            <w:lang w:val="en-US" w:eastAsia="en-US" w:bidi="ar-SA"/>
          </w:rPr>
          <w:t>[1934] 3 W.W.R. 257</w:t>
        </w:r>
      </w:hyperlink>
      <w:r>
        <w:rPr>
          <w:rFonts w:ascii="arial" w:eastAsia="arial" w:hAnsi="arial" w:cs="arial"/>
          <w:color w:val="000000"/>
          <w:sz w:val="20"/>
          <w:lang w:val="en-US" w:eastAsia="en-US" w:bidi="ar-SA"/>
        </w:rPr>
        <w:t xml:space="preserve"> (B.C.C.A.). That power should be used sparingly; Halpin v. Halpin </w:t>
      </w:r>
      <w:hyperlink r:id="rId863" w:history="1">
        <w:r>
          <w:rPr>
            <w:rFonts w:ascii="arial" w:eastAsia="arial" w:hAnsi="arial" w:cs="arial"/>
            <w:i/>
            <w:color w:val="0077CC"/>
            <w:sz w:val="20"/>
            <w:u w:val="single"/>
            <w:shd w:val="clear" w:color="auto" w:fill="FFFFFF"/>
            <w:lang w:val="en-US" w:eastAsia="en-US" w:bidi="ar-SA"/>
          </w:rPr>
          <w:t>(1996), 27 B.C.L.R. (3d) 305</w:t>
        </w:r>
      </w:hyperlink>
      <w:r>
        <w:rPr>
          <w:rFonts w:ascii="arial" w:eastAsia="arial" w:hAnsi="arial" w:cs="arial"/>
          <w:color w:val="000000"/>
          <w:sz w:val="20"/>
          <w:lang w:val="en-US" w:eastAsia="en-US" w:bidi="ar-SA"/>
        </w:rPr>
        <w:t xml:space="preserve"> at 327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paras. 15 and 16 of my reasons for judgment, I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case at bar, Mr. Secord suffered serious injuries. The defendants' insurer adamantly denied all liability. The ICBC claims examiner stated, in a letter to Mr. Secord's solicitors in January 1996: "At present, it seems clear your client is 100% responsible for his own injuries. ...The Police are satisfied that Mr. Doulis, our insured driver, did nothing wrong. He wasn't speeding" (emphasis added). He expressed sympathy for the plaintiff's injuries and stated:</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It is my practice to strive for a negotiated settlement when there is some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insured. Where there is no evidence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a straight denial, and early fair warning that if a client pursues litigation regardless of the early evidence and eventually quits suit or has an action dismissed, the defence will pursue its costs and disbursements. As well, in this case, there is a fair amount of damage to the Doulis vehicle. The full repair cost was $2,678.54. ... your client should be aware that a writ will no doubt generate a counter-claim greater than just the repair cost.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 author invited the plaintiff's lawyers to advise him of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If you have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Doulis, then I would certainly appreciate knowledge of same early on. Obviously, it will mean a change in position on my part. (emphasis added).</w:t>
      </w:r>
    </w:p>
    <w:p>
      <w:pPr>
        <w:spacing w:before="120" w:line="260" w:lineRule="atLeast"/>
        <w:ind w:left="720"/>
        <w:rPr>
          <w:lang w:val="en-US" w:eastAsia="en-US" w:bidi="ar-SA"/>
        </w:rPr>
      </w:pPr>
      <w:r>
        <w:rPr>
          <w:rFonts w:ascii="arial" w:eastAsia="arial" w:hAnsi="arial" w:cs="arial"/>
          <w:color w:val="000000"/>
          <w:sz w:val="20"/>
          <w:lang w:val="en-US" w:eastAsia="en-US" w:bidi="ar-SA"/>
        </w:rPr>
        <w:t>In fact, when the adjuster wrote that letter, he had in his possession a witness statement from a Mrs. Bird, who stated that Mr. Doulis had passed her prior to the collision. She stated: "I would estimate the vehicle's speed at about 75 kmh, and I saw the vehicle was continuing to speed up." Nevertheless, the defendants continued to deny any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Wright has filed an affidavit from the claims examiner who states that, when he wrote the letter to plaintiff's counsel on January 30, 1996, he had not seen the investigator's report of November 29, 1995 with the Bird witness statement. Apparently that report went astray after it was sent to ICBC and the claims examiner was not aware of its existence until he reviewed the file in early January 1996 and saw the investigator's second report of December 22, 1995, which referred to an earlier report dated November 29.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reason to question the claims examiner's veracity on this issue and indeed counsel for the plaintiff does not do so. With respect to the defendants' express concern that from the May 3, 2002 reasons for judgment, "one is left to conclude that the examiner was intentionally untruthful with the plaintiff's former counsel," these supplementary reasons should alleviate that concern. I make no such finding of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However, Ms. Wright also seeks to reargue the award of costs. She submits that, absent the finding of fact that implies the claims examiner was untruthful, "there is not a sufficient basis to vary the usual order as to costs where a plaintiff is held largely at fault for an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That submission is untenable. Ms. Wright has not satisfied me that there is any basis to vary the costs award. In my reasons for judgment, I considered a number of relevant factors that justified an award to the plaintiff of 100% of his costs and disbursements. In any event, the fact remains that ICBC commissioned the investigator's report of November 25 and received it. Indeed, when the Bird witness statement came into the possession of plaintiff's counsel prior to trial, Ms. Wright argued that it was "the property of her clients, the Defendants and ICBC ... obtained for the dominant purpose of anticipated litigation and is privileged." Moreover, there is no satisfactory explanation as to why the claims examiner did not pursue that report, or the information in it, directly from the investigator before writing the January 30, 1996 letter to plaintiff's counsel. Finally, when the November report did come to his attention, he did not correct his earlier statement to plaintiff's counsel that he was unaware of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entitled to costs incurred in preparing and filing supplementary submissions.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ALLAN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Seiler v. Mutual Fire Insurance Co. of British Columbia, [2003] B.C.J. No. 2151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8-12 and 15,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SO55207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2151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2003 BCSC 1423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4 C.C.L.I. (4th) 308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C.P.C. (5th) 365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[2003] I.L.R. I-4236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125 A.C.W.S. (3d) 981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Timothy Seiler and Sylvia Seiler, plaintiffs, and Mutual Fire Insurance Company of British Columbia, Brouwer Claims Canada &amp; Company Ltd., Martin V. Clingwall and Cromwell Restoration Ltd., defendants, and Mutual Fire Insurance Company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5"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5" w:name="Keywords_44"/>
      <w:bookmarkEnd w:id="325"/>
      <w:r>
        <w:rPr>
          <w:rFonts w:ascii="arial" w:eastAsia="arial" w:hAnsi="arial" w:cs="arial"/>
          <w:b/>
          <w:color w:val="000000"/>
          <w:sz w:val="20"/>
          <w:lang w:val="en-US" w:eastAsia="en-US" w:bidi="ar-SA"/>
        </w:rPr>
        <w:t xml:space="preserve">Building contracts — Liability of builder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Exceptions — Practice — Dismissal of action — Application or motion for dismissal — Nonsuit, at close of plaintiff's case, evidence and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6" w:name="Case Summary_44"/>
            <w:bookmarkEnd w:id="3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contractor at the close of the case for dismissal of the claim by the Seilers. The Seilers were suing the contractor and the defendant insurance adjuster for damages arising from two incidents of water damage to their home. They had found a burst water pipe that had leaked for several days while they were on vacation. The contractor repaired the damage. It also repaired damage on another occasion when the Seilers' roof blew off. The Seilers alleged that they had suffered health problems from mould present in the house. Prior to the trial, the Seilers had settled with their insurer for $50,000. There was no evidence of any obvious structural or even cosmetic shortcomings in the ultimate repairs done by the contractor on the adjuster's instructions. No testing or observation had been conducted to detect the existence of mould. The Seilers led no expert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7" w:name="Holdings of Court_36"/>
            <w:bookmarkEnd w:id="32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Expert evidence was necessary to establish the appropriate standards of care the contractor and adjuster had to meet in the execution of their functions.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8" w:name="Legislation Cited_34"/>
      <w:bookmarkEnd w:id="3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6"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40(7), 40(7)(a), 40(8).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9" w:name="Counsel_44"/>
      <w:bookmarkEnd w:id="3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 Campbell, for the plaintiffs. G.D. Taylor, for the defendant, Mutual Fire Insurance Company of British Columbia. M.L. Tweedy, for the defendants, Brouwer Claims Canada &amp; Company Ltd. and Martin Clingwall. J.R. Schmidt, for the defendant, Cromwell Restoration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0" w:name="Judgment_45"/>
      <w:bookmarkEnd w:id="330"/>
      <w:r>
        <w:pict>
          <v:line id="_x0000_s1248" style="position:absolute;z-index:2518568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July 22, 2008;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1" w:name="E.R.A. EDWARDS J._0"/>
            <w:bookmarkEnd w:id="331"/>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pleadings claim damages against their insurer ("Mutual"), an insurance adjuster ("Brouwer") and its employee ("Clingwall") and a contractor ("Cromwell") arising from two incidents of water damage to the plaintiffs' home on Royal Street in Fort Langley in August and November,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Prior to the trial the plaintiffs settled with Mutual in June 2002 for $50,000. At the outset of trial they undertook to file a discontinuance of the action against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$24,159 of the $50,000 settlement was allocated to "contribution to building restoration/damages" by the plaintiffs' lawyer, further restoration to repair that done by Cromwell was not done. Instead the plaintiffs sold their property in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agreement, the third party proceeding between Mutual and Brouwer and Clingwall, originally ordered to be heard together with the plaintiffs' claim, was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About August 3, 1998, a water pipe was discovered burst on the second floor of the plaintiffs' house. It had apparently leaked for several days while they were away on vacation, flooding both floors of the house with consequential damage, which was repaired by Cromwell by early September, 2002. The plaintiffs detected no mould in the home after these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November 24, 1998, a wind storm blew 1000 sq. ft. of the roof off of the plaintiffs' house. Within hours Cromwell installed a tarp on the roof and dryers in the interior. The roof continued to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7, 1999, another contractor, on Brouwer's instructions, repaired the roof. Thereafter for several weeks Cromwell effected repairs to water damaged portions of the interior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Applications under Rule 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close of the plaintiffs' case the defendants applied for dismissal under Rule 40(8).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there is no evidence to support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amended statement of claim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against the defendants. The key allegations for the purpose of these applications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Cromwell:</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express term and condition of the agreement, alternatively it was an implied term thereof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and labour done by Cromwell would be done with skill and care and in a proper and workman-like manner;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restoration of areas subjected to prolonged exposure to wet and damp would be treated according to generally accepted restoration practices and health guidelines.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Cromwell had a duty of care due to the plaintiffs as follows: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use their professional knowledge and special skills to reasonably and prudently advise the plaintiffs in all their dealings regarding the repair and restoration of their house.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such repairs undertaken would be provided with skill, care and in a good faith manner giving proper consideration to the safety and health of the plaintiffs, and in keeping with generally accepted restoration practices where buildings and materials exposure to wet and water for a prolonged period of time, and mold infestation is a concern;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fully, accurately and honestly advise the plaintiffs with respect to all matters material to the restoration of their property including where prudent repairs were disallowed by Clingwall.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Brouwer and Clingwall:</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express or implied term and condition of the said agreement, or alternatively it was the duty of Brouwer and Clingwall: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Brouwer and their agents, including Clingwall, would use their professional knowledge and special skills to reasonably and prudently advise the plaintiffs in the clean up, repair and restoration of the plaintiff's home pursuant to the terms of said insurance policy;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such advice would be provided with skill, care and in a good faith manner giving proper consideration to the health and safety interests of the plaintiffs;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Brouwer and Clingwall had a duty to fully, accurately and honestly advise the plaintiffs with respect to all matters material to the restoration of their property and assistance in preparation of all forms or documents required by the insurance policy;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could rely on the skill, care, advice, expertise and assistance of Brouwer and their agents, including Clingwall, and did rely on Clingwall's skill, care, advice, expertise, management and directions throughout the restoration of their home after the first and second accidents.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Brouwer and Clingwall's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as follows: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reasonable care to insure that the Plaintiffs, and the plaintiffs' children, would be reasonably safe and healthy while residing in the premises during or after the restoration process;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Exposing the Plaintiff to unreasonable dangers, risk of damage or injury, including but not limited to personal injury by mold contamination;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the Plaintiff adequate warning of hazards and unusual, latent, or hidden dangers remaining on the premises after the completion of the restoration;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is elaborated in the plaintiffs' written opening under the heading "breach of duty of care", in part as follows:</w:t>
      </w:r>
      <w:r>
        <w:rPr>
          <w:rFonts w:ascii="arial" w:eastAsia="arial" w:hAnsi="arial" w:cs="arial"/>
          <w:sz w:val="20"/>
          <w:lang w:val="en-US" w:eastAsia="en-US" w:bidi="ar-SA"/>
        </w:rPr>
        <w:cr/>
      </w:r>
    </w:p>
    <w:p>
      <w:pPr>
        <w:numPr>
          <w:numId w:val="11"/>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duty of Clingwall and Brouwer to exercise all reasonable care and skill in assisting with the restoration of the plaintiff's home, such that it would be a safe and habitable abode.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the plaintiffs relied on the skill and expertise of Clingwall to act in the plaintiffs' best interests when giving instructions to Cromwell for the restoration of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main thrust of the plaintiffs' case is that these defendants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failed to take steps to ensure against moisture induced mould growth in the interior of the house so that mould developed inside the walls rendering the house "toxic" which caused them and their children health problems, particularly exacerbating asthma and allergies of two of the four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toxicity, they allege, forced them to sell their house at a reduced value and relocate to a more expensive new house in a less desirable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clear from the pleadings that the plaintiffs' allege that the defendants failed to meet the standard of conduct required of persons performing the services the defendants undertook.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I am far from persuaded there were contracts between these defendants and the plaintiffs, for purposes of this Rule 40(8) motion I am not obliged to make a determination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Regardless of whether the plaintiffs' claim is in tort or contract, a key element they must prove is that the defendants failed to meet the tort law standards of care required of professionals in their respective disciplines, or standards they implicitly warranted in any contract that they would meet in carrying out the work they did. That work was insurance adjusting by Brouwer and Clingwall and water damage restoration by Cromwell.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short point is that there is no expert evidence of what standards of care are required of the defendants so there is no basis upon which the Court can make a key finding of fact, that is, breach of the appropriate standards, by any of the three defendants, necessary for the plaintiffs' action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submission is that this is not a case where a breach of the standard of professional competence is obvious to a lay person. It is not a case, like that posited by the Court in a question to counsel for Cromwell, of leaving a gaping hole in the roof. Nor is it a case like that posited by counsel for the adjuster, of the adjuster failing to secure the house against vandals.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Nor is it similar to a typical accident claim where the circumstances of a motor vehicle crash permit an inference of a breach of duty of care by the driver who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Here there is no evidence of any obvious structural or even cosmetic shortcomings in the ultimate repairs done by Cromwell on Brouwer's instructions. What is primarily alleged is that there is latent toxicity, due to mould growth, which caused health problems and lowered the value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some evidence that delay in replacing the roof extended the period of leakage and therefore the amount of moisture in the house. The ultimate issue is whether all water damage, however and whenever occasioned, was properly repaired by Cromwell on Brouwer's instructions, since that is the basis for the damage claim. So evidence as to the usefulness and timeliness of "tarping" the roof does not advance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Seiler testified two of the children were diagnosed with pneumonia during the period they lived under the tarp. This is not evidence that the plaintiffs' and their children's later health problems arose as a result of the two children's pneumonia during that brief period. The children are not plaintiffs, so they have no claim to damages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only evidence of observation of possible mould was that of a stain around the bath tub and some black spots on rafters or joists where the ceiling was open for inspection at one location. The stain around the tub was not acknowledged to be mould by Mr. Seiler. He acknowledged the black spots could be anything dark, including tar. There was no evidence that if either was mould it was caused by the flooding from the incidents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family doctor, Dr. Bowling. wrote a letter August 6, 1998, in which she stated:</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August 6,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Sarah Bose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Seiler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being written to your office to inform you that Sarah Bose and Brian Seiler suffer from severe allergies and have been advised to follow specific guidelines on environmental control. These guidelines include avoidance of damp environments in particular. Renovation work also creates a problem for allergy suffers. Mold spores, mites, dust, and other particles in the air would create an unhealthy environment.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Sarah and Brian would not be able to return to their home during renovation as it would be too stressful and could potentially be life threatening.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cross-examination Dr. Bowling acknowledged she had assumed the presence of mould from what the plaintiffs told her and that she was unable to opine on what amount of mould constitutes a health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believe that their health problems and those of their children are attributable to mould hidden in the house. They may be right, but since the existence of mould is not established by testing or observation and the causal relationship between mould and disease is not a matter of common knowledge, expert evidence is required to establish both the presence of mould at toxic levels in the house and a link between mould and the symptoms experienced by the plaintiffs' family members. There is no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Plaintiffs' counsel's submission was that because the plaintiffs' family members had resided in the house for nine years before the restoration without health problems and all had health problems after the restoration, the Court could infer that the restoration somehow failed to make the house safely habitable and therefore the defendants must have failed to meet the standard of care required of them, namely to restore the house to a safe habitable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Cromwell acknowledged the state of the family members' health was evidence from which it could be inferred the house was "toxic" after restoration.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Brouwer took the position that there was no evidence of causation, that is no evidence that anything the defendants did or failed to do caused the house to be toxic.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Plaintiffs' counsel argued the fact the defendants "took control" of the house after the flooding incidents meant that failure by the defendants to restore the house to safe habitable condition is a basis for inferring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without the necessity of the plaintiffs proving their theory that toxic mould was the cause of the family members' ill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is a classic "bootstrap" argument: because the family got sick after the defendants took control of restoration of the house the defendants' actions or omissions in restoration of the house must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standard of care implicit in this proposition is that a competent and experienced adjuster and contractor would ensure the eradication of any possible unobserved health hazard which may have been caused by water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counsel's responses are that there is no evidence of any standards of care, no evidence that the defendants failed to meet the requisite standards of care nor any evidence that if the defendants had met whatever standards of care the law imposes on them as professionals, all toxic mould or any other health hazards in the house would have been eradicated, if indeed any such mould or other hazards had started to develop when the house was flooded.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Brouwer did not approve replacement, but instead insisted on the repair of a gas fireplace insert and two musical instruments (flutes). Could that evidence support an inference that Brouwer failed to meet the standard of a reasonably competent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counsel argued that the fireplace insert was a potential fire hazard on the strength of a letter, not marked as an exhibit, from a repairer stating it might be unsafe. This letter was known to Brouwer.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no evidence the fireplace insert failed to perform safely once it was repaired. Failure to approve replacement of the fireplace insert in these circumstances is not evidence of the standard to be met by a reasonably competent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evidence the plaintiffs ever raised with Brouwer the issue of faulty flute valves, which arose a year after they were repaired, or that they incurred any expense as a result of further repairs of either the flutes or the fireplace insert.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order to succeed with this aspect of their claim, the plaintiffs must prove both a breach of duty by Brouwer and resulting damages. Where both the fireplace insert and the flutes performed adequately after repair, the fireplace insert indefinitely and the flutes for about a year, it is not possible to infer Brouwer had a duty as an adjuster to approve their replacement rather than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concluded that the defendants' no evidence motions must succeed. Expert evidence is necessary to establish the appropriate standards of care these defendants had to meet in the execution of their functions in regard to the plaintiffs' claim against their insurer. There is no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Plaintiffs' counsel referred to a passage in Ayer Mountain Estates Ltd. V. McElhaney Surveying &amp; Engineering Ltd. et al </w:t>
      </w:r>
      <w:hyperlink r:id="rId871" w:history="1">
        <w:r>
          <w:rPr>
            <w:rFonts w:ascii="arial" w:eastAsia="arial" w:hAnsi="arial" w:cs="arial"/>
            <w:i/>
            <w:color w:val="0077CC"/>
            <w:sz w:val="20"/>
            <w:u w:val="single"/>
            <w:shd w:val="clear" w:color="auto" w:fill="FFFFFF"/>
            <w:lang w:val="en-US" w:eastAsia="en-US" w:bidi="ar-SA"/>
          </w:rPr>
          <w:t>(1978), 7 B.C.L.R. 310</w:t>
        </w:r>
      </w:hyperlink>
      <w:r>
        <w:rPr>
          <w:rFonts w:ascii="arial" w:eastAsia="arial" w:hAnsi="arial" w:cs="arial"/>
          <w:color w:val="000000"/>
          <w:sz w:val="20"/>
          <w:lang w:val="en-US" w:eastAsia="en-US" w:bidi="ar-SA"/>
        </w:rPr>
        <w:t xml:space="preserve"> at 311 where Horsman Bros. Holdings Ltd. v. Ellard, B.C.S.C. Vancouver No. 44313/75 is cited for the proposition that before dismissing a case under Rule 40(8) the court may allow the plaintiffs to call additional evidence in order to patch up any holes in the plaintiffs' case. I was unable to find the unreported Horsman case. Ayer is not authority for the proposition for which Horsman is cited, so the comment in Ayer is non-binding obiter dicta.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Rule 40(7) refers to proceeding "with the trial", where some material fact is not proved. I am unable to see how a trial can proceed after a motion to dismiss under Rule 40(8) has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Assuming Rule 40(7) permits the trial to continue in such a case, it goes on to provide that the Court must direct how a material fact is to be proved. This suggests that the fact to be proved is one of a non-contentious nature susceptible of proof by means of filing a certificate or some similar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That interpretation is supported by Rule 40(7)(a) which provides for the Court to direct a jury to decide the case as if the material fact had been proved. The Court could make such a direction, which involves the Court usurping the jury's fact finding function by presuming what the jury would make of the evidence called to prove the fact, only where the evidence of proof could not be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Swami v. Lo (No. 2) </w:t>
      </w:r>
      <w:hyperlink r:id="rId872" w:history="1">
        <w:r>
          <w:rPr>
            <w:rFonts w:ascii="arial" w:eastAsia="arial" w:hAnsi="arial" w:cs="arial"/>
            <w:i/>
            <w:color w:val="0077CC"/>
            <w:sz w:val="20"/>
            <w:u w:val="single"/>
            <w:shd w:val="clear" w:color="auto" w:fill="FFFFFF"/>
            <w:lang w:val="en-US" w:eastAsia="en-US" w:bidi="ar-SA"/>
          </w:rPr>
          <w:t>(1979), 15 B.C.L.R. 321</w:t>
        </w:r>
      </w:hyperlink>
      <w:r>
        <w:rPr>
          <w:rFonts w:ascii="arial" w:eastAsia="arial" w:hAnsi="arial" w:cs="arial"/>
          <w:color w:val="000000"/>
          <w:sz w:val="20"/>
          <w:lang w:val="en-US" w:eastAsia="en-US" w:bidi="ar-SA"/>
        </w:rPr>
        <w:t xml:space="preserve"> indicates that Rule 40(7) is not designed to allow a wide reopening after a motion for non-suit reveals a fatal flaw in the case for the plaintiff. Mandzuk v. Viera </w:t>
      </w:r>
      <w:hyperlink r:id="rId873" w:history="1">
        <w:r>
          <w:rPr>
            <w:rFonts w:ascii="arial" w:eastAsia="arial" w:hAnsi="arial" w:cs="arial"/>
            <w:i/>
            <w:color w:val="0077CC"/>
            <w:sz w:val="20"/>
            <w:u w:val="single"/>
            <w:shd w:val="clear" w:color="auto" w:fill="FFFFFF"/>
            <w:lang w:val="en-US" w:eastAsia="en-US" w:bidi="ar-SA"/>
          </w:rPr>
          <w:t>(1983), 43 B.C.L.R. 347</w:t>
        </w:r>
      </w:hyperlink>
      <w:r>
        <w:rPr>
          <w:rFonts w:ascii="arial" w:eastAsia="arial" w:hAnsi="arial" w:cs="arial"/>
          <w:color w:val="000000"/>
          <w:sz w:val="20"/>
          <w:lang w:val="en-US" w:eastAsia="en-US" w:bidi="ar-SA"/>
        </w:rPr>
        <w:t xml:space="preserve"> indicates Rule 40(7) is not designed to permit a party to split his or her case nor does it appear to permit reception of opinion after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decision in this case not to call expert evidence essential to prove their case was not an oversight. Plaintiffs' counsel's submission was that expert evidence was not necessary in this case. To permit the plaintiffs to now introduce expert evidence, or to apply to call defendants' representatives as hostile witnesses would amount to permitting the plaintiffs to split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Gold v. Gold, </w:t>
      </w:r>
      <w:hyperlink r:id="rId874" w:history="1">
        <w:r>
          <w:rPr>
            <w:rFonts w:ascii="arial" w:eastAsia="arial" w:hAnsi="arial" w:cs="arial"/>
            <w:i/>
            <w:color w:val="0077CC"/>
            <w:sz w:val="20"/>
            <w:u w:val="single"/>
            <w:shd w:val="clear" w:color="auto" w:fill="FFFFFF"/>
            <w:lang w:val="en-US" w:eastAsia="en-US" w:bidi="ar-SA"/>
          </w:rPr>
          <w:t>[1992] B.C.J. No. 651</w:t>
        </w:r>
      </w:hyperlink>
      <w:r>
        <w:rPr>
          <w:rFonts w:ascii="arial" w:eastAsia="arial" w:hAnsi="arial" w:cs="arial"/>
          <w:color w:val="000000"/>
          <w:sz w:val="20"/>
          <w:lang w:val="en-US" w:eastAsia="en-US" w:bidi="ar-SA"/>
        </w:rPr>
        <w:t xml:space="preserve"> refers to authority that the Court has inherent jurisdiction to permit a party to re-open a case to introduce evidence which could not have been discovered with due diligence. This is not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Rule 40(7) does not permit case splitting in this way. I find it is not open to the plaintiff to seek to continue the trail despite the defendants' successful applications under Rule 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action against Brouwer, Clingwall and Cromwell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E.R.A. Edwards dated September 16, 2003 have been edited.</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the case name, the style of cause, and the header should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Mutual </w:t>
      </w:r>
      <w:r>
        <w:rPr>
          <w:rFonts w:ascii="arial" w:eastAsia="arial" w:hAnsi="arial" w:cs="arial"/>
          <w:b/>
          <w:color w:val="000000"/>
          <w:sz w:val="20"/>
          <w:lang w:val="en-US" w:eastAsia="en-US" w:bidi="ar-SA"/>
        </w:rPr>
        <w:t>Fire</w:t>
      </w:r>
      <w:r>
        <w:rPr>
          <w:rFonts w:ascii="arial" w:eastAsia="arial" w:hAnsi="arial" w:cs="arial"/>
          <w:color w:val="000000"/>
          <w:sz w:val="20"/>
          <w:lang w:val="en-US" w:eastAsia="en-US" w:bidi="ar-SA"/>
        </w:rPr>
        <w:t xml:space="preserve"> Insurance Company of British Columbia</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Sidhu (Litigation guardian of) v. Hiebert, [2011] B.C.J. No. 1905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16-17 and August 19,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M082472, M083848 and M083325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1905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2011 BCSC 1364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Arshdeep Singh Sidhu, an infant by his litigation guardian Kuljivan Singh Dhaliwal, Plaintiff, and Jan Abram Hiebert, Balwinder Kaur Sidhu, Rajvinder Singh Sidhu, and Surinder Singh Rattan, Defendants, and Insurance Corporation of British Columbia, Jan Abram Hiebert, Balwinder Kaur Sidhu, Rajvinder Singh Sidhu, Surinder Singh Rattan and Rudolph Werner Braun, Third Parties And between Balraj Singh Sidhu, an infant by his litigation guardian Tejpaul Mann, Plaintiff, and Jan Abram Hiebert, Balwinder Kaur Sidhu, Rajvinder Singh Sidhu, and Surinder Singh Rattan, Defendants, and Surinder Singh Rattan, Jan Abram Hiebert, Balwinder Kaur Sidhu, Rajvinder Singh Sidhu, Insurance Corporation of British Columbia and Rudolph Werner Braun, Third Parties And between Balkran Singh Gill, an infant by his litigation guardian Inderjeet Dhaliwal, Plaintiff, and Jan Abram Hiebert, Balwinder Kaur Sidhu, Rajvinder Singh Sidhu, and Surinder Singh Rattan, Defendants, and Insurance Corporation of British Columbia, Jan Abram Hiebert, Balwinder Kaur Sidhu, Rajvinder Singh Sidhu, Surinder Singh Rattan and Rudolph Werner Braun,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2" w:name="Keywords_45"/>
      <w:bookmarkEnd w:id="332"/>
      <w:r>
        <w:rPr>
          <w:rFonts w:ascii="arial" w:eastAsia="arial" w:hAnsi="arial" w:cs="arial"/>
          <w:b/>
          <w:color w:val="000000"/>
          <w:sz w:val="20"/>
          <w:lang w:val="en-US" w:eastAsia="en-US" w:bidi="ar-SA"/>
        </w:rPr>
        <w:t>Civil litigation — Civil procedure — Judgments and orders — Summary judgments — To dismiss action — Application by Rattan for dismissal of claims dismissed and application by Braun for dismissal of third party claim allowed — Infant plaintiffs were injured when vehicle in which they were passengers was struck by vehicle driven by Hiebert in which Braun was passenger — Prior to accident Hiebert and Braun consumed alcohol at Rattan's house — As there were conflicts in evidence, which had bearing on whether Rattan owed duty of care, it was unjust to decide duty issue on summary trial — As Braun did not supply Hiebert alcohol, no basis upon which duty of care could be imposed.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Application by Rattan for dismissal of claims dismissed and application by Braun for dismissal of third party claim allowed — Infant plaintiffs were injured when vehicle in which they were passengers was struck by vehicle driven by Hiebert in which Braun was passenger — Prior to accident Hiebert and Braun consumed alcohol at Rattan's house — As there were conflicts in evidence, which had bearing on whether Rattan owed duty of care, it was unjust to decide duty issue on summary trial — As Braun did not supply Hiebert alcohol, no basis upon which duty of care could be imposed.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3" w:name="Case Summary_45"/>
            <w:bookmarkEnd w:id="3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Rattan for a summary trial dismissing the plaintiff's claims and the third party claims against him and application by the third party Braun for a summary trial to dismiss the third party claim against him. The three infant plaintiffs suffered injuries in a motor vehicle accident when the car they were passengers in, which was driven by BKS and owned by RSS, was struck by a vehicle driven by Hiebert. Prior to the accident, Hiebert attended a party at Rattan's house where he consumed alcohol. Each of the plaintiffs claimed damages against BKS and RSS as the driver and owner of one of the vehicles, against Hiebert as the driver of the second vehicle and against Rattan who hosted the party at which Hiebert became drunk. In addition, Rattan claimed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infant plaintiffs and issued a third party notice for contribution and indemnity against Braun, who was a passenger in Hiebert's vehicle. BKS, RSS and Hiebert had also issued third party claims against Rattan. Rattan sought the dismissal of the claims against him on the basis that as a social host he owed no duty of care to public users of the highway who might be injured by an intoxicated guest. Braun also sought the dismissal of the third party claim against him on the basis that he owed no duty of care to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4" w:name="Holdings of Court_37"/>
            <w:bookmarkEnd w:id="334"/>
            <w:r>
              <w:rPr>
                <w:rFonts w:ascii="arial" w:eastAsia="arial" w:hAnsi="arial" w:cs="arial"/>
                <w:color w:val="000000"/>
                <w:sz w:val="20"/>
                <w:lang w:val="en-US" w:eastAsia="en-US" w:bidi="ar-SA"/>
              </w:rPr>
              <w:t>HELD: Application by Rattan dismissed and application by Braun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there were conflicts in the evidence as to Hiebert's condition when he arrived at Rattan's home, the amount of alcohol he consumed there, his condition when he left and whether Rattan offered to call him a taxi or drive him home, which had bearing on the possible imposition of a duty of care, it would be unjust to decide the duty issue on a summary trial. As Braun was merely a fellow traveler and did not supply Hiebert alcohol, there was no basis upon which a duty of care could be imposed on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5" w:name="Legislation Cited_35"/>
      <w:bookmarkEnd w:id="3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Subpoena (Interprovincial) Act, </w:t>
      </w:r>
      <w:r>
        <w:rPr>
          <w:rFonts w:ascii="arial" w:eastAsia="arial" w:hAnsi="arial" w:cs="arial"/>
          <w:i/>
          <w:color w:val="000000"/>
          <w:sz w:val="20"/>
          <w:lang w:val="en-US" w:eastAsia="en-US" w:bidi="ar-SA"/>
        </w:rPr>
        <w:t>RSBC 1996, CHAPTER 442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9-7(15)(a)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6" w:name="Counsel_45"/>
      <w:bookmarkEnd w:id="3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Arshdeep Singh Sidhu: J. Buckley and C. D'Sa.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Defendant/Applicant: Surinder Singh Rattan: N.P.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Defendants/Third Parties: Balwinder Kaur Sidhu and Rajvinder Singh Sidhu: C.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Insurance Corporation of British Columbia: A.B. Hudson.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Rudolph Werner Braun: S.A. Braun.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7" w:name="Judgment_46"/>
      <w:bookmarkEnd w:id="337"/>
      <w:r>
        <w:pict>
          <v:line id="_x0000_s1253"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8" w:name="R. JOHNSTON J._2"/>
            <w:bookmarkEnd w:id="338"/>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three actions, brought on behalf of three infant plaintiffs, all arising out of a motor vehicle accident. Arshdeep Singh Sidhu, the most seriously injured of the plaintiffs, claims damages against his parents Balwinder Kaur Sidhu and Rajvinder Singh Sidhu, the driver and owner, respectively, of the vehicle in which he rode as a passenger; against Mr. Hiebert, the driver of the vehicle that collided with his parents' vehicle; and against Mr. Rattan, who is alleged to have hosted a party at which Mr. Hiebert became drunk just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in the other two actions were also passengers in the Sidhu vehicle, and each claims against the same defendants based on similar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Rattan alleges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infant plaintiff. As well, Mr. Rattan has issued a third party notice claiming contribution and indemnity against Mr. Braun, who was a passenger in Mr. Hiebert's vehicle. Mr. Rattan asserts that if he, Rattan, can owe a duty to third party users of the highway such as the plaintiff, then so too can Mr.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Sidhu defendants and Mr. Hiebert have issued third party notices claiming contribution and indemnity from Mr. Rattan.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Rattan applies by way of summary trial to have the plaintiffs' claims, along with any third party claims against him,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third party Braun applies by way of summary trial to have the defendant Rattan's third party claims against him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Rattan argues that his liability to the plaintiff, if any, would arise from his status as what is called a "social host," and as a matter of law he owed no duty of care to public users of the highway who might be injured by an intoxicated guest. He says further that the claims by various co-defendants who seek contribution or indemnity from him by way of third party notices should be dismissed for the same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Similarly, Mr. Braun seeks the dismissal of the third party notice issued against him on the basis that he owed no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Rattan, the defendant Hiebert and the third party Braun were school friends when they were younger, but they had drifted apart as they got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Mr. Rattan was about to turn 50, his family decided to have a party to celebrate. Mr. Hiebert and Mr. Braun were invited, and attended together, arriving some hours after the celebration had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conflicts on how much, and what kind, of alcoholic beverage Mr. Hiebert consumed at the Rattan home; in whose presence he consumed it; and who knew of his resulting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Hiebert left the gathering with Mr. Braun. Mr. Hiebert drove his truck and Mr. Braun rode 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Shortly after leaving the Rattan home, Mr. Hiebert drove through a stop sign and hit the vehicle in which the three infant plaintiffs were riding as passengers. The defendant Balwinder Kaur Sidhu was driving that vehicle, which was owned by the defendant Rajvinder Singh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Hiebert's blood alcohol content has been analyzed and extrapolated back to the time of the collision to be more than three times the legal limit for driving. An expert has opined that Mr. Hiebert would have had to drink between 20 and 26 ounces of hard liquor to produce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infant plaintiff Arshdeep Singh Sidhu is disastrously injured as a result, as his spinal cord was severed in the high cervical area. The plaintiffs in the other two actions allege lesser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trial on issues of liability and damages is set for 15 days in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Rattan's position is that he owed no duty to the infant plaintiffs arising out of the fact that Mr. Hiebert had consumed alcohol at his home. He relies on the decision of the Supreme Court of Canada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Mr. Rattan says that the effect of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is that he owed no duty to monitor Mr. Hiebert's alcohol intake while at his house, or to take any steps to protect other users of the highways when Mr. Hiebert proposed to drive away from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argues further that the issue of any liability that might attach to him as a "social host" is sufficiently discrete from the issues among the parties to the motor vehicle accident litigation that it would be just and convenient to decide his liability separately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Arshdeep Singh Sidhu, supported by Mr. Rattan's co-defendants Balwinder and Rajvinder Sidhu, and the third party Insurance Corporation of British Columbia ("ICBC"), argue that this issue is not suitable for disposition on summary trial. The plaintiffs in the other actions delivered responses adopting the position taken by Arshdeep Singh Sidhu, but did not appear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argues that there are controversial aspects of the evidence that make summary determination inappropriate, including:</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Hiebert's condition when he arrived at the Rattan home, and Mr. Rattan's knowledge of that condition;</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alcohol that was available or served to Mr. Hiebert at the Rattan home;</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Hiebert's condition when he left the Rattan home, and Mr. Rattan's knowledge of that condition; and</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Rattan offered to call Mr. Hiebert a taxi, or offered to drive him home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Rattan argues: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Hiebert's condition when he arrived at the party is moot because the law does not require him to have either monitored Mr. Hiebert's drinking or intervened to prevent or discourage him from driving;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he has no duty of care as a social host, the amount of Mr. Rattan's liquor Mr. Hiebert chose to drink at his home is moot;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there is no duty to intervene to prevent or discourage Mr. Hiebert from driving, his condition when he left the Rattan home is moot;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Mr. Rattan offered to call a taxi one or more times, and had no legal obligation to do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submits that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did not go so far as to eliminate all possibility that a duty of care might arise out of social hosting circumstances. He argues that there are many conflicts in the evidence, which, if resolved in favour of the plaintiff, are capable of satisfying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from which a duty of care might arise. The plaintiff submits that there is a significant risk that a just and fair result will not be achieved if the findings of credibility and fact that are critical to the analysis required by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were to be made on a summary, as opposed to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arose out of a New Year's party hosted by two defendants to which their co-defendant Desormeaux was invited. The invitees were expected to bring their own refreshments, and the hosts provided a small amount of champagne to each guest to toast the New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hosts knew that Mr. Desormeaux had in the past driven after becoming drunk. On this occasion, Mr. Desormeaux got drunk, drove, and caused a serious car accident. The trial judge, </w:t>
      </w:r>
      <w:hyperlink r:id="rId884" w:history="1">
        <w:r>
          <w:rPr>
            <w:rFonts w:ascii="arial" w:eastAsia="arial" w:hAnsi="arial" w:cs="arial"/>
            <w:i/>
            <w:color w:val="0077CC"/>
            <w:sz w:val="20"/>
            <w:u w:val="single"/>
            <w:shd w:val="clear" w:color="auto" w:fill="FFFFFF"/>
            <w:lang w:val="en-US" w:eastAsia="en-US" w:bidi="ar-SA"/>
          </w:rPr>
          <w:t>[2002] O.J. No. 3289</w:t>
        </w:r>
      </w:hyperlink>
      <w:r>
        <w:rPr>
          <w:rFonts w:ascii="arial" w:eastAsia="arial" w:hAnsi="arial" w:cs="arial"/>
          <w:color w:val="000000"/>
          <w:sz w:val="20"/>
          <w:lang w:val="en-US" w:eastAsia="en-US" w:bidi="ar-SA"/>
        </w:rPr>
        <w:t xml:space="preserve">, did not find that the hosts knew, or ought to have known, that Mr. Desormeaux was impaired when he left their party. The trial judge concluded that the hosts nevertheless owed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the injured plaintiff, but found that this duty was negatived on grounds of public policy and dismissed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appeal, the Ontario Court of Appeal, </w:t>
      </w:r>
      <w:hyperlink r:id="rId885" w:history="1">
        <w:r>
          <w:rPr>
            <w:rFonts w:ascii="arial" w:eastAsia="arial" w:hAnsi="arial" w:cs="arial"/>
            <w:i/>
            <w:color w:val="0077CC"/>
            <w:sz w:val="20"/>
            <w:u w:val="single"/>
            <w:shd w:val="clear" w:color="auto" w:fill="FFFFFF"/>
            <w:lang w:val="en-US" w:eastAsia="en-US" w:bidi="ar-SA"/>
          </w:rPr>
          <w:t>[2004] O.J. No. 2065</w:t>
        </w:r>
      </w:hyperlink>
      <w:r>
        <w:rPr>
          <w:rFonts w:ascii="arial" w:eastAsia="arial" w:hAnsi="arial" w:cs="arial"/>
          <w:color w:val="000000"/>
          <w:sz w:val="20"/>
          <w:lang w:val="en-US" w:eastAsia="en-US" w:bidi="ar-SA"/>
        </w:rPr>
        <w:t xml:space="preserve">, determined that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had arisen and dismissed the appeal. The case went to the Supreme Court of Canada where the issue was the existence of a duty of care on the part of the defendant social hosts.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 reviewed the analytical framework for whether or not a duty of care arises in light of the two-part test established in the House of Lords decision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Those two parts are first, whether there is a sufficiently close or "proximate" relationship between plaintiff and defendant to give rise to a duty of care, and second, if the relationship is sufficiently close, whether there are policy reasons to negate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then applied its reasoning from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where the question of proximity was divided into two elements, foreseeability and proximity. It said that the test for proximity will not always be satisfied by reasonable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bears the burden of satisfying the first, or proximity, stage of the analysis.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may be avoided where the relationship between the parties is such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has been imposed in previous decisions involving parties in similar relationships. If, however, the relationship upon which the duty is alleged to arise is a novel one, in the sense that precedent has not established the categorical existence of a duty of care, then the plaintiff must satisfy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who succeeds in establishing proximity raises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that shifts an evidentiary burden to the defendant to establish a policy reason for not imposing the duty raised in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way upon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concluded that the first part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could not be avoided on the basis that the social host case before it was sufficiently similar to cases already decided where the existence of a duty had become established - the nearest analogy being commercial hosts, such as bars. The court did not deny similarities between commercial and social hosts. It simply said that "the possibility of a duty of care on commercial hosts does not automatically translate into a duty of care for social hosts"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 instead determined that it had to decide whether the plaintiff had raised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Whether a duty had been established on the face of it depended on the answer to this question: "What, if anything, links party hosts to third-party users of the highway?"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Supreme Court of Canada's answer was that injury to the plaintiff Childs was not reasonably foreseeable on the facts found by the trial judge and, even if foreseeability had been established, no duty would arise because the wrong alleged was a failure to act, or nonfeasance, in circumstances where there was no positive duty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There are two aspects of the Court's answer that require examination in light of the issues raised in this case: first, the conclusion that the plaintiff's injuries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were not reasonably foreseeable on the facts as found in that case; second, that failure to act could not give rise to liability in circumstances where there was no duty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first, the Court pointed out that the trial judge had not found as a fact that the hosts knew, or ought reasonably to have known, that their guest Desormeaux was too drunk to drive when he left their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before me, there is a great deal of conflicting evidence on what Mr. Rattan knew or ought to have known about Mr. Hiebert's state of sobriety when he drove away from the party. That evidence includes: Mr. Rattan's statement to police that Mr. Hiebert was "pretty drunk," his discovery evidence that Mr. Hiebert "seemed okay" but "nobody should drive even after one drink." Mr. Hiebert's evidence on discovery that he had no difficulty walking and was not slurring his speech; Mr. Rattan's brother's affidavit saying Mr. Hiebert did not appear to be intoxicated when he shook his hand as Mr. Hiebert was leaving; and Mr. Rattan's adult children's affidavits in which they agreed that Mr. Hiebert did not appear intoxicated around the time he left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refers to a statement given to police by Baljinder Rattan, a niece of the defendant host. Baljinder Rattan, who now lives in Ontario, has refused to give an affidavit. Her statement to the police is not admissible on summary trial for the truth of its contents. The question is whether it is admissible as evidence that it was made, and if so, how far that may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conclude that I can accept the statement as proving that it was made, in order to determine whether, if the application is dismissed, there is a realistic possibility that facts might be found by a trial judge capable of supporting a conclusion that Mr. Rattan ought reasonably to have foreseen that these plaintiffs or other users of the roads might be injured by Mr. Hiebert's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There is a very real possibility that Baljinder Rattan's evidence might be available at a trial, through operation of the </w:t>
      </w:r>
      <w:r>
        <w:rPr>
          <w:rFonts w:ascii="arial" w:eastAsia="arial" w:hAnsi="arial" w:cs="arial"/>
          <w:i/>
          <w:color w:val="000000"/>
          <w:sz w:val="20"/>
          <w:lang w:val="en-US" w:eastAsia="en-US" w:bidi="ar-SA"/>
        </w:rPr>
        <w:t>Subpoena (Interprovincial)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442</w:t>
      </w:r>
      <w:r>
        <w:rPr>
          <w:rFonts w:ascii="arial" w:eastAsia="arial" w:hAnsi="arial" w:cs="arial"/>
          <w:color w:val="000000"/>
          <w:sz w:val="20"/>
          <w:lang w:val="en-US" w:eastAsia="en-US" w:bidi="ar-SA"/>
        </w:rPr>
        <w:t>, or Rules allowing for taking evidence outside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furthermore, other, conflicting evidence admissible on this summary trial touching on what Mr. Rattan knew or ought to have known about Mr. Hiebert's condition when leaving the Rattan home. On one hand, Mr. Rattan has produced affidavits from his brother, his son and his daughter, each of whom describes Mr. Hiebert's apparent condition when he left the party in terms that would argue strongly against imposing a duty of care upon Mr. Rattan. On the other hand, there is the opinion of Ms. Kirkwood, based on the analysis of a sample of Mr. Hiebert's blood, that at the time of the accident, Mr. Hiebert's blood alcohol concentration was 284 mg. of alcohol in 100 ml. of blood, and that she would expect 90 to 95% of the population having that level of alcohol in their blood to "exhibit symptoms of impairment that would be apparent to a casual observer."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This is a case where findings of fact necessary to determine if a duty of care arose in the circumstances should not be made on affidavits, but rather should be made by a trier of fact who has had the advantage of observing and weighing the evidence of the witnesses in direct as well as cross-examination. That distinguishes the foreseeability aspect of this case from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a second aspect of the Supreme Court of Canada's answer to the question of linkages between social hosts and third party users of the highway. This second aspect deals with nonfeasance or omission, and whether there was a duty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says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However, where the conduct alleged against the defendant is a </w:t>
      </w:r>
      <w:r>
        <w:rPr>
          <w:rFonts w:ascii="arial" w:eastAsia="arial" w:hAnsi="arial" w:cs="arial"/>
          <w:i/>
          <w:color w:val="000000"/>
          <w:sz w:val="20"/>
          <w:lang w:val="en-US" w:eastAsia="en-US" w:bidi="ar-SA"/>
        </w:rPr>
        <w:t>failure to act</w:t>
      </w:r>
      <w:r>
        <w:rPr>
          <w:rFonts w:ascii="arial" w:eastAsia="arial" w:hAnsi="arial" w:cs="arial"/>
          <w:color w:val="000000"/>
          <w:sz w:val="20"/>
          <w:lang w:val="en-US" w:eastAsia="en-US" w:bidi="ar-SA"/>
        </w:rPr>
        <w:t>, foreseeability alone may not establish a duty of care. In the absence of an overt act on the part of the defendant, the nature of the relationship must be examined to determine whether there is a nexus between the parties. Although there is no doubt that an omission may be negligent, as a general principle, the common law is a jealous guardian of individual autonomy. Duties to take positive action in the face of risk or danger are not free-standing. Generally, the mere fact that a person faces danger, or has become a danger to others, does not itself impose any kind of duty on those in a position to become involved.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take from this passage that this aspect is also evidence-driven, in that whether there is a nexus between the parties will depend on the nature of any relationship revealed by the evidence. The passage also suggests that if there is more than a "mere fact that a person faces danger," again revealed in the evidence, the general statement may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summarized three situations where courts have in the past imposed positive duties to act: where a defendant has intentionally attracted and invited third parties to inherent and obvious risks created or controlled by the defendant; where there is a paternalistic, supervisory or controlling relationship between defendant and plaintiff; and where the defendant is engaged in a public function or commercial enterprise that implies responsibility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agree with counsel for Mr. Rattan that this case does not fit comfortably within any one of these three situations, but I also note that the Court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34 said these were not strict legal categories, but serve to elucidate factors that can lead to positive duties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pointing out that the three situations have in common the defendants' "material implication in the creation of the risk or his or her control of a risk to which others have been invited," and the reluctance of the law to infringe on the personal autonomy of someone in Mr. Hiebert's position without good reason, the Court at para. 39 points out that someone in Mr. Rattan's position might be expected or required by law to impinge on Mr. Hiebert's autonomy only when he has a special relationship to the person in danger (not apparent here), or "... a material role in the creation or management of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of Mr. Hiebert's condition on arrival at the party, or the possibility of Baljinder Rattan's evidence becoming available, coupled with the evidence in existence or possibly available concerning the contribution to Mr. Hiebert's intoxication from the alcohol Mr. Rattan supplied, could, if developed at a trial, arguably support an argument that Mr. Rattan had a material role in the creation of the risk posed by Mr. Hiebert.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third possible ground on which this case may be distinguishable from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is on the question of reasonable reliance. The Court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said at para. 40 that "reasonable reliance" unites its examples in the three situations that it had earlier said were not strict categories but were to elucidate factors that can lead to positive duties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At para. 46 of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the Court pointed out that there was no evidence in that case that anyone relied on the hosts to monitor guests' alcohol intake or to prevent intoxicated guests from driving. The Court said that this distinguished the social host from the commercial or public host: a commercial host warrants a duty of care because regulations govern the sale of alcohol, and the public by right relies on the commercial host to refrain from over-serving a guest, or to take reasonable steps to keep a guest, who has drunk too much, from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Even this factor admits of a different result depending 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indicates at para. 44 that it did not intend to close the door completely on the possibility of social host liability to third party users of the highways: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is required to establish a danger or risk that requires positive action. It might be argued that a host who continues to serve alcohol to a visibly inebriated person knowing that he or she will be driving home has become implicated in the creation or enhancement of a risk sufficient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third parties, which would be subject to contrary policy considerations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the implication of a duty of care depends on the relationships involved. The relationship between social host and guest at a house party is part of this equation. A person who accepts an invitation to attend a private party does not park his autonomy at the door. The guest remains responsible for his or her conduct. Short of active implication in the creation or enhancement of the risk, a host is entitled to respect the autonomy of a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Supreme Court Civil Rule 9-7(15)(a) permits the Court to determine a summary trial application as follows: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this is a circumstance where both subsections (i) and (ii) apply. I have already alluded to some of the conflicts in the evidence bearing on the possible imposition of a duty of care, and in my view it would be unjust to decide the duty issue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Adverting to the considerations that have been developed since the decision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214 (C.A.), I note as well that there is a great deal at stake in the Arshdeep Singh Sidhu action, both in terms of money and the quality of care the infant plaintiff will hope to have if he succeeds, that this matter does not appear urgent, a trial is scheduled for October 2012, there is no prejudice likely to arise from delay beyond continuing costs to Mr. Rattan to defend the actions against him, and the cost of allowing the matter to proceed is not substantial given the amount at 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Because I am persuaded that this case should be decided on a full record of evidence at trial, I conclude that I should leave to trial the question of whether motorists can reasonably rely on a social host to not exacerbate an obvious risk by continuing to supply alcohol to an apparently impaired guest who the host knows will drive away from the party. It seems to me that justice requires that I allow the parties to develop the evidence and argument on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Rattan's application is dismissed with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BRAUN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turn then to Mr. Braun's application, seeking the dismissal of the third party notice filed against him by Mr. Rattan.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Braun argues that any relationship he might have with the occupants of the Sidhu vehicle does not fall within one of the situations recognized in the authorities as giving rise to a duty of care, and that proximity cannot be established on application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He says in the alternative, if he might owe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to the plaintiffs, as users of the highway,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that duty would be negatived on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Rattan responds that there is no material difference between him and Mr. Braun sufficient to cause his claim against Mr. Braun to be dismissed while the claims against him are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Braun can be described as a companion or fellow traveller of the alleged main tortfeasor, Mr. Hiebert. The evidence suggests that Mr. Braun brought some beer with him when he went to Mr. Hiebert's home on the way to Mr. Rattan's birthday party, and that he may have had one beer to drink at Mr. Hiebert's before the two left in Mr. Hiebert's vehicle to go to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does not suggest that Mr. Braun supplied any alcoholic beverage to Mr. Hiebert at the Rattan home, or that he encouraged Mr. Hiebert to consume any alcohol that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some evidence of marihuana consumption at the party, but, again, the evidence does not suggest that Mr. Braun supplied the drug or encouraged Mr. Hiebert to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Baljinder Rattan's statement to police is also relevant here. She tended to treat Mr. Hiebert and Mr. Braun together, by describing their condition on arrival and on leaving the party in joint terms, that is, "they" were obviously intoxicated, drank a lot, and the like. Again, this is not admissible to prove the truth, but can be considered as evidence that might be available if Mr. Rattan's claims against Mr. Braun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If I assume for the purposes of this application that the evidence showed that Mr. Braun and Mr. Hiebert arrived together at the party in an intoxicated condition, both continued to drink Mr. Rattan's alcohol to excess at the party, and both left together at the end, in a more intoxicated condition than when they arrived - with Mr. Hiebert driving and Mr. Braun as his passenger - is there a possibility that the first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might be satisfied? My answer is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language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that might allow a court to conclude that a social host owes a duty of care to highway users injured by a driver who becomes impaired as a guest of the host does not go so far as to admit the possibility of a duty on a companion or fellow traveller who does no more than observe the risky behavior of the drinking guest, and perhaps acquiesce to an extent in the risk by drinking with and then accepting a ride home from the party with the drunken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If the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not closed, then neither are the possibilities that someone might be found to owe a duty of care to another on the basis that he or she somehow assisted in the creation of the circumstances giving rise to a duty of care, or encouraged a principal tortfeasor to engage in conduct that would give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have examined the evidence for something that would support an argument that such a duty could arise here,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Rattan seeks to sustain his claims against Mr. Braun by arguing that if he had a duty to monitor Mr. Hiebert's alcohol intake at the party, or to intervene to prevent Mr. Hiebert from driving drunk, then so too did Mr. Braun. That argument seems to me to go more to the standard of care if duty were established, and not to the existence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evidence presented, I can see no basis on which a duty of care can be imposed on Mr. Braun. Allowing for evidence that might be available at trial, but not on summary trial (the evidence of Baljinder Rattan), I see no basis on which a duty of care can be imposed on Mr.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considerations flowing from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do not lead to the same result in this application as was found in the Rattan application. The plaintiffs have not sought damages from Mr. Braun; rather, Mr. Rattan seeks contribution or indemnity in the event he is found to have owed a duty of care to the plaintiffs, and to have breached it. The amount at stake in Mr. Rattan's third party proceedings is not the same as in the plaintiffs' claims against Mr. Rattan, particularly if Mr. Rattan succeeds in his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infant plaintiff Arshdeep Singh Sidhu, making liability several, not joint. Mr. Rattan's potential several liability to the plaintiff must be compared to that of the driver, Mr. Hiebert. Counsel have conducted discoveries, and the further costs of continuing to trial are not insignificant. I must contrast these costs with the likelihood that a duty of care will be imposed on Mr. Braun, and with the size of his potential contribution to overall damages should he be found to have owed a duty and to have breached it, in a case where Mr. Rattan might succeed in limiting his own liability to several, rather than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circumstances it is fair and just to determine the third party claims against Mr. Braun on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third party notice brought by Mr. Rattan against Mr. Braun is dismissed with costs to Mr.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Signorello v. Khan, [2010] I.L.R. para. G-2350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S073462</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[2010] I.L.R. para. G-2350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[2010] B.C.J. No. 2024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2010 BCSC 1448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Signorello v. Khan, Imperial Parking Canada Corporation, Vancouver International Airport Authority, and Gateway Valet &amp; Concierge</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9" w:name="Keywords_46"/>
      <w:bookmarkEnd w:id="339"/>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Accelerated depreciation — Plaintiff left expensive luxury vehicle with the valet defendants at Vancouver airport, and individual defendant damaged the car while driving it — Vehicle was repaired to factory specifications but plaintiff claimed he was entitled to more: damages for accelerated loss of depreciation, loss of use, and emotional distress — Plaintiff established reduction in value and was awarded $16,000 for accelerated depreciation and $3,000 for loss of use — Damages for emotional distress and aggravated and punitive damages were denied — Action allowed in part.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0" w:name="Case Summary_46"/>
            <w:bookmarkEnd w:id="34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At the time of the incident, the plaintiff was the lessee of a 2005 Mercedes-Benz SL65 AMG convertible (the fastest production motor car in the world at that time), which he now owned at a cost of $210,094. He left the vehicle, in pristine condition, with the defendant Khan, who was a valet for the defendant corporation at the Vancouver airport. The vehicle was damaged while driven by Khan, with repairs costing $26,000 and taking over two months. The repairs were carried out by Mercedes-Benz, which restored the vehicle to factory specifications, and the cost was fully covered. The issue was whether the plaintiff was entitled to more: he claimed damages for accelerated depreciation, loss of use, emotional distress, and aggravated and punitive damages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admitted by the defendants).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1" w:name="Holdings of Court_38"/>
            <w:bookmarkEnd w:id="341"/>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dealing with the claim of accelerated depreciation, the Court noted that in British Columbia any person selling a vehicle that has sustained damage in an accident costing more than $2,000 has to disclose this information. As such, the issue became whether people who are prepared to pay a six-figure sum for an exotic performance car are likely to pay less for one when they learn it has sustained $26,000 in damages. The Court noted that the plaintiff purchased the car at the end of his lease because he was told by the leasing company that it would be "lucky to get $60,000 for the vehicle given its history", in which case the plaintiff would owe the leasing company $30,000 if he chose not to purchase it. The Court found that the plaintiff established a reduction in the car's value, and it awarded $16,000 in this regard. The Court also awarded the plaintiff $3,000 for loss of use during its repair. However, the Court declined to award emotional distress damages--the law has long recognized that no damages may be awarded for mere upset, mental distress, anguish or other mental states that fall short of injury. As well, the Court denied the plaintiff's claim for aggravated and punitive damages, as the evidence fell far short of any intentional conduct on the defendants' parts (the car was difficult to handle and there was no evidence Khan had been joyriding).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2" w:name="Counsel_46"/>
      <w:bookmarkEnd w:id="3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W.C. Glover for the plaintiff; C. Brink for the defendants Khan and Imperial Parking Canada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3" w:name="Judgment_47"/>
      <w:bookmarkEnd w:id="343"/>
      <w:r>
        <w:pict>
          <v:line id="_x0000_s1257"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4" w:name="J.C. GRAUER J. (orally)"/>
            <w:bookmarkEnd w:id="344"/>
            <w:r>
              <w:rPr>
                <w:rFonts w:ascii="arial" w:eastAsia="arial" w:hAnsi="arial" w:cs="arial"/>
                <w:b/>
                <w:color w:val="000000"/>
                <w:sz w:val="30"/>
                <w:lang w:val="en-US" w:eastAsia="en-US" w:bidi="ar-SA"/>
              </w:rPr>
              <w:t>J.C. GRAUER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7, 2007, Raymond Signorello Jr. was the lessee of a 2005 Mercedes-Benz SL65 AMG Convertible, a sports-luxury vehicle he now owns at a total cost of $210,094.36. He drove to Vancouver Airport to leave on a business trip. The car was in pristine condition with 21,000 km on the odometer when he turned it over to Gateway Valet Service, operated by the defendant Imperial Parking Canada Corporation. Shortly thereafter, while being driven by the valet parker, the defendant Khan, the vehicle was damaged. Repairs took more than two months and cost $26,000.00, enough to cause many vehicles to be written off. Not this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the evidence, the repairs, carried out by Mercedes-Benz, were of the highest standard, restoring the vehicle to factory specifications. Their cost was fully covered. The issue in this case is whether Mr. Signorello is entitled to more. He claims damages for accelerated depreciation, loss of use, and emotional distress. In addition, he alleges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admitted), and claims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Mercedes-Benz SL65 AMG is the stuff of a young man's fantasy, and an older man's crisis. It is a limited-production roadster. Each one is hand-signed. It is powered by a twin-turbocharged 600 horsepower, 6 litre, 36 valve V-12 engine, capable of moving from 0 to 100 km/h in 4.2 seconds. In 2005, it was the fastest production motor car in the world. Few are produced, and very few find their way to Canada. They are manufactured and finished to an extremely high quality. They are expensive, and appropriately described as 'exotic high-performance luxury sports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Mr. Signorello testified, the vehicle is so powerful that it can be very difficult to handle. It is accordingly equipped with a computerized electronic stability control system called "ESP". This system recognizes when a wheel starts to spin or if the vehicle starts to skid. It then automatically applies brakes to the appropriate wheel, and limits engine output, as necessary to stabilize the car. According to Mr. Signorello, this system, which is engaged automatically unless manually turned off, allows the vehicle to accelerate even on wet pavement without spinning wheels, and avoids any problem of the back end swinging out during a tight turn. Any time the car was started, the system was automatically engaged. To turn it off, one had to press a specific button on the centre console. The button was designed to avoid being accidentally depressed. Mr. Signorello gave evidence that when the ESP was disengaged, the car was "a beast" to handle.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Signorello also arranged for after-market modifications designed by Renntech of Florida, and installed by Meridian Automotive Design of California. These included hardware and software installations that had the effect of lowering the vehicle further than its original low stance, to enhance stability by lowering the centre of gravity.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accept the evidence of the plaintiff's expert, Mr. Cogbill, that persons who can afford prestige vehicles in this class are highly discriminating when it comes to making a purchase. That stands to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Khan testified as an adverse party witness. In the course of his employment with Imperial Parking at Vancouver Airport, he was driving Mr. Signorello's Mercedes along Terrace Road to the parking lot used by Gateway Valet Service. This was the route normally taken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Terrace Road is flat and straight, and consists of one lane in each direction traveling on east/west axis. It was raining. Ahead, Mr. Khan saw a food truck approaching from his left and turning right onto Terrace Road, towards him. He slowed down while he passed the food truck, and then accelerated. When he did so, he lost control. The back wheels spun out, causing the car to spin 180 degrees. It then drifted across the oncoming lane (which was mercifully empty), and left the road. Still out of control, it crossed a small concrete barrier, which was no doubt particularly painful for a low sports car that had been lowered still further, and came to rest on top of a row of 3 foot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Khan denied trying to race the vehicle. A few days after this, he was discharged from his employment, at least partly on account of this accident, and was issued a ticket by the police for driving without consideration. He was able to obtain a reduction of the fine when he appeared in court to contest the ticket. The charge was, however,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acknowledged that he would have used buttons and levers in the vehicle to adjust the seat and the mirrors, but when asked whether he had pressed the ESP button, he stated that he could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ACCELERATED DEPRECIATION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British Columbia, a person wishing to sell a used motor vehicle that has sustained damage in an accident costing $2,000 or more to repair must declare that to any potential buyer. Other matters that must be declared include whether the vehicle has been leased or rented, whether it has been used as an emergency vehicle, and whether it has been registered out of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Since any person considering the purchase of Mr. Signorello's Mercedes would presumably investigate further and thereby become aware of its history and the cost of its repairs, Mr. Signorello maintained that the market value of his vehicle has been reduced, a phenomenon known as accelerated depreciation.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claim under this heading was supported by expert evidence from Mr. Garry Cogbill of C/S Automotive Appraisals. It was his conclusion that the loss amounted to 15% of the vehicle's value at the time of the collision, varying between $12,500 and $18,000 depending upon whether one takes wholesale or 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contention that the plaintiff has suffered no loss in this regard was supported by expert evidence from Mr. Tom Cino of T.C. Consultants. Mr. Cino expressed the view that so long as a vehicle damaged in an accident has been repaired properly, as this one clearly was, then there is no loss due to accelerated depreciation regardless of the amount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Having read their reports and listened to the evidence of both experts, I find that I prefer the evidence of Mr. Cogbill to that of Mr. Cino. I do so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it would be unfair to describe Mr. Cino as an advocate for the party who retained him, he struck me as someone who is certainly an advocate for his position that, in general, a motor vehicle that is damaged in an accident does not suffer accelerated depreciation so long as it is repaired properly. It is a position he has advocated for a long time. As he stated, he set out many years ago to prove that the use of the damage declaration by automobile dealers to reduce the trade-in value of vehicles subject to those declarations, was just a sales tool, and that so long as the vehicles had been repaired properly, they were in fact worth as much as similar vehicles that had not been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 this end, he prepared and published studies in 1998 and 1999 and titled "Accelerated Depreciation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But in my view, the statistics that support his studies are not helpful in solving the problem before us here. There is nowhere near enough data available to be able to extract the proposition for which he contends.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issue is whether, in the marketplace, people prepared to pay a six-figure sum for an exotic performance motorcar such as Mr. Signorello's are likely to pay less for one that they learn has sustained $26,000 worth of damage, then they would for one that had never been in an accident, all else being equal.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thrust of Mr. Cino's opinion seems to be that a reasonable person who is as knowledgeable about motor vehicles as he most certainly is, would not think that a car that had been properly repaired is worth less than a like vehicle that has never been damaged. That does not answer the question of what is likely to happen to this car in the marketplace, where reason does not necessarily prevail, and where few have his depth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Cino further based his opinion in part on the proposition that the majority of the repair work performed on Mr. Signorello's Mercedes was to repair cosmetic damage rather than mechanical damage or damage to the frame. He included in his description of "cosmetic damage" damage that could be repaired by the removal and replacement of the damaged part. Mr. Cogbill, on the other hand, described most of the damage as other than cosmetic. I prefer Mr. Cogbill's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To my mind, to be of significance in this context, cosmetic damage must mean damage that pertains only to the vehicle's appearance, and need not be repaired in order for the vehicle to operate properly. On that basis, I can well imagine that a potential buyer's approach to a vehicle that had suffered $20,000 worth of cosmetic damage would be different from his approach to a vehicle that had suffered $20,000 worth of damage of a type that had to be repaired in order for the vehicle to be operable. In this case, it is clear that the majority of the damage to the SL 65 was of the latter type, even if it consisted largely of the removal and replacement of mechanical parts. I therefore found Mr. Cino's approach in this regard to be less than 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Finally, Mr. Cino sought to support his opinion by making a comparison to people purchasing very expensive vintage collector car, such as a 1967 Plymouth Barracuda, that has had all kinds of work put into it to restore what was a rusted hulk to like-new status. With the greatest respect, that is not an apt comparison to a discriminating purchaser considering a near-new exotic luxury sports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is not to say that there were no problems with Mr. Cogbill's report. Counsel for the defendant pointed out that he relied in large part on information obtained from sales managers at Mercedes-Benz dealers in British Columbia concerning their experience with vehicles such as this, and their consensus as to its saleability. In this way, she submitted, Mr. Cogbill was relying on the opinions of others who are not subject to cross-examination, in arriving at his own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note, however, that Mr. Cogbill had little choice but to proceed in that manner given the rarity of the vehicle. As he testified, the starting point for any vehicle appraisal is the Canadian </w:t>
      </w:r>
      <w:r>
        <w:rPr>
          <w:rFonts w:ascii="arial" w:eastAsia="arial" w:hAnsi="arial" w:cs="arial"/>
          <w:i/>
          <w:color w:val="000000"/>
          <w:sz w:val="20"/>
          <w:lang w:val="en-US" w:eastAsia="en-US" w:bidi="ar-SA"/>
        </w:rPr>
        <w:t>Black Book</w:t>
      </w:r>
      <w:r>
        <w:rPr>
          <w:rFonts w:ascii="arial" w:eastAsia="arial" w:hAnsi="arial" w:cs="arial"/>
          <w:color w:val="000000"/>
          <w:sz w:val="20"/>
          <w:lang w:val="en-US" w:eastAsia="en-US" w:bidi="ar-SA"/>
        </w:rPr>
        <w:t xml:space="preserve">, a guide to the wholesale value of used vehicles in Canada relied upon by dealers across the country. This car is so rare, however, that it does not appear in the </w:t>
      </w:r>
      <w:r>
        <w:rPr>
          <w:rFonts w:ascii="arial" w:eastAsia="arial" w:hAnsi="arial" w:cs="arial"/>
          <w:i/>
          <w:color w:val="000000"/>
          <w:sz w:val="20"/>
          <w:lang w:val="en-US" w:eastAsia="en-US" w:bidi="ar-SA"/>
        </w:rPr>
        <w:t>Black Book</w:t>
      </w:r>
      <w:r>
        <w:rPr>
          <w:rFonts w:ascii="arial" w:eastAsia="arial" w:hAnsi="arial" w:cs="arial"/>
          <w:color w:val="000000"/>
          <w:sz w:val="20"/>
          <w:lang w:val="en-US" w:eastAsia="en-US" w:bidi="ar-SA"/>
        </w:rPr>
        <w:t>. Of course the figures in that book also could be described as opinion evidence, as could the opinions of the dealers buying wholesale vehicles at auto auctions as relied on by Mr. Cino. In the particular circumstances of this case, it is my conclusion that it was not an inappropriate way for Mr. Cogbill to approach the problem, although it would have been preferable had he included the specifics of his conversations. As it was, he did indicate the dealers whom he consulted, and the defendants could certainly have followed up with those dealers if they wished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Finally, in relation to the variation among wholesale prices paid by dealers for similar vehicles at the auto auction, Mr. Cino agreed that there are many factors, and that "a particular buyer pays what he thinks the vehicle is worth". Although Mr. Cino testified as to why, in his opinion, a buyer </w:t>
      </w:r>
      <w:r>
        <w:rPr>
          <w:rFonts w:ascii="arial" w:eastAsia="arial" w:hAnsi="arial" w:cs="arial"/>
          <w:i/>
          <w:color w:val="000000"/>
          <w:sz w:val="20"/>
          <w:lang w:val="en-US" w:eastAsia="en-US" w:bidi="ar-SA"/>
        </w:rPr>
        <w:t>should</w:t>
      </w:r>
      <w:r>
        <w:rPr>
          <w:rFonts w:ascii="arial" w:eastAsia="arial" w:hAnsi="arial" w:cs="arial"/>
          <w:color w:val="000000"/>
          <w:sz w:val="20"/>
          <w:lang w:val="en-US" w:eastAsia="en-US" w:bidi="ar-SA"/>
        </w:rPr>
        <w:t xml:space="preserve"> not think that a vehicle that has been damaged and properly repaired is worth less than an undamaged vehicle, he offered no real basis for an opinion that in this case, a buyer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not think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Gunn v. Tritow Systems Ltd</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(1984), 31 C.C.L.T. 102</w:t>
        </w:r>
      </w:hyperlink>
      <w:r>
        <w:rPr>
          <w:rFonts w:ascii="arial" w:eastAsia="arial" w:hAnsi="arial" w:cs="arial"/>
          <w:color w:val="000000"/>
          <w:sz w:val="20"/>
          <w:lang w:val="en-US" w:eastAsia="en-US" w:bidi="ar-SA"/>
        </w:rPr>
        <w:t xml:space="preserve"> (B.C. Co. Ct.), counsel for the defendants further submitted that the plaintiff had not sufficiently proved a loss because the expert supplied only a range, whereas the proper measure of damages is a precise figure, being the difference in the chattel's value immediately before and immediately after the act that damaged it. Counsel pointed out that Mr. Signorello had an opportunity to return the vehicle to the leasing company for sale at the end of his lease, which would have established any loss, but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end of his lease, Mr. Signorello had the option to purchase the vehicle for a buyout of $90,000 plus taxes and miscellaneous charges. But it was not a situation where he could simply walk away instead. If he turned in the vehicle, he had to pay the difference between $90,000 and the amount for which the leasing company could sell the vehicle. He testified, and I accept, that he was told by the leasing company that they would be lucky to get $60,000 for the vehicle given its history, so that he would have to pay them $30,000 if he chose not to exercise his option. On that basis, he bought the vehicle. That evidence was admissible not to prove any diminution in value in the range of $30,000, but as evidence of what he was told by the leasing company, in order to explain his action. In all of the circumstances, I am unable to say that he acted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law does not require that the plaintiff demonstrate the loss precisely by having sold the vehicle. It is enough for him to establish, as I find that he has, a reduction in its value: see </w:t>
      </w:r>
      <w:r>
        <w:rPr>
          <w:rFonts w:ascii="arial" w:eastAsia="arial" w:hAnsi="arial" w:cs="arial"/>
          <w:i/>
          <w:color w:val="000000"/>
          <w:sz w:val="20"/>
          <w:lang w:val="en-US" w:eastAsia="en-US" w:bidi="ar-SA"/>
        </w:rPr>
        <w:t>Cummings v. 565204 B.C. Ltd</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2009 BCSC 1009</w:t>
        </w:r>
      </w:hyperlink>
      <w:r>
        <w:rPr>
          <w:rFonts w:ascii="arial" w:eastAsia="arial" w:hAnsi="arial" w:cs="arial"/>
          <w:color w:val="000000"/>
          <w:sz w:val="20"/>
          <w:lang w:val="en-US" w:eastAsia="en-US" w:bidi="ar-SA"/>
        </w:rPr>
        <w:t>. I accept Mr. Cogbill's conclusion in that regard, and doing the best that I can with his figures, I assess the reduction at $16,000.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points out that he was deprived of the use of his vehicle for two months following the accident, during which time he had to maintain his lease payments of $2,957.76 per month. In addition, he had to return the car several times for adjustments, including one longer period of time to repair a problem with the suspension that had not been fully resolved. He was not interested in a rental car from Budget or Enterprise as a replacement. For part of the time he was without a vehicle, he was given a replacement SUV by Mercedes-Benz at no charge. At other times, he relied on his friends or took taxis. Although he cannot be precise about dates, he testified that he maintained his normal schedule of being out of the city on business for approximately two weeks a month. In all of the circumstances, he claims the equivalent of two months' lease payments as damages for the loss of use and inconvenience caused him by the accident. The total comes to $5,915.52.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presenting this claim, the plaintiff relies on the judgment of Selbie L.J.S.C., as he then was, in </w:t>
      </w:r>
      <w:r>
        <w:rPr>
          <w:rFonts w:ascii="arial" w:eastAsia="arial" w:hAnsi="arial" w:cs="arial"/>
          <w:i/>
          <w:color w:val="000000"/>
          <w:sz w:val="20"/>
          <w:lang w:val="en-US" w:eastAsia="en-US" w:bidi="ar-SA"/>
        </w:rPr>
        <w:t>Sharma v. Andrews</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[1989] B.C.J. No. 2037</w:t>
        </w:r>
      </w:hyperlink>
      <w:r>
        <w:rPr>
          <w:rFonts w:ascii="arial" w:eastAsia="arial" w:hAnsi="arial" w:cs="arial"/>
          <w:color w:val="000000"/>
          <w:sz w:val="20"/>
          <w:lang w:val="en-US" w:eastAsia="en-US" w:bidi="ar-SA"/>
        </w:rPr>
        <w:t xml:space="preserve"> (S.C.), where the learned judge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paying money for the use of his car on a lease basis. The use of the vehicle was taken from him by the actions of the defendant. What better measure of his loss is there than the monies he was forced to continue paying without benefit of use and without gaining any advantage - an advantage, I would suggest, that he would have got if he had been buying the car and was simply continuing the payments. I do not think the car payments would have been a measure of damages but in my view lease or rent payments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present case, there are some factors which distinguish it from the </w:t>
      </w:r>
      <w:r>
        <w:rPr>
          <w:rFonts w:ascii="arial" w:eastAsia="arial" w:hAnsi="arial" w:cs="arial"/>
          <w:i/>
          <w:color w:val="000000"/>
          <w:sz w:val="20"/>
          <w:lang w:val="en-US" w:eastAsia="en-US" w:bidi="ar-SA"/>
        </w:rPr>
        <w:t>Sharma</w:t>
      </w:r>
      <w:r>
        <w:rPr>
          <w:rFonts w:ascii="arial" w:eastAsia="arial" w:hAnsi="arial" w:cs="arial"/>
          <w:color w:val="000000"/>
          <w:sz w:val="20"/>
          <w:lang w:val="en-US" w:eastAsia="en-US" w:bidi="ar-SA"/>
        </w:rPr>
        <w:t xml:space="preserve"> case. First, on the evidence, a portion of the monthly lease payment did go to pay down the residual value of the Mercedes, giving the plaintiff an advantage. Second, the plaintiff was out of town for close to half the time in question, during which period he suffered minimal loss. Third, he did enjoy the use of a Mercedes-Benz vehicle, albeit lower on the prestige scale, for a significant portion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Taking all these factors into account, I nevertheless accept that the plaintiff incurred a loss in this regard, including loss of use and the inconvenience of having to return the vehicle on several occasions. I award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EMOTIONAL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claims damages under this heading on the following basis: he was greatly inconvenienced by the accident; he was shocked, angry and upset for months thereafter; the accident distracted him from his business and his busy schedule; his trust in the valet parking has been eroded, and the accident received local media coverage which was embarrassing (referring, for instance, to the reader experiencing a "glorious kick of </w:t>
      </w:r>
      <w:r>
        <w:rPr>
          <w:rFonts w:ascii="arial" w:eastAsia="arial" w:hAnsi="arial" w:cs="arial"/>
          <w:i/>
          <w:color w:val="000000"/>
          <w:sz w:val="20"/>
          <w:lang w:val="en-US" w:eastAsia="en-US" w:bidi="ar-SA"/>
        </w:rPr>
        <w:t>schadenfreude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to the last point, I simply note that the only media reports put into evidence were two that reported on the commencement of this action, noting amongst other things that the plaintiff claimed damages for emotional distress. To submit such articles as a cause of the emotional distress claimed before the articles were published is unlikely to garner much sympathy.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regrettable, and rather surprising, that neither counsel saw fit to assist me with authorities either in support of this claim, or against making such an award. In these circumstances, I must struggle to do the best that I can unassisted, accepting the judge's role as a living oracle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Although this claim has been framed in tort, it also sounds in contract. In </w:t>
      </w:r>
      <w:r>
        <w:rPr>
          <w:rFonts w:ascii="arial" w:eastAsia="arial" w:hAnsi="arial" w:cs="arial"/>
          <w:i/>
          <w:color w:val="000000"/>
          <w:sz w:val="20"/>
          <w:lang w:val="en-US" w:eastAsia="en-US" w:bidi="ar-SA"/>
        </w:rPr>
        <w:t>Wharton v. Tom Harris Chevrolet Oldsmobile Cadillac Ltd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2002 BCCA 78</w:t>
        </w:r>
      </w:hyperlink>
      <w:r>
        <w:rPr>
          <w:rFonts w:ascii="arial" w:eastAsia="arial" w:hAnsi="arial" w:cs="arial"/>
          <w:color w:val="000000"/>
          <w:sz w:val="20"/>
          <w:lang w:val="en-US" w:eastAsia="en-US" w:bidi="ar-SA"/>
        </w:rPr>
        <w:t xml:space="preserve">, our Court of Appeal upheld a trial judge's award, </w:t>
      </w:r>
      <w:hyperlink r:id="rId899" w:history="1">
        <w:r>
          <w:rPr>
            <w:rFonts w:ascii="arial" w:eastAsia="arial" w:hAnsi="arial" w:cs="arial"/>
            <w:i/>
            <w:color w:val="0077CC"/>
            <w:sz w:val="20"/>
            <w:u w:val="single"/>
            <w:shd w:val="clear" w:color="auto" w:fill="FFFFFF"/>
            <w:lang w:val="en-US" w:eastAsia="en-US" w:bidi="ar-SA"/>
          </w:rPr>
          <w:t>[1999] B.C.J. No. 2720</w:t>
        </w:r>
      </w:hyperlink>
      <w:r>
        <w:rPr>
          <w:rFonts w:ascii="arial" w:eastAsia="arial" w:hAnsi="arial" w:cs="arial"/>
          <w:color w:val="000000"/>
          <w:sz w:val="20"/>
          <w:lang w:val="en-US" w:eastAsia="en-US" w:bidi="ar-SA"/>
        </w:rPr>
        <w:t>, of $5,000 for loss of use and enjoyment, and inconvenience. There, the particular problem was the failure of the defendants to effect repairs properly, leaving an ongoing "buzzing sound" in the vehicle. Such damages were held to be within the contemplation of the parties to the repair contract. In this case, I have taken such factors into account in my award of $3,000 for loss of use and inconvenience.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Within the tort context, however, the law has long recognized that no damages may be awarded for mere upset, mental distress, anguish or other mental states that fall short of injury. Compensable injury in such cases must be serious and prolonged, and rise above the ordinary annoyances, anxieties, fears and upsets that people living in modern society routinely, if reluctantly, accept: see </w:t>
      </w:r>
      <w:r>
        <w:rPr>
          <w:rFonts w:ascii="arial" w:eastAsia="arial" w:hAnsi="arial" w:cs="arial"/>
          <w:i/>
          <w:color w:val="000000"/>
          <w:sz w:val="20"/>
          <w:lang w:val="en-US" w:eastAsia="en-US" w:bidi="ar-SA"/>
        </w:rPr>
        <w:t>Mustapha v. Culligan of Canada Inc</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Beaulieu v. Sutherland</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(1986), 35 C.C.L.T. 237</w:t>
        </w:r>
      </w:hyperlink>
      <w:r>
        <w:rPr>
          <w:rFonts w:ascii="arial" w:eastAsia="arial" w:hAnsi="arial" w:cs="arial"/>
          <w:color w:val="000000"/>
          <w:sz w:val="20"/>
          <w:lang w:val="en-US" w:eastAsia="en-US" w:bidi="ar-SA"/>
        </w:rPr>
        <w:t xml:space="preserve"> (B.C.S.C.). In my view, pure property damage to a motor vehicle, involving no bodily injury of any kind, is, perhaps unfortunately, an ordinary annoyance in modern society. It follows that in the absence of evidence of actual psychological injury attributable to the defendants' breach, the kind of complaint put forward by Mr. Signorello is not compensable in law. I therefore award no damages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76 D.L.R. (4th) 138</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Vorvis v. I.C.B.C</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the plaintiff seeks an award of aggravated or punitive damages. There is, of course, a difference. Aggravated damages are compensatory in nature and are intended to compensate an injured party for the intangible injuries that the tortfeasor ought to have foreseen, for such elements as pain, anguish, grief and humiliation. Such losses are non-pecuniary in nature, and must be sufficiently significant in depth, duration or both to justify the making of such an award. It must flow from the aggravation of the plaintiff's injury by the defendant's high-handed conduct. Like punitive damages, something more than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generally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Punitive damages, on the other hand, are intended to punish the defendant, not to compensate the plaintiff. In that sense, they constitute a windfall for the plaintiff. As a result, they can be awarded only under certain rare and exceptional circumstances: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a matter of law, punitive damages may be awarded only where there has been conduct on the part of a defendant that is so outrageous as to deserve condemnation beyond his liability for compensatory damages, in order to achieve the objectives of retribution, deterrence and denunciation - objectives normally the preserve of the criminal law. The usual description of the kind of conduct in question is "harsh, vindictive, reprehensible and malicious": see, for instance,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Moreover, the law dictates that any award of punitive damages must serve a rational purpose. The question is whether Mr. Khan's conduct was so outrageous that punitive damages are rationally required to achieve the purposes of retribution, deterrence and denunciation. This is because in law, an award of punitive damages is rational if, but only if, compensatory damages and any criminal or quasi-criminal proceedings taken </w:t>
      </w:r>
      <w:r>
        <w:rPr>
          <w:rFonts w:ascii="arial" w:eastAsia="arial" w:hAnsi="arial" w:cs="arial"/>
          <w:i/>
          <w:color w:val="000000"/>
          <w:sz w:val="20"/>
          <w:lang w:val="en-US" w:eastAsia="en-US" w:bidi="ar-SA"/>
        </w:rPr>
        <w:t>do not</w:t>
      </w:r>
      <w:r>
        <w:rPr>
          <w:rFonts w:ascii="arial" w:eastAsia="arial" w:hAnsi="arial" w:cs="arial"/>
          <w:color w:val="000000"/>
          <w:sz w:val="20"/>
          <w:lang w:val="en-US" w:eastAsia="en-US" w:bidi="ar-SA"/>
        </w:rPr>
        <w:t xml:space="preserve"> adequately achieve the objectives of retribution, deterrence and denunciation. Otherwise, there is no rational basis for giving the plaintiff such a windfall: </w:t>
      </w:r>
      <w:r>
        <w:rPr>
          <w:rFonts w:ascii="arial" w:eastAsia="arial" w:hAnsi="arial" w:cs="arial"/>
          <w:i/>
          <w:color w:val="000000"/>
          <w:sz w:val="20"/>
          <w:lang w:val="en-US" w:eastAsia="en-US" w:bidi="ar-SA"/>
        </w:rPr>
        <w:t>Performance Industries Ltd. v. Sylvan Lake Golf &amp; Tennis Club Ltd</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[2002] 1 S.C.R. 678</w:t>
        </w:r>
      </w:hyperlink>
      <w:r>
        <w:rPr>
          <w:rFonts w:ascii="arial" w:eastAsia="arial" w:hAnsi="arial" w:cs="arial"/>
          <w:color w:val="000000"/>
          <w:sz w:val="20"/>
          <w:lang w:val="en-US" w:eastAsia="en-US" w:bidi="ar-SA"/>
        </w:rPr>
        <w:t xml:space="preserve"> at para.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the conduct upon which the plaintiff relies to support his claim under these headings is this:</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Khan was a valet driver acting in the course of his employment when the accident occurred;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type of vehicle he was driving was one of exceptionally high value, with an extremely powerful engine, therefore requiring extra care;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the accident happened suggests a high level of carelessness on the part of the driver in the circumstances, supported further by the fact that he was issued a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While Mr. Khan's conduct undoubtedly was negligent, and admittedly so, I am unable to find anything in the evidence that would elevate it to the status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to the level of outrageousness or high handedness that would justify an award of either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Had the accident occurred under circumstances that indicated that Mr. Khan had taken Mercedes for a joyride, or was racing it in a manner that deliberately put it at risk, the situation might be different. But on the evidence, he was simply driving it to the valet parking lot. The evidence stops short of convincing me that he deliberately disengaged the ESP. The excerpt from the vehicle's manual includes the following warning: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ESP cannot prevent the natural laws of physics from acting on the vehicle, nor can it increase the traction afforded. The ESP cannot prevent accidents, including those resulting from excessive speed in turns, or hydroplaning.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That the accident that befell the plaintiff's vehicle was due to carelessness on Mr. Khan's part is beyond doubt. That it was due to some higher level of misconduct that deserves punishment has not been proven. Even if that element had been established, the evidence falls short of indicating that an award of punitive damages is rationally required to achieve the objectives of retribution, deterrence and denunciation. The fact that Mr. Khan was issued a ticket and dismissed from his employment satisfies me that those objectives have been adequately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Moreover, on the issue of aggravated damages, I consider that the plaintiff is adequately compensated by the awards I have made for damages for accelerated depreciation, and for loss of use and inconvenience.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is entitled to an award of $1,607.61 for expenses incurred in relation to repairs to the Renntech modifications. The defendants had in fact tendered this amount to the plaintiff, but he did not cash the cheque out of fear that doing so would somehow restrict his claim. His logic may be open to question, but his entitlement is not in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must pay Mr. Signorello damages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09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accelerated depreciation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1673"/>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loss of use and inconvenience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869"/>
        <w:gridCol w:w="271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special damages</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1,607.61</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$20,607.61</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Signorelli is entitled to court order interest on the award for accelerated depreciation, and the award for special damages. His claims for general damages for emotional distress, and for aggravated and punitive damages,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matter of costs I am satisfied, in all of the circumstances of this case, that it was appropriate to commence this action in Supreme Court. It was subject to former Rule 66, indicating an attempt to reduce expense. It concerned an area that is not well traversed in fact or in law, particularly given the rarity and unusual nature of this motor vehicle. Therefore, I find that the plaintiff is not limited to disbursements only, as though the action should have been brought in Provincial Court. He is entitled to costs in the ordinary way under the Supreme Court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then turn to consider the offers shortly before trial. There was an offer from the defendant, which I need not consider as it does not come anywhere close to the award. The plaintiff presented a formal Offer to Settle in the amount of $17,500 plus costs. That offer was, of course, less than what I have awarded and was sent, as far as I can see, on September 27, 2010, not long before the commencement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must also note that the plaintiff failed in his claim for aggravated and punitive damages. While it may have been appropriate to bring and explore those claims, it ought to have been clear by the time discoveries were conducted and the trial was prepared that there was no real prospect of those claims succeeding against Mr. Khan, and, in effect, the plaintiff's Offer to Settle recognizes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these circumstances, I consider that the appropriate ruling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will have his party and party costs at Scale B up to the commencement of trial. I choose that date as opposed to September 27 because the defendant is entitled to a reasonable time to consider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trial occupied 2 1/2 days. I attribute 1/2 a day to the claim for aggravated and punitive damages. The plaintiff will have double his costs at Scale B for the preparation and conduct of two days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against these costs, the defendants are entitled to offset ordinary costs at Scale B of the preparation and conduct of half a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not inclined to make any adjustment about the adjournment applications. That is part of the cause in this case, in which, overall, the plaintiff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was, however, the one interlocutory application in which the Honourable Mr. Justice Sigurdson ordered that costs would go to the defendants in any event of the cause, and I accept that that is an appropriate order in all of the circumstances. The defendants will therefore be entitled to set off, in addition, their costs at scale B for the preparation and conduct of that one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8"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Taylor v. Liong, [2008] B.C.J. No. 330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B992886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398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Harris Clark Anais Taylor, Plaintiff, and Linda Kua Liong and Timothy Garth Liong,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9"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5" w:name="Keywords_47"/>
      <w:bookmarkEnd w:id="345"/>
      <w:r>
        <w:rPr>
          <w:rFonts w:ascii="arial" w:eastAsia="arial" w:hAnsi="arial" w:cs="arial"/>
          <w:b/>
          <w:color w:val="000000"/>
          <w:sz w:val="20"/>
          <w:lang w:val="en-US" w:eastAsia="en-US" w:bidi="ar-SA"/>
        </w:rPr>
        <w:t>Civil litigation — Civil procedure — Pre-trial procedures — Preliminary determinations — Question of law — The defendants' application seeking a judgment as to whether the evidence proved that trauma could make multiple sclerosis symptomatic or otherwise alter the natural course of the disease was heard under Rule 18A — It was common ground the trial would be expensive, that it would consume six weeks, and that there would be a dramatic narrowing of the issues were the issue determined in favour of the defendants — On the substantive issue, the plaintiff failed to prove that a causal connection existed — There was no persuasive proof of a causal relationship between trauma and MS exacerbation — British Columbia Supreme Court Rules, Rule 18A.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The defendants' application seeking a judgment as to whether the evidence proved that trauma could make multiple sclerosis symptomatic or otherwise alter the natural course of the disease was heard under Rule 18A — It was common ground the trial would be expensive, that it would consume six weeks, and that there would be a dramatic narrowing of the issues were the issue determined in favour of the defendants — On the substantive issue, the plaintiff failed to prove that a causal connection existed — There was no persuasive proof of a causal relationship between trauma and MS exacerbation — British Columbia Supreme Court Rules, Rule 18A.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6" w:name="Case Summary_47"/>
            <w:bookmarkEnd w:id="3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action where the plaintiff sought damages for injuries sustained in a motor vehicle accident, the defendants brought an application for judgment under Rule 18A as to whether the evidence proved on the balance of probabilities that trauma could make multiple sclerosis symptomatic or otherwise alter the natural course of the disease -- This issue of causation was severed and tried separately -- The plaintiff resisted the application for judgment on the grounds that the issue was not suitable for summary determination under Rule 18A, and on the evidence -- The plaintiff further argued she ought to be entitled to a full trial on the merits, having already gone through a voir dire to test the admissibility of the evidence at issue -- HELD: This was an appropriate application to be heard under Rule 18A -- What was at issue was not a general scientific theory, but rather an essential element of the plaintiff's case insofar as she asserted a causal connection between the accident and the onset or exacerbation of her MS symptoms -- It was common ground the trial would consume six weeks and be expensive -- It was further common ground that there would be a dramatic narrowing of the issues were the issue determined in favour of the defendants -- It would not be logically possible to find that the plaintiff's trauma exacerbated her MS symptoms without a prior determination that trauma could exacerbate MS symptoms -- It did not follow from a finding that trauma could exacerbate MS symptoms that the plaintiff's trauma caused her MS symptoms -- As for the substantive issue, the plaintiff had not proven that a causal connection existed -- The court relied on the fact that a substantial majority of the relevant scientific community had rejected the notion of a causal connection based on developments in understanding the pathogenesis of the disease, epidemiological studies, reanalysis of previous studies said to support the link, and a weakening of the biological plausibility of the theory through studies -- Based on the evidence before the court, there was no persuasive proof of a causal relationship between trauma and MS exacerbation -- Clinical experience, particularly in a context where the asserted relationship was so rare and the chance of coincidence so high, was no more than a starting point for further enquiries -- The likelihood of a causal connection between trauma and MS exacerbation was significantly less than that of a coincidental connection, in light of all the evidence adduced, and the opinion of a substantial majority of the scientific community -- Even on a robust and pragmatic view of the evidence, it did not support proof of a causal connection between mild trauma, including whiplash, and MS exacerbation, on a balance of probabilities.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7" w:name="Legislation Cited_36"/>
      <w:bookmarkEnd w:id="3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0"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B.C. Reg. 221/90,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8" w:name="Counsel_47"/>
      <w:bookmarkEnd w:id="3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Nairne.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Hartshorne and K. Mehl.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9" w:name="Judgment_48"/>
      <w:bookmarkEnd w:id="349"/>
      <w:r>
        <w:pict>
          <v:line id="_x0000_s1262" style="position:absolute;z-index:2518599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March 5, 2010;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0" w:name="A.F. CULLEN J."/>
            <w:bookmarkEnd w:id="350"/>
            <w:r>
              <w:rPr>
                <w:rFonts w:ascii="arial" w:eastAsia="arial" w:hAnsi="arial" w:cs="arial"/>
                <w:b/>
                <w:color w:val="000000"/>
                <w:sz w:val="30"/>
                <w:lang w:val="en-US" w:eastAsia="en-US" w:bidi="ar-SA"/>
              </w:rPr>
              <w:t>A.F. 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damages for injuries arising out of a motor vehicle accident which occurred on May 22, 1998. At issue on this application for judgment brought by the defendants under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is whether the evidence proves on a balance of probabilities that trauma can make multiple sclerosis ("MS") symptomatic or otherwise alter the natural course of the disease. I ordered this issue of causation to be severed and tried separately on application of the defendants brought on September 7, 2007. This followed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held to determine the admissibility of expert evidence directed at the issue of whether there is a causal connection between trauma, including mild head trauma or whiplash injury, and the onset of symptomatic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result, I held that the evidence of two of the three expert witnesses called by the plaintiff was admissible on the issue and that the evidence of all three of the expert witnesses called by the defence was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My reasons for that ruling are reported in </w:t>
      </w:r>
      <w:r>
        <w:rPr>
          <w:rFonts w:ascii="arial" w:eastAsia="arial" w:hAnsi="arial" w:cs="arial"/>
          <w:b/>
          <w:i/>
          <w:color w:val="000000"/>
          <w:sz w:val="20"/>
          <w:lang w:val="en-US" w:eastAsia="en-US" w:bidi="ar-SA"/>
        </w:rPr>
        <w:t>Taylor v. Liong</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2007 BCSC 231</w:t>
        </w:r>
      </w:hyperlink>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70 B.C.L.R. (4th) 284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Taylor v. Liong</w:t>
      </w:r>
      <w:r>
        <w:rPr>
          <w:rFonts w:ascii="arial" w:eastAsia="arial" w:hAnsi="arial" w:cs="arial"/>
          <w:color w:val="000000"/>
          <w:sz w:val="20"/>
          <w:lang w:val="en-US" w:eastAsia="en-US" w:bidi="ar-SA"/>
        </w:rPr>
        <w:t xml:space="preserve"> (2007)] and provide an essential context for my consideration and determination of the issue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resists the defendants' application for judgment, both on the basis that this issue is not suitable for determination by Rule 18A, and on the substantial issue of whether the evidence before the Court proves on the balance of probabilities that trauma (such as mild head trauma or whiplash) can or is capable of triggering or exacerbating MS in some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I conclude that this is an appropriate application to be heard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Appropriateness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relevant provisions of Rule 18A read as follows:</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either on an issue or generally, in any of the following: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defence has been filed;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an application under subrule (1), the court may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application under subrule (1) on the ground that</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application under subrule (1) are not suitable for disposition under this rule, or</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under subrule (1) will not assist the efficient resolution of the proceeding.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(1), the court may</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0"/>
        </w:numPr>
        <w:tabs>
          <w:tab w:val="num" w:pos="2200"/>
          <w:tab w:val="clear" w:pos="256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before the Court on this application consists of the evidence of Drs. Poser and Kastrukoff for the plaintiff, and Drs. Sibley, Ebers and Goodin for the defendants, together with approximately 100 exhibits consisting of the witnesses' expert reports and various materials and articles referred to in the list of exhibits appended to the affidavit of Kristen Mehl sworn August 22, 2007, and filed in support of the defendants' application of September 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Included as evidence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was an agreed statement of facts which reads as follows:</w:t>
      </w:r>
      <w:r>
        <w:rPr>
          <w:rFonts w:ascii="arial" w:eastAsia="arial" w:hAnsi="arial" w:cs="arial"/>
          <w:sz w:val="20"/>
          <w:lang w:val="en-US" w:eastAsia="en-US" w:bidi="ar-SA"/>
        </w:rPr>
        <w:cr/>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22, 1998, Harris Taylor was driving a 1992 Eagle Vista hatchback westbound on 10th Avenue, quite slowly preparing to make a right hand turn into the Sky Train Parking lot (XFD October 29, 2003 QA 686).</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collision occurred when the Timothy Liong [sic], driving a 1986 626 Mazda, turned left out of the parking lot on the south side of 10th Avenue intending to travel in the same direction as Harris Taylor when he collided with the front part of the vehicle she was driving.</w:t>
      </w:r>
    </w:p>
    <w:p>
      <w:pPr>
        <w:numPr>
          <w:numId w:val="11"/>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vehicles were driven from the scene and neither police nor ambulance attended.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Copies of the Insurance Corporation of British [sic] CL14 Repair estimates for both the Paula McDonald vehicle and the Linda Liong vehicle are attached together with a photograph of each vehicle taken at ICBC Claim Centre.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Harris Taylor's statement dated May 27, 1998, she: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strained the muscles in her right hand and up her arm</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twinge in her mid lower back just under her rib cage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bit of agitation to the top of her right shoulder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history of lower back problems.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evidence at her examination for discovery conducted on October 29, 2004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1135"/>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hit your head on anything in the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255"/>
        <w:gridCol w:w="61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737 Q</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was your head facing forward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66"/>
        <w:gridCol w:w="237"/>
        <w:gridCol w:w="515"/>
        <w:gridCol w:w="237"/>
        <w:gridCol w:w="6072"/>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straight? Okay. And did you stop your vehicle as soon as the collision had occurred?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Harris Taylor made her statement, she had not yet been to the doctor but said she was going to make an appointment by weeks end. (May 27, 1998 Statement of Harris Taylor).</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Harris Taylor's first recorded medical or paramedical treatment was with Dr. Sheikh, her Chiropractor, on May 27, 1998. (MSP print out and Clinical Records).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Harris Taylor's first recorded attendance with a medical physician was on August 31, 1998, with her General Practitioner, Dr. Joan Robillard. (MSP Print Out and Clinical Records).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8, 1998 Harris Taylor was diagnosed with Multiple Sclerosis at Vancouver General Hospital. (VGH Clinical Records).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Harris Taylor's MRI of the head taken at Vancouver General Hospital on September 10, 1998 confirmed the diagnosis of Multiple Sclerosis and found a "high burden of disease". (MRI Scan September 10,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Neither party sought to adduce any further evidence on the Rule 18A application which was heard on October 16, 2007. There was evidence that the "high burden of disease" supported the conclusion that the plaintiff had the disease for some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position of the plaintiff respecting the appropriateness of this application is summarized in her counsel's written submissions in paras. 7 and 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is asked to decide if trauma can trigger or exacerbate MS under any circumstances in isolation, divorced from the unique circumstances of the Plaintiff. The question posed is a scientific rather than legal question, which is inappropriate for the Court to answer.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only question that the Court should address is whether the Plaintiff </w:t>
      </w:r>
      <w:r>
        <w:rPr>
          <w:rFonts w:ascii="arial" w:eastAsia="arial" w:hAnsi="arial" w:cs="arial"/>
          <w:i/>
          <w:color w:val="000000"/>
          <w:sz w:val="20"/>
          <w:lang w:val="en-US" w:eastAsia="en-US" w:bidi="ar-SA"/>
        </w:rPr>
        <w:t>in this case</w:t>
      </w:r>
      <w:r>
        <w:rPr>
          <w:rFonts w:ascii="arial" w:eastAsia="arial" w:hAnsi="arial" w:cs="arial"/>
          <w:color w:val="000000"/>
          <w:sz w:val="20"/>
          <w:lang w:val="en-US" w:eastAsia="en-US" w:bidi="ar-SA"/>
        </w:rPr>
        <w:t xml:space="preserve"> developed MS following trauma. To do so requires examination of the Plaintiff's unique circumstances, including her medical history. Evidence of the Plaintiff, her family doctor, and the clinical records is critical to answering this question. Once all evidence is heard, the Court can weigh the likelihood the trauma played a role in the onset of the Plaintiff's MS against the Defendants' evidence that such a result is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resisting this application, the plaintiff relied on the factors the court should consider in deciding whether to give judgment under Rule 18A set forth in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and cited in </w:t>
      </w:r>
      <w:r>
        <w:rPr>
          <w:rFonts w:ascii="arial" w:eastAsia="arial" w:hAnsi="arial" w:cs="arial"/>
          <w:b/>
          <w:i/>
          <w:color w:val="000000"/>
          <w:sz w:val="20"/>
          <w:lang w:val="en-US" w:eastAsia="en-US" w:bidi="ar-SA"/>
        </w:rPr>
        <w:t>Canadian Imperial Bank of Commerce v. Charbonnages de France International S.A.</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(1994), 95 B.C.L.R. (2d) 104</w:t>
        </w:r>
      </w:hyperlink>
      <w:r>
        <w:rPr>
          <w:rFonts w:ascii="arial" w:eastAsia="arial" w:hAnsi="arial" w:cs="arial"/>
          <w:color w:val="000000"/>
          <w:sz w:val="20"/>
          <w:lang w:val="en-US" w:eastAsia="en-US" w:bidi="ar-SA"/>
        </w:rPr>
        <w:t xml:space="preserve"> (C.A.) at para. 101 as follows: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 in issue;</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urgency of the matter;</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prejudice arising from delay;</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proceeding to a conventional trial in relation to the amount involved;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matters which arise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argued the amount involved in this matter is potentially significant, amounting to $2.5 million to $3 million, that the matter is highly complex, and that given the passage of time since the accident to the present trial date of May 26, 2008, there is no urgency requiring this application. The plaintiff conceded the cost of proceeding to a full trial will be considerable, but points out that both parties have already expended considerable resources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submitted she should be entitled to a full trial on the merits, having already gone through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to test the admissibility of the evidence at issue. Further, the plaintiff contended at para. 19 of her counsel's written submissions that the evident purpose of the defendants to treat this law suit as a "test case" to "deny all plaintiffs who develop MS subsequent to a motor vehicle accident any remedy as a matter of law", is at odds with the court's function, which is to "settle disputes between parties on a case by 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the plaintiff also relied on a judgment of Gerow J. in </w:t>
      </w:r>
      <w:r>
        <w:rPr>
          <w:rFonts w:ascii="arial" w:eastAsia="arial" w:hAnsi="arial" w:cs="arial"/>
          <w:b/>
          <w:i/>
          <w:color w:val="000000"/>
          <w:sz w:val="20"/>
          <w:lang w:val="en-US" w:eastAsia="en-US" w:bidi="ar-SA"/>
        </w:rPr>
        <w:t>Dahl v. Royal Bank</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46 B.C.L.R. (4th) 342</w:t>
        </w:r>
      </w:hyperlink>
      <w:r>
        <w:rPr>
          <w:rFonts w:ascii="arial" w:eastAsia="arial" w:hAnsi="arial" w:cs="arial"/>
          <w:color w:val="000000"/>
          <w:sz w:val="20"/>
          <w:lang w:val="en-US" w:eastAsia="en-US" w:bidi="ar-SA"/>
        </w:rPr>
        <w:t xml:space="preserve">, aff'd </w:t>
      </w:r>
      <w:hyperlink r:id="rId914"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56 B.C.L.R. (4th) 58</w:t>
        </w:r>
      </w:hyperlink>
      <w:r>
        <w:rPr>
          <w:rFonts w:ascii="arial" w:eastAsia="arial" w:hAnsi="arial" w:cs="arial"/>
          <w:color w:val="000000"/>
          <w:sz w:val="20"/>
          <w:lang w:val="en-US" w:eastAsia="en-US" w:bidi="ar-SA"/>
        </w:rPr>
        <w:t xml:space="preserve">, in which she collated additional factors to be taken into account in determining the suitability of proceeding by Rule 18A from other decisions rendered since </w:t>
      </w:r>
      <w:r>
        <w:rPr>
          <w:rFonts w:ascii="arial" w:eastAsia="arial" w:hAnsi="arial" w:cs="arial"/>
          <w:b/>
          <w:i/>
          <w:color w:val="000000"/>
          <w:sz w:val="20"/>
          <w:lang w:val="en-US" w:eastAsia="en-US" w:bidi="ar-SA"/>
        </w:rPr>
        <w:t>Inspiration Management</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Those factors include the following, set out at para. 12:</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litigation extensive and will the summary trial take considerable time;</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credibility a crucial factor - and have the deponents of the conflicting affidavits been cross examined;</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summary trial involve a substantial risk of wasting time and effort, and producing unnecessary complexity; and</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application result in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plaintiff contended that those factors were "particularly important" in the case at bar submitting, in part, at para. 23 of his written argument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litigation involved in this matter is extensive. Most of the evidence obtained at the voir dire must be reconsidered. Most importantly, the issue for consideration ought not to be assessed in isolation. As will be addressed more fully below, the determination of the theoretical relationship between MS and trauma is a question for science, not the Court, which should restrict itself to whether the facts show trauma was a material contributing factor to the emergence of MS </w:t>
      </w:r>
      <w:r>
        <w:rPr>
          <w:rFonts w:ascii="arial" w:eastAsia="arial" w:hAnsi="arial" w:cs="arial"/>
          <w:i/>
          <w:color w:val="000000"/>
          <w:sz w:val="20"/>
          <w:lang w:val="en-US" w:eastAsia="en-US" w:bidi="ar-SA"/>
        </w:rPr>
        <w:t>in this Plaintiff</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relied on </w:t>
      </w:r>
      <w:r>
        <w:rPr>
          <w:rFonts w:ascii="arial" w:eastAsia="arial" w:hAnsi="arial" w:cs="arial"/>
          <w:b/>
          <w:i/>
          <w:color w:val="000000"/>
          <w:sz w:val="20"/>
          <w:lang w:val="en-US" w:eastAsia="en-US" w:bidi="ar-SA"/>
        </w:rPr>
        <w:t>Parsons v. Finch</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2003 BCCA 409</w:t>
        </w:r>
      </w:hyperlink>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16 B.C.L.R. (4th) 86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Parsons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Prevost (Committee of)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100 B.C.L.R. (3d) 44</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Prevost</w:t>
      </w:r>
      <w:r>
        <w:rPr>
          <w:rFonts w:ascii="arial" w:eastAsia="arial" w:hAnsi="arial" w:cs="arial"/>
          <w:color w:val="000000"/>
          <w:sz w:val="20"/>
          <w:lang w:val="en-US" w:eastAsia="en-US" w:bidi="ar-SA"/>
        </w:rPr>
        <w:t>"] which held, in effect, that where contrary views of evidence which overlaps separate issues - in those cases the duty and standard of care and causation - may be a risk, those issues ought not to be separately determined and hence a Rule 18A application would not be suitable to resolve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submits at para. 24 of her counsel's written submissions that the issue of the suitability of Rule 18A determination is similar in the present case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isolating this issue, the Defendants pose a scientific rather than legal question. It need not, and indeed should not be answered by the Court. The question of whether trauma triggered or exacerbated the Plaintiff's MS overlaps with and is inextricably interwoven with the issue of whether there is a general relationship between MS and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submits, having admitted the impugned expert evidence, the role of the Court is to consider if the plaintiff has proved, on a balance of probabilities, that in her case, trauma triggered her MS. The plaintiff submitted this issue requires consideration of all of the evidence including that of the plaintiff, her family physician, and the doctors who treated her MS. The plaintiff submits at para. 27 of her counsel's written argument that it would be "unjust to make any conclusions based on general theories alone as it requires the Plaintiff to prove a general scientific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further contended that this application will only shorten the trial if the defendants succeed. If the plaintiff succeeds, the trial will not be substantially shortened and in those circumstances this proceeding would be a waste of the court's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relied on </w:t>
      </w:r>
      <w:r>
        <w:rPr>
          <w:rFonts w:ascii="arial" w:eastAsia="arial" w:hAnsi="arial" w:cs="arial"/>
          <w:b/>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(C.A.) at para. 33, in submitting that the onus is on the defendants to demonstrate "that the administration of justice, as it effects not just the parties to the motion, but also the orderly use of court time, will be enhanced by dealing with the issue as a separate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further referred to the caution of Southin J.A. in </w:t>
      </w:r>
      <w:r>
        <w:rPr>
          <w:rFonts w:ascii="arial" w:eastAsia="arial" w:hAnsi="arial" w:cs="arial"/>
          <w:b/>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164 B.C.A.C. 300</w:t>
        </w:r>
      </w:hyperlink>
      <w:r>
        <w:rPr>
          <w:rFonts w:ascii="arial" w:eastAsia="arial" w:hAnsi="arial" w:cs="arial"/>
          <w:color w:val="000000"/>
          <w:sz w:val="20"/>
          <w:lang w:val="en-US" w:eastAsia="en-US" w:bidi="ar-SA"/>
        </w:rPr>
        <w:t xml:space="preserve"> ["Bacchus Agents"] in which she observed at para. 7 that "litigating in slices '... may become a hindrance to the just, speedy and inexpensive determination' of the dispute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I see it, I am not being asked through this application to determine a scientific rather than a legal issue. The question before me is whether the evidence adduced proves on the balance of probabilities that trauma, including mild head trauma or whiplash, is capable of triggering or exacerbating MS symptoms. That is a question that is necessary to answer to reach a meaningful conclusion in this law suit. In other words, it is a legal question, the answer to which is neither designed nor conducive to resolving any lingering scientific debate on the issue within the medical or scientific world. As I noted in ruling on the admissibility of the parties' expert evidence, Lord Rodger, the Lord President, similarly characterized the same issue before the court in </w:t>
      </w:r>
      <w:r>
        <w:rPr>
          <w:rFonts w:ascii="arial" w:eastAsia="arial" w:hAnsi="arial" w:cs="arial"/>
          <w:b/>
          <w:i/>
          <w:color w:val="000000"/>
          <w:sz w:val="20"/>
          <w:lang w:val="en-US" w:eastAsia="en-US" w:bidi="ar-SA"/>
        </w:rPr>
        <w:t>Dingley v. The Chief Constable, Strathclyde Police</w:t>
      </w:r>
      <w:r>
        <w:rPr>
          <w:rFonts w:ascii="arial" w:eastAsia="arial" w:hAnsi="arial" w:cs="arial"/>
          <w:color w:val="000000"/>
          <w:sz w:val="20"/>
          <w:lang w:val="en-US" w:eastAsia="en-US" w:bidi="ar-SA"/>
        </w:rPr>
        <w:t>, [1998] Sess. Cas. (C.S.I.H.) 548 (Scot.),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aff'd [2000] Sess. Cas. (H.L.) 77, when he said at p. 551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present, despite many years of research, the cause of the onset of symptomatic MS has not been scientifically established. That being so, to succeed in his claim for damages against the defender, the pursuer requires to establish two things on the balance of probabilities: first, that the onset of symptomatic MS </w:t>
      </w:r>
      <w:r>
        <w:rPr>
          <w:rFonts w:ascii="arial" w:eastAsia="arial" w:hAnsi="arial" w:cs="arial"/>
          <w:i/>
          <w:color w:val="000000"/>
          <w:sz w:val="20"/>
          <w:lang w:val="en-US" w:eastAsia="en-US" w:bidi="ar-SA"/>
        </w:rPr>
        <w:t>can</w:t>
      </w:r>
      <w:r>
        <w:rPr>
          <w:rFonts w:ascii="arial" w:eastAsia="arial" w:hAnsi="arial" w:cs="arial"/>
          <w:color w:val="000000"/>
          <w:sz w:val="20"/>
          <w:lang w:val="en-US" w:eastAsia="en-US" w:bidi="ar-SA"/>
        </w:rPr>
        <w:t xml:space="preserve"> be triggered by an injury of the type which the pursuer suffered in the accident; secondly, that not only could the pursuer's injury have triggered the onset of his condition, but it actually did so. So far as the first of these matters is concerned, I agree with the Lord Ordinary [in the court below appealed from] when he says that he was solely concerned with the evidence which the parties led before him: his task was to decide the case on that basis, rather than to settle the scientific debate which divides the medical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thus do not accept the plaintiff's underlying precept that the Court in addressing itself to this general issue is undertaking anything other than a determination of whether an essential element of the tort claim - causation - is made out on the basis of the cogent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Moreover, while I appreciate that the ultimate issue of causation is whether the plaintiff's MS symptoms were triggered or exacerbated by the accident, the general issue - whether trauma </w:t>
      </w:r>
      <w:r>
        <w:rPr>
          <w:rFonts w:ascii="arial" w:eastAsia="arial" w:hAnsi="arial" w:cs="arial"/>
          <w:color w:val="000000"/>
          <w:sz w:val="20"/>
          <w:u w:val="single"/>
          <w:lang w:val="en-US" w:eastAsia="en-US" w:bidi="ar-SA"/>
        </w:rPr>
        <w:t>can</w:t>
      </w:r>
      <w:r>
        <w:rPr>
          <w:rFonts w:ascii="arial" w:eastAsia="arial" w:hAnsi="arial" w:cs="arial"/>
          <w:color w:val="000000"/>
          <w:sz w:val="20"/>
          <w:lang w:val="en-US" w:eastAsia="en-US" w:bidi="ar-SA"/>
        </w:rPr>
        <w:t xml:space="preserve"> trigger MS symptoms - dominates the ultimate or specific issue to such an extent that it must be proved on a balance of probabilities to engage even a remote possibility of a connection between the accident and the plaintiff's ensuing symptomatic MS. In other words, if the Court does not accept on the balance of probabilities that MS can be triggered by trauma, how can the plaintiff prove on a balance of probabilities that her MS symptoms were exacerbated by the trauma of the accident? If the plaintiff's specific circumstances, condition, and course of treatment constituted meaningful evidence of a causal connection between trauma and the onset of MS, those issues would have been cogent considerations on the issue of the reliability and hence admissibility of the impugned expert evidence.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Hence, it would simply not be logical to conclude that the ultimate issue of the causation of the plaintiff's MS onset could be proved on a balance of probabilities while concluding the general proposition necessary to establish could not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Such an illogical result would be amplified in the present case in which, on the plaintiff's own theory, the MS symptoms induced by trauma occur in something less than 5% of all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therefore conclude that what is at issue is not a general scientific theory, but rather an essential element of the plaintiff's case insofar as she asserts a causal connection between the accident and the onset or exacerbation of her MS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to the other issues raised by the plaintiff in opposing resolution of this matter by Rule 18A, I similarly conclude that they are not dispositive of the issue. It is common ground that the trial of this matter in addition to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will consume six weeks. It will be expensive and will consume considerable court time. This application, despite the complexity of the underlying issue and the comprehensiveness of the evidence in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took only one day to argue. Insofar as there are issues of credibility or reliability which condition the issue, I have had the benefit of full and skilled cross-examination of well qualified experts on both sides. As indicated, no further evidence was advanced on this application and no evidence, not called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could be considered germane to the issue on this application. While there may not be a significant benefit in terms of the saving of time and resources if I were to dismiss this application, it is common ground that there would be a dramatic narrowing of the issues if I were to determine this issue in favour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on balance, these factors weigh in favour of this application as the cost in terms of judicial resources and to the parties is not great, while the possible reduction in cost of this matter particularly if it is determined favourably to the defendants is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for the plaintiff's concern that this application is being pursued, at the expense of the plaintiff having her day in court, to establish a precedent for other outstanding cases, in my view that is not, in the circumstances, a significant factor. In the first place, whatever precedential value my ruling will have relates to the evidence and the issue before me. Secondly, as I have observed, there is no indication that the evidence of the plaintiff's specific circumstances, condition or course of treatment have probative value on the issue before me. Thus, if some precedential value does emerge from the resolution of this issue, it will not be in the absence of evidence said to be probative, and it will depend on the evidence which the parties elected to put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on the issue of litigating in slices, where there is a risk of making findings of fact in relation to issues under consideration from evidence that overlaps with other issues not being determined, I similarly see no bar to proceeding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issues identified by the plaintiff as overlapping in the present case, as I attempted to explain earlier in these reasons, are not susceptible to the risk identified in </w:t>
      </w:r>
      <w:r>
        <w:rPr>
          <w:rFonts w:ascii="arial" w:eastAsia="arial" w:hAnsi="arial" w:cs="arial"/>
          <w:b/>
          <w:i/>
          <w:color w:val="000000"/>
          <w:sz w:val="20"/>
          <w:lang w:val="en-US" w:eastAsia="en-US" w:bidi="ar-SA"/>
        </w:rPr>
        <w:t>Parsons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supra, </w:t>
      </w:r>
      <w:r>
        <w:rPr>
          <w:rFonts w:ascii="arial" w:eastAsia="arial" w:hAnsi="arial" w:cs="arial"/>
          <w:b/>
          <w:i/>
          <w:color w:val="000000"/>
          <w:sz w:val="20"/>
          <w:lang w:val="en-US" w:eastAsia="en-US" w:bidi="ar-SA"/>
        </w:rPr>
        <w:t>Prevost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Bacchus Agents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because they must logically be decided in order, and involve separate evidence. It would not be logically possible to find that the plaintiff's trauma exacerbated her MS symptoms without a prior determination that trauma can exacerbate MS symptoms. It does not follow from a finding that trauma can exacerbate MS symptoms that the plaintiff's trauma caused her MS symptoms. Thus, unlike the circumstances in </w:t>
      </w:r>
      <w:r>
        <w:rPr>
          <w:rFonts w:ascii="arial" w:eastAsia="arial" w:hAnsi="arial" w:cs="arial"/>
          <w:b/>
          <w:i/>
          <w:color w:val="000000"/>
          <w:sz w:val="20"/>
          <w:lang w:val="en-US" w:eastAsia="en-US" w:bidi="ar-SA"/>
        </w:rPr>
        <w:t>Prevost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the overlapping evidence on the issues of the duty and standard of care and causation required them to be determined together to ensure a coherent and consistent result was achieved, the present case can be determined in logical steps without impairing or impeding a coherent and just final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therefore decline to dismiss the defendants' application on the basis that it is inappropriate for a determination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Does the Evidence Prove on a Balance of Probabilities that there is a Causal Relationship between Trauma, including Mild Head Trauma or Whiplash, and the Onset or Exacerbation of MS Symptoms.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Having found that this is an appropriate application to be heard under Rule 18A, I will now consider the issue of whether the evidence proves on a balance of probabilities that trauma can or is capable of triggering or exacerbating MS in some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Lord Rodger, after extensively reviewing the evidence before the Lord Ordinary in the court appealed from, much of which parallels the evidence led in this case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concluded as follows at pp. 601-02: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weighed all the various factors in favour of the pursuer's view and in particular the paper by Oppenheimer, the observations of Gonsette and his colleagues and the theory of Dr. Poser. In the end, however, I do not find it proved, on a balance of probabilities, that trauma in general, or whiplash injury in particular, can trigger the onset of symptomatic MS. In saying this I do not need to go so far as actually to accept the conclusions reached by the defender's witnesses in their evidence. It is enough that, when I examine and weigh the evidence upon which the pursuer relies along with the evidence for the defender, I am left with sufficient doubt about the pursuer's case that I am not satisfied that he has proved it on the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I am not satisfied that whiplash injury can ever cause the onset of symptomatic MS, I do not need to go on to answer the second question which relates to the particular facts of the pursuer's accident and injury. I merely observe that I have difficulty in seeing how, even supposing that it were possible for trauma to trigger the onset of MS, the evidence establishes that this was a case where the trauma was a trigger rather than a case where the existence of a trauma preceding the onset was coincidental.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decision of Lord Rodger was upheld on appeal to the House of Lords in: </w:t>
      </w:r>
      <w:r>
        <w:rPr>
          <w:rFonts w:ascii="arial" w:eastAsia="arial" w:hAnsi="arial" w:cs="arial"/>
          <w:b/>
          <w:i/>
          <w:color w:val="000000"/>
          <w:sz w:val="20"/>
          <w:lang w:val="en-US" w:eastAsia="en-US" w:bidi="ar-SA"/>
        </w:rPr>
        <w:t>Dingley v. The Chief Constable, Strathclyde Police</w:t>
      </w:r>
      <w:r>
        <w:rPr>
          <w:rFonts w:ascii="arial" w:eastAsia="arial" w:hAnsi="arial" w:cs="arial"/>
          <w:color w:val="000000"/>
          <w:sz w:val="20"/>
          <w:lang w:val="en-US" w:eastAsia="en-US" w:bidi="ar-SA"/>
        </w:rPr>
        <w:t>, [2000] Ses. Cas, (H.L.) 77. In that decision, Lord Hope of Craighead concluded at p. 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the process of reasoning which led the Lord President to this conclusion seems to me to be quite straightforward, and in my opinion it is unassailable. There is a body of clinical evidence that shows that there are many cases of symptomatic MS which cannot be related to trauma. In a small number of cases the onset of symptoms is preceded by trauma ... The epidemiological studies do not support the appellant's case. If anything they tend to support the arguments to the contrary. But for present purposes the important point is that they show that the appellant's case depends on there being an acceptable theory to explain what it is that overcomes the BBB [blood brain barrier] and permits the development of symptomatic MS. A satisfactory explanation would go a long way to supporting the appellant's case. But the evidence, which reaches its highest point with the study by Oppenheimer, does not go far enough to provide that explanation. So the appellant's case fails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reasons for ruling on the admissibility of the expert evidence proffered by the parties I noted as follows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considered by the court in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was adduced before the trial court in 1995. That was before the "debate that divides the medical world" was conditioned by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the published position of the National MS Society in 2003, the approach to the issue taken in McAlpine's 4th ed. published in 2005, and the similar approach taken in Harrison's 16th ed., also published in 2005. Moreover, the court in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did not have before it the results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published in 2006, or studies published in 1998 and 2000 said to challenge the significance of the role of the breakdown of the blood brain barrier in the pathogenesis of MS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will become apparent from a review of </w:t>
      </w:r>
      <w:r>
        <w:rPr>
          <w:rFonts w:ascii="arial" w:eastAsia="arial" w:hAnsi="arial" w:cs="arial"/>
          <w:b/>
          <w:i/>
          <w:color w:val="000000"/>
          <w:sz w:val="20"/>
          <w:lang w:val="en-US" w:eastAsia="en-US" w:bidi="ar-SA"/>
        </w:rPr>
        <w:t>Taylor v. Liong</w:t>
      </w:r>
      <w:r>
        <w:rPr>
          <w:rFonts w:ascii="arial" w:eastAsia="arial" w:hAnsi="arial" w:cs="arial"/>
          <w:color w:val="000000"/>
          <w:sz w:val="20"/>
          <w:lang w:val="en-US" w:eastAsia="en-US" w:bidi="ar-SA"/>
        </w:rPr>
        <w:t xml:space="preserve"> (2007),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 a special publication of a sub-committee of the American Academy of Neurology - the publication of the National MS Society, the content of McAlpine's 4th ed. and the content of Harrison's 16th ed. all represent an erosion of support for the theory of a causal link between trauma and MS symptom onset within the medical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Additionally, as is apparent from those reasons, the results of the </w:t>
      </w:r>
      <w:r>
        <w:rPr>
          <w:rFonts w:ascii="arial" w:eastAsia="arial" w:hAnsi="arial" w:cs="arial"/>
          <w:b/>
          <w:color w:val="000000"/>
          <w:sz w:val="20"/>
          <w:lang w:val="en-US" w:eastAsia="en-US" w:bidi="ar-SA"/>
        </w:rPr>
        <w:t>Goldacre Study</w:t>
      </w:r>
      <w:r>
        <w:rPr>
          <w:rFonts w:ascii="arial" w:eastAsia="arial" w:hAnsi="arial" w:cs="arial"/>
          <w:color w:val="000000"/>
          <w:sz w:val="20"/>
          <w:lang w:val="en-US" w:eastAsia="en-US" w:bidi="ar-SA"/>
        </w:rPr>
        <w:t xml:space="preserve"> published in 2006 and the "studies published in 1998 and 2000" - the </w:t>
      </w:r>
      <w:r>
        <w:rPr>
          <w:rFonts w:ascii="arial" w:eastAsia="arial" w:hAnsi="arial" w:cs="arial"/>
          <w:b/>
          <w:color w:val="000000"/>
          <w:sz w:val="20"/>
          <w:lang w:val="en-US" w:eastAsia="en-US" w:bidi="ar-SA"/>
        </w:rPr>
        <w:t>Filippi Study</w:t>
      </w:r>
      <w:r>
        <w:rPr>
          <w:rFonts w:ascii="arial" w:eastAsia="arial" w:hAnsi="arial" w:cs="arial"/>
          <w:color w:val="000000"/>
          <w:sz w:val="20"/>
          <w:lang w:val="en-US" w:eastAsia="en-US" w:bidi="ar-SA"/>
        </w:rPr>
        <w:t xml:space="preserve"> and the </w:t>
      </w:r>
      <w:r>
        <w:rPr>
          <w:rFonts w:ascii="arial" w:eastAsia="arial" w:hAnsi="arial" w:cs="arial"/>
          <w:b/>
          <w:color w:val="000000"/>
          <w:sz w:val="20"/>
          <w:lang w:val="en-US" w:eastAsia="en-US" w:bidi="ar-SA"/>
        </w:rPr>
        <w:t>Werring Study</w:t>
      </w:r>
      <w:r>
        <w:rPr>
          <w:rFonts w:ascii="arial" w:eastAsia="arial" w:hAnsi="arial" w:cs="arial"/>
          <w:color w:val="000000"/>
          <w:sz w:val="20"/>
          <w:lang w:val="en-US" w:eastAsia="en-US" w:bidi="ar-SA"/>
        </w:rPr>
        <w:t xml:space="preserve"> respectively - provided additional information adding to the weight of evidence against the prospect of a causal link between trauma and the onset of MS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is worthy of consideration that, although the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decision is not binding on me, the reasoning of Lord Rodger, so far as it addresses the same or similar evidence as confronts me, is compelling by its lucid, careful and thorough analysis and conclusion. The fact that since that decision was pronounced (but not because of it) the relevant scientific community can be seen as coalescing around the scientific proposition that no causal relationship exists between trauma and MS symptoms in light of additional studies and discoveries, can only lend weight to the guidance implicit in Lord Rodger's extensive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admitting the evidence of Dr. Poser and Dr. Kastrukoff, I analyzed the evidence against the legal test for admissibility which included an assessment of its threshold reliability. In doing so, I attempted to summarize the evidence and the parties' position on that evidence without, of course, making any determination of its ultimate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coming to my conclusion on admissibility, I held as follows at paras. 196-97 respecting the distinction between threshold and ultimate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satisfied that what I am confronted with here is a case of threshold unreliability. This is not a case where the plaintiff's theory has never been published in peer review publications, nor subjected to peer criticism or testing. It is not a green, untried, and untested theory, although it is a theory that has lost adherents over time, and with the accumulation of new evidence and new studies, it has attracted opposition from a substantial majority in the relevant scientific community. I accept that that opposition is a telling factor against reliance on this theory, certainly in the medical or scientific field, but also in the courtroom. However, I do not find in that substantial opposition, a basis for concluding that the theory or the evidence relied on in its support is in a legal sense, incapable of being considered by a trier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amassed in opposition to the plaintiff's theory and her evidence may attenuate her case. Dr. Poser's credibility and his asserted misreliance on studies may compromise it. The logic flowing from a theory espousing a low risk of MS from the cause being asserted as compared to other causes, and the high likelihood of coincidence of trauma and exacerbation, may undermine the case. But, there remains a theoretical and evidentiary base for its consideration by a trier of fact. The issues raised by the defendant's objections and evidence ultimately require consideration, understanding, comparison, analysis, and conclusion concerning contradictory evidence and competing opinions. That is the subject matter of ultimate, not threshold, reliability. Accordingly, I would admit the evidence of the plaintiff's experts' theory and the evidence in support of it, save for Dr. Lehrer's theory and the evidence supporting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was my conclusion that an important logical step in determining the admissibility of the evidence was whether it had any "biological plausibility". I held as follows at paras. 191 and 193: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plausibility of the mechanism advanced by Dr. Poser is of considerable significance in determining the admissibility of his theory and the evidence in support of it. If the theory remains plausible, it would be difficult to rule it or the evidence indirectly supporting it unworthy of consideration by a finder of fact. If the theory is implausible, then it renders evidence said to be supportive of it without coherence.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the presence of a plausible theory for a cause and effect relationship does not establish such a relationship any more than the presence of a plausible method for building a house establishes the existence of the house. Some evidence must exist that is capable of supporting the existence of the relationship above and beyond its mere plausibility before consideration can be given to the process of determining that ultimate question.</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Biological Plausibility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issue of the biological plausibility requires consideration of the evidence of what is generally known about MS and what is unknown. In paras. 8-27 of my reasons on the admissibility hearing, I provided an overview of what the evidence established about 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Axons are the neurons or nerve fibres in the central nervous system ("CNS") which extended from the nerve cell and conduct messages throughout the CNS and to the peripheral nervous system by electrical impulses. Myelin is an electrically insulating sheath that surrounds axons. There are spaces along the axons not covered by myelin, and these are called nodes of ranvier. What is known about MS is that it is a disease that attacks and destroys Myelin. Under normal conditions, the electrical impulses comprising the messages travel at speeds of approximately 100 metres per second by jumping along the axon from one node of ranvier to the next. When the myelin sheath is destroyed by the disease, the electrical impulses are slowed by being forced to travel along the axon and there can be a corresponding impairment of the physical abilities of the individual experiencing the condition. The process of myelin destruction is called demyelination. The process of demyelination leaves plaques or lesions along the axon.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portions of the CNS that are largely composed of bundles of myelinated axons which are comprised of almost 80% lipids (fats) and are known as the white matter of the brain. These portions of the brain are found in the inner layer of the cortex, the optic nerves, the central and lower areas of the brain (notably the brain stem), and surrounding the central shaft of grey matter in the spinal cord. About 95% of all MS lesions occur in the white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portions of the brain known as the grey matter consist of nerve cell bodies and astroglia consisting of about 80%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Multiple sclerosis is believed to be an autoimmune disease. There are various autoimmune diseases. An autoimmune disease refers to a body's immune system failing to recognize its own constituents and attacking them as they would attack a foreign invader. In rheumatoid arthritis for example, which is an autoimmune disease, the immune system will attack the body's joint's causing pain and inflammation.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immune system is a separate system within the body which has evolved to identify and attack foreign invaders such as viruses which might otherwise cause illness. The immune system operates at a cellular and molecular level and involves various constituent elements with various functions. Each cell in the body has a marker on its surface which identifies the cell as belonging in the body. The markers are molecules called major histocompatibility complex (MHC). In blood cells, human leukocyte antigens (HLA) help identify cells as belonging to the self or as foreign.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foreign invaders enter the body, the immune system reacts by activating certain cells including B Cells, T Cells, and macrophages which respond to the threat represented by the foreign bodies.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Cells are a type of white blood cell originating in bone marrow. B Cells are turned into plasma cells which multiply and form a cloned army of cells which produce proteins called antibodies. The antibodies respond to antigens which are molecules identifying the foreign invaders as appropriate targets for the antibodies. The antibodies then bind to the antigen and, working with blood proteins called the complement system, destroy the antigen or organism.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 Cells are also a type of white blood cell which are modified when presented with a specific antigen (by other, presenter cells) to produce a cloned army of cells which attack the offending substances by either secreting cytokines which tell other cells to attack the offending substances or by attacking directly themselves. Cytokines are small protein molecules released by cells to communicate with and direct the activity of other cells in the vicinity. They help the immune system to function by activating cells and directing the processes of inflammation, tissue breakdown and cell death. A subset of cytokines called interleukins or lymphokines act as messengers between cells. They are largely secreted and received by cells called leukocytes to stimulate a variety of activities depending on what is required by the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Macrophages are versatile. They can engulf (eat) foreign substances, dead cells, or other debris, and can also act as antigen presenters to B Cells and T Cells to engage their immune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autoimmune reaction refers to some abnormality in the process by which the body's immune system becomes activated, and involves immune cells harming the body's own central nervous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in North America, approximately one out of one thousand people are diagnosed with multiple sclerosis and a further one out of one thousand people are undiagnosed despite having the condition. Women were historically at risk at a rate of 2 to 1, compared to men. Surprisingly and somewhat alarmingly, that ratio has changed dramatically (by an increase in incidence among women, rather than a decrease among men) in the past 50 years. This strongly suggests environmental factors in the initiation of the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Magnetic resonance imaging ("MRI") is a non-invasive method used to render images of pathological or other physiological alterations of living tissues. MRI scans can be used to detect lesions in the myelin that covers axons. Gadolinium compounds can be injected into the body before scanning to enhance the MRI images.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 practitioners and scientists draw a distinction between biological symptoms (lesions that can be seen on MRI scans but cause no physical consequence) and clinical symptoms (in which the development of lesions manifest ascertainable physical consequences). Scientists estimate that for every one clinical symptom, there are five biological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one of his medical legal reports dated April 9, 2001, Dr. Sibley explained the mechanics of the disease thus: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is characterized by the appearance of patches of inflammation associated with demyelination (loss of fatty insulation of nerve fibres) in the white matter of the brain, brain stem, optic nerve and spinal cord. These patches, also called plaques or simply lesions, often occur in crops ... and they cause the common symptoms of the disease (visual loss, double vision, numbness and/or weakness of the limbs). They have become much easier to detect and monitor since the advent of the magnetic resonance imaging (MRI) scan in about 1985.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Serial MRI studies during the early years of the disease indicate that the average patient gets two to six new patches of MS ... in the brain each year, but clinical symptoms are much less common.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believed to be a strong genetic influence on the development of MS as studies have shown a relatively high correlation among family members grading upwards from half siblings to identical twins.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Environmental factors are also believed to be involved but those factors are as yet largely unidentified by studies.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triggers of the disease, epidemiological studies implicate viral infections as potential triggers and it is presently generally accepted that approximately 25% of multiple sclerosis onset and exacerbation is triggered by viral infection.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general acceptance of what other triggers may be responsible for the remaining 75% of MS onset or exacerbation. Interestingly, it appears that vaccinations do not precipitate MS attacks despite introducing antigens into the body which provoke an immune response. On the current state of knowledge it appears that vaccinations have a salutary effect on MS exacerbation.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Biological symptoms (the lesions that form in the myelin that covers the axons) are believed to start developing between the ages of about 5 and 15 in genetically susceptible people. The condition may have no consequences unless an onset is precipitated by some environmental factor. There is evidence that an alteration or disturbance of the blood brain barrier is implicated in the context of the formation of lesions in the course of the disease, although there is presently controversy whether the alteration or disturbance is a cause or effect of the lesion formation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blood brain barrier ("BBB") refers to the protection afforded the brain and spinal cord (the CNS) by endothelial cells that are tightly bound together in what are referred to as tight junctions. The BBB prevents the easy passage of certain substances and cells into the CNS unless they are transported across by specific transport systems. The CNS endothelial cells are distinctive from other cells throughout the body which are not tightly joined and allow easy passage of substances or white blood cells to the surrounding tissues. Not all areas of the brain are covered by the BBB. The area postrema which is a sensory area for toxins located on the brain stem is not subject to the BBB,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Following that, I set out, in paras. 28-50, a summary of the evolution of the theory of a causal relationship between trauma and 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idea that trauma could trigger the onset or exacerbation of MS symptoms is not a novel theory in the sense of being new.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McAlpine, D., "The Problem of Disseminated Sclerosis" (1946) Brain 69: 233-250 at 241, Dr. McAlpine, one of the then leading experts on MS,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number of observers, notably Allison (1931) and Von Hoesslin (1934) have made surveys in this disease with the purpose of discovering any facts which might throw light on its causation. The results of such surveys, in the main, confirm the occasional role of trauma, pregnancy and other factors precipitating the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went on to assert at p. 245: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After excluding those cases in which the disease itself was responsible for the alleged trauma, there remain a few cases of disseminated sclerosis in which there can be little doubt of the close relationship between peripheral trauma and the appearance of signs.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McAlpine, D., and Compston, N., "Some Aspects of the Natural History of Disseminated Sclerosis" (1952) Quarterly Journal of Medicine, New Series XXI. No. 82, Dr. McAlpine and Dr. Nigel Compston, another leading expert in the field, wrote at p. 152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31 patients, out of a total of 146 who suffered injury more than 3 months before the onset of their disease, the site of their initial lesion was related to the site of the injury (21.2%). Even allowing for the greater likelihood that injury, especially when apparently related to the first symptom, will be recalled in patients suffering from disseminated sclerosis, it seems probable that injury does sometimes precipitate the onset of the disease, and may determine the site of the initial lesion.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Brain, R., and Wilkinson, M., "The Association of Cervical Spondylosis and Disseminated Sclerosis" (1957) Brain 80: 456-478 [the "</w:t>
      </w:r>
      <w:r>
        <w:rPr>
          <w:rFonts w:ascii="arial" w:eastAsia="arial" w:hAnsi="arial" w:cs="arial"/>
          <w:b/>
          <w:i/>
          <w:color w:val="000000"/>
          <w:sz w:val="20"/>
          <w:lang w:val="en-US" w:eastAsia="en-US" w:bidi="ar-SA"/>
        </w:rPr>
        <w:t>Brain and Wilkinson Study</w:t>
      </w:r>
      <w:r>
        <w:rPr>
          <w:rFonts w:ascii="arial" w:eastAsia="arial" w:hAnsi="arial" w:cs="arial"/>
          <w:color w:val="000000"/>
          <w:sz w:val="20"/>
          <w:lang w:val="en-US" w:eastAsia="en-US" w:bidi="ar-SA"/>
        </w:rPr>
        <w:t>"], the authors noted at p. 477: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five of our series of cases trauma in the neck appears to have either precipitated the first symptoms of, or substantially exacerbated, the disseminated sclerosis and the co-existence of the two disorders has tended to bring about a deterioration more rapid than would have been expected, had either been present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Oppenheimer, D.R., "The Cervical Cord in Multiple Sclerosis" (1978) Neuropathology and Applied Neurobiology 4: 151-162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the author, D.R. Oppenheimer of the Department of Neuropathology, Radcliffe Infirmary, Oxford, found a greater proportion of lesions in the cervical spine in 18 cases, distributed in such a way and forming a pattern of a sort, which he advanced as supporting the theory that they were caused by mechanical stresses.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leading text, Matthews, W.B. et al., McAlpine's Multiple Sclerosis, 2nd ed. (New York: Churchill, 1992), the state of acceptance of the association between trauma and exacerbation of the symptoms was summarized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hypothesis can be constructed linking onset or relapse of multiple sclerosis up to six weeks after concussive head injury but thereafter with rapidly diminishing probability. Minor injury to the spinal cord could be held similarly responsible. The hypothesis is based on the unproven primary role of breach of the blood brain barrier in the pathogenesis of the plaque.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Breach of the BBB is the mechanism which is at the heart of Dr. Poser's opinion that there is a causative link between trauma to the head or spinal cord and onset or exacerbation of symptoms of 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two articles: Poser, C.M., "Pathogenesis of multiple sclerosis" (1986) Acta Neuropathol (Berl) 71: 1-10, ["</w:t>
      </w:r>
      <w:r>
        <w:rPr>
          <w:rFonts w:ascii="arial" w:eastAsia="arial" w:hAnsi="arial" w:cs="arial"/>
          <w:b/>
          <w:i/>
          <w:color w:val="000000"/>
          <w:sz w:val="20"/>
          <w:lang w:val="en-US" w:eastAsia="en-US" w:bidi="ar-SA"/>
        </w:rPr>
        <w:t>Poser 1986</w:t>
      </w:r>
      <w:r>
        <w:rPr>
          <w:rFonts w:ascii="arial" w:eastAsia="arial" w:hAnsi="arial" w:cs="arial"/>
          <w:color w:val="000000"/>
          <w:sz w:val="20"/>
          <w:lang w:val="en-US" w:eastAsia="en-US" w:bidi="ar-SA"/>
        </w:rPr>
        <w:t>"] and Poser, C.M., "The role of trauma in the pathogenesis of multiple sclerosis: a review" (1996) Clinical Neurology and Neurosurgery 96: 103-110 (updated version of 1987 article) ["</w:t>
      </w:r>
      <w:r>
        <w:rPr>
          <w:rFonts w:ascii="arial" w:eastAsia="arial" w:hAnsi="arial" w:cs="arial"/>
          <w:b/>
          <w:i/>
          <w:color w:val="000000"/>
          <w:sz w:val="20"/>
          <w:lang w:val="en-US" w:eastAsia="en-US" w:bidi="ar-SA"/>
        </w:rPr>
        <w:t>Poser 1994</w:t>
      </w:r>
      <w:r>
        <w:rPr>
          <w:rFonts w:ascii="arial" w:eastAsia="arial" w:hAnsi="arial" w:cs="arial"/>
          <w:color w:val="000000"/>
          <w:sz w:val="20"/>
          <w:lang w:val="en-US" w:eastAsia="en-US" w:bidi="ar-SA"/>
        </w:rPr>
        <w:t>"], Dr. Poser advanced the contention that an alteration in the BBB is an obligatory step in the pathogenesis of the MS lesion and that minor concussive injury to the head, neck or upper back may result in such an alteration. He suggested the logical inference could be drawn that trauma could facilitate the conditions precedent to the formation of new lesions or the enlargement and activation of old 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Poser 1986</w:t>
      </w:r>
      <w:r>
        <w:rPr>
          <w:rFonts w:ascii="arial" w:eastAsia="arial" w:hAnsi="arial" w:cs="arial"/>
          <w:color w:val="000000"/>
          <w:sz w:val="20"/>
          <w:lang w:val="en-US" w:eastAsia="en-US" w:bidi="ar-SA"/>
        </w:rPr>
        <w:t>, Dr. Poser postulated [at p. 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available data lead to the following hypothesis: multiple sclerosis is a disease which requires the following factors for the production of demyelinating lesions of the central nervous system:</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genetically determined susceptibility;</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environmental, probably viral, probably immune mediated initiatory event producing a symptomless systemic illness;</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subsequent alteration of the blood brain barrier resulting from diverse mechanisms including trauma or a second, immune mediated event; and</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myelinoclastic plaque-forming mechanism which is operative only in the central nervous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Poser 1994</w:t>
      </w:r>
      <w:r>
        <w:rPr>
          <w:rFonts w:ascii="arial" w:eastAsia="arial" w:hAnsi="arial" w:cs="arial"/>
          <w:color w:val="000000"/>
          <w:sz w:val="20"/>
          <w:lang w:val="en-US" w:eastAsia="en-US" w:bidi="ar-SA"/>
        </w:rPr>
        <w:t>, Dr. Poser averred as follows [at p. 104]: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age of risk of clinical MS, trauma to the nervous system is by far the most common facilitator. In our automobile-oriented culture, motor vehicle accidents are the most common type of trauma, and among those the so-called rear-end collision is the most frequent. Because in so many instances, in particular in the United States, these automobile accidents result in law suits, the significance of trauma in the pathogenesis of MS has become a matter of controversy, with experts arguing either for or against the role of trauma in either producing exacerbations of an already diagnosed condition, or resulting in the appearance of classical manifestations of an hither to asymptomatic disease. This controversy has veiled the importance of this factor in our understanding of the pathogenesis of MS. Certainly, the courtroom is not the proper venue for discovering the scientific truth.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both of his articles, Dr. Poser questioned the value of epidemiological studies in affirming or discounting a causative association between trauma and the onset or exacerbation of symptoms. In his </w:t>
      </w:r>
      <w:r>
        <w:rPr>
          <w:rFonts w:ascii="arial" w:eastAsia="arial" w:hAnsi="arial" w:cs="arial"/>
          <w:b/>
          <w:i/>
          <w:color w:val="000000"/>
          <w:sz w:val="20"/>
          <w:lang w:val="en-US" w:eastAsia="en-US" w:bidi="ar-SA"/>
        </w:rPr>
        <w:t>Poser 1986</w:t>
      </w:r>
      <w:r>
        <w:rPr>
          <w:rFonts w:ascii="arial" w:eastAsia="arial" w:hAnsi="arial" w:cs="arial"/>
          <w:color w:val="000000"/>
          <w:sz w:val="20"/>
          <w:lang w:val="en-US" w:eastAsia="en-US" w:bidi="ar-SA"/>
        </w:rPr>
        <w:t xml:space="preserve"> he wrote [at p.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most relevant in understanding why epidemiological studies of the relationship between trauma and MS are unlikely to be fruitful. (Bamford et al 1981). MS patients represent an extremely heterogeneous group suffering from an unpredictable and highly variable illness. In clinical practice, the role of trauma must be evaluated with great circumspection: it is most unlikely that an injury to a limb, to the chest, or to the abdomen has the same effect with regard to producing changes in the permeability of the BBB as an injury to the brain or spinal cord. It is also important to consider a reasonable time relationship between the trauma and the symptoms that follow. No simple rule can be given and all cases must be judged individually.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Poser 1994</w:t>
      </w:r>
      <w:r>
        <w:rPr>
          <w:rFonts w:ascii="arial" w:eastAsia="arial" w:hAnsi="arial" w:cs="arial"/>
          <w:color w:val="000000"/>
          <w:sz w:val="20"/>
          <w:lang w:val="en-US" w:eastAsia="en-US" w:bidi="ar-SA"/>
        </w:rPr>
        <w:t>, Dr. Poser wrote as follows [at p. 108]: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conclusion it is clear that dependence upon the "scientific evidence" of epidemiology and biostatistics in these contexts, ignores the fact that such studies can at best only be estimates within a cohort and not generalizable. They assume that MS patients are not only genetically and immunologically identical, but that their disease has reached the same extent of clinical and pathological involvement, and a similar degree of activity at the time of trauma. The reliance on such studies to establish or deny causal relationships is a disavowal of our clinicopathologic tradition. It denigrates the work of the experimentalists and sweeps aside the experience of clinicians and neuropathologists.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1999, the therapeutics and technology assessment sub-committee of the American Academy of Neurology published a "special article": Goodin, D.S., Ebers, G.C., et al., "The relationship of MS to physical trauma and psychological stress" (1999) Neurology 52: 1737-1745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was written by a panel of experts, which was chaired by Dr. Goodin and included Dr. Ebers and Dr. Sibley as well as Drs. Johnson, Rodrigues, and Wolinsky. Dr. Poser was a member of the panel for some time, but resigned before the article was published because he was not permitted to write a dissenting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did not report on any new study, but rather was a review of existing studies and articles with a view to resolving what had, to that point, become a matter of contention within the medical community: whether there was an association between trauma and psychological stress and either MS onset or exacerbation. The article concluded with respect to physical trauma as follows [at p. 1744]: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basis of strong and generally consistent class 2 evidence, any posited association of trauma, especially head trauma, with more than a small effect on either MS onset or MS exacerbation is excluded. Moreover, the preponderance of the class 2 evidence supports no association between physical trauma and either MS onset or MS exacerbation.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2 evidence refers to a classification of scientific studies broken down according to their strength. A definition taken from the Practice Guideline for Clinical Practice in 2002 published in a report of the sub-committee of the academy of neurology and the MS Council for Clinical Practice Guidelines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Class 2 - evidence provided by a prospective study of a narrow spectrum of persons at risk for having the condition or by a retrospective study of a broad spectrum of persons with the condition compared to a broad spectrum of controls. The study measures the prognostic accuracy of the risk factor using an acceptable independent gold standard for case definition. The risk factor is measured in an evaluation that is masked to the outcome.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Goodin, who chaired the subcommittee which published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testified that the subcommittee was formed to conduct an assessment of the issue in response to a person who "felt that this (the association between trauma and MS onset or exacerbation) was being misused in the courtroom."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Goodin explained that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came to its final form through a 9 step process: First, a review of the relevant literature was done. Second, a document was prepared by the panel of experts and submitted to the full subcommittee for review. Third, the full subcommittee reviewed the document, and provided feedback to the panel of experts. Fourth, the panel of experts modified the document based on the feedback received. Fifth, the document was resubmitted to the subcommittee for further assessment. Sixth, the document was sent to a further 50 or 60 members of the academy interested in MS such that their input could be obtained. Seventh, that input was considered and the document was again reviewed by the subcommittee. Final approval of the subcommittee was provided at that stage. Eighth, the document was sent to the board of Directors of the academy. Finally, the document was submitted to Neurology, which is a peer reviewed journal, for publication.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Subsequently, in 2003, the National MS Society published its position on the relationship between trauma and MS referencing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and two epidemiological studies: Sibley, W.A., Bamford, C.R., et al., "A prospective study of physical trauma and multiple sclerosis" (1991) Journal of Neurology, Neurosurgery and Psychiatry 54: 584-589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and Siva, A. et al., "Trauma and multiple sclerosis: A population-based cohort study from Olmsted County, Minnesota" (1993) Neurology 43: 1878-1882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The MS publication, in the National MS Society Information Sourcebook,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Both studies showed that there are more traumatic events among people with MS than in the healthy control group. Many traumas were caused by MS symptoms such as in-coordination, impaired balance, or abnormalities with gait or vision. These events, however, were not precipitating factors in the onset or exacerbation of the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similar approach to the issue has been taken in recent editions of the major text concerning multiple sclerosis. In Compston, A., et al., McAlpine's Multiple Sclerosis, 3rd ed. (New York: Churchill, 1998), after quoting the passage from the second edition which endorsed a causal connection between trauma and onset or exacerbation (see para. 33 above) the authors conclude at p. 100: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view now is that a complete reading of the literature provides no direct evidence in support of the hypothesis that trauma influences the expression or natural history of multiple sclerosis.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Compston, A., et al., McAlpine's Multiple Sclerosis, 4th ed. (New York: Churchill, 2005), the same view was expressed somewhat more comprehensively at p. 259: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present view is that a complete reading of the literature provides no epidemiological evidence in support of a relationship between trauma and the cause of multiple sclerosis. Trauma does not precipitate latent multiple sclerosis. Nor does it change the activity, course and prognosis in patients with established multiple sclerosis. That position is reached using the following logic:</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frequencies of trauma and disease activity in multiple sclerosis make it certain that these will occasionally occur together by chance.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Epidemiological studies do not show an association between trauma and disease activity or the course of multiple sclerosis.</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Colocalization of lesions due to multiple sclerosis and cervical spondylitus, or in patients undergoing direct brain needling, does not establish causality.</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Opening of the blood brain barrier is necessary but not sufficient for establishing the cascade of events that culminates in the pathological features of multiple sclerosis.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Approached from the rigorous attitude of medical science in assessing evidence, there is no evidence for a causal relationship between trauma and multiple sclerosis. </w:t>
      </w:r>
      <w:r>
        <w:rPr>
          <w:rFonts w:ascii="arial" w:eastAsia="arial" w:hAnsi="arial" w:cs="arial"/>
          <w:color w:val="000000"/>
          <w:sz w:val="20"/>
          <w:u w:val="single"/>
          <w:lang w:val="en-US" w:eastAsia="en-US" w:bidi="ar-SA"/>
        </w:rPr>
        <w:t>That position is not materially altered if the same questions are asked from the perspective of civil law on a balance of probabilities.</w:t>
      </w:r>
      <w:r>
        <w:rPr>
          <w:rFonts w:ascii="arial" w:eastAsia="arial" w:hAnsi="arial" w:cs="arial"/>
          <w:color w:val="000000"/>
          <w:sz w:val="20"/>
          <w:lang w:val="en-US" w:eastAsia="en-US" w:bidi="ar-SA"/>
        </w:rPr>
        <w:t xml:space="preserve"> (underlining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another leading textbook, Kasper, D., et al., Harrison's Principles of Internal Medicine, 16th ed. (New York: McGraw-Hill, 2005), the authors make the following assertion at p. 2462: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multiple sclerosis to trauma and stress: the existing evidence does not support any association of trauma with either multiple sclerosis onset or exacerbation. Similarly, a relationship between stress and either onset or exacerbation of multiple sclerosis has not been established, although this area is not easily studied because of difficulties in quantifying 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publication of McAlpine's 4th ed. and Harrison's 16th ed. in 2005, the results of an additional epidemiological study have been published and are cited by the defendants as support for the position that there is no association between trauma and onset or exacerbation of MS symptoms. The study, Goldacre, M.J., et al., "Risk of multiple sclerosis after head injury: record linkage study" (2006) Journal of Neurology, Neurosurgery, and Psychiatry 77: 351-353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focussed upon hospital records from the Oxford National Health Service Region Hospitals from January 1, 1963, to March 31, 1999, involving some 110,993 patients admitted to hospitals with head injuries, and some 534,600 patients used as a reference cohort. The study reported that head injury patients at 6 and 11 month periods following the injury appeared slightly less prone to onset or exacerbation of MS symptoms than the reference patients. There was no appreciable difference reported based on the apparent severity of the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Two significant studies implicating the biological plausibility of a causal relationship between trauma and symptomatic MS onset or exacerbation are those which I referred to earlier, Filippi, M., et al., "Magnetization Transfer Changes in the Normal Appearing White Matter Precede the Appearance of Enhancing Lesions in Patients with Multiple Sclerosis" (1998) Ann Neurol. 43: 809-814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and Werring, D.J., et al., "The pathogenesis of lesions and normal-appearing white matter changes in multiple sclerosis: A serial diffusion MRI study" (2000) Brain 123: 1667-1676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provide evidence that there is a pathological process in MS lesion formation which occurs before the breakdown of the BBB can be detected on MRI scans. While the studies leave open the possibility that there are earlier, non-detectible disruptions of the BBB, or that there is more than one process involved in lesion formation, they are consistent with the position that detectable disruptions to the BBB are the result of inflammation from the process of lesion formation rather than an initiating cause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the plaintiff's expert, Dr. Poser, agreed that the breakdown of the BBB was not the first event in the formation of MS lesions accepting "that there is first of all inflammation that precedes it and maybe there are other immune phenomena" he maintained that the breakdown of the BBB is nevertheless an obligatory event and thus the biological plausibility of his theory was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cross-examination on the point Dr. Poser testified at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these changes that you see on the MR transfer [pre BBB disruption], again they may precede the formation of a plaque, but they don't form a plaque, and the whole point I have made is that in order for a plaque to be formed, there must be a significant alteration of the blood-brain barrier, and I want to stress significant, because these changes that you see by MR transfer are not seen by the usual MRI, they are not gadolinium-positive, so that you can be sure that indeed at that stage there is in fact an alteration of the blood-brain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Dr. Poser was cross-examined about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in part,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I'm going to show you another two studies which I'm sure you're familiar with. The Filippi study, which is under G in the documents you've got, you're familiar with this study, Dr. Poser, aren't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 only that, but I'm very familiar with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Filippi.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The - looking at the headnote, there the conclusion says at the very last line: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These results suggest that changes in the NAWM, which is the normal appearing white matter, of patients with MS occur before lesions become evident on conventional MRI scans.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Hartshorne, with all due respect, I just told you exactly what they're saying 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understand that, Dr. Poser. I'm - I'm putting these in because the evidence has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Okay. I'm sorry I interrupted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Part-way down on the right-hand side of the page,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MS, lesions seen to enhance on magnetic resonance imaging (MRI) scans, after gadolinium-DTPA injection represent areas with a damaged blood-brain barrier and intense inflammation. At present, this abnormality is considered the first step of MS lesion formation that is visible with MRI. By using magnetization transfer imaging (MTI), there is, however, evidence that tissue changes may occur in MS lesions and in the normal appearing white matter, independently from enhancement.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You're familiar with that, Dr. Poser?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of course I agree with that, but let me point out that with magnetic transfer, it is not possible to know if the involvement is just with the blood vessel or also involves the surrounding tissue. That's the problem, and this is why I say - I fully agree with what they say here, but I don't think it really addresses the problem of the obligatory change in the blood-brain barrier. The gadolinium enhancement absolutely requires an alteration of the blood-brain barrier.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for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Dr. Poser testified during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is under Tab Number H, Dr. Poser.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the Werring study?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 the right-hand side of the summary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These findings indicate that new focal lesions associated with frank BBB leakage are preceded by subtle progressive alterations in tissue integrity beyond the resolution of conventional MRI. The increases in ADC in anatomically matched contralateral regions after lesions have appeared supports the concept that structural damage and lesions causes damage or dysfunction in connected areas of NAWM.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you're familiar with that result, their findings, Dr. Poser?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again I agree with all of this. There's no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I've just - I just answered to your previous question applies to this exact, because it's the same situation.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response of the defendants to the evidence of the plaintiff with respect to the issue of biological plausibility of Dr. Poser's theory was primarily dealt with by Dr. Goodin in response to Dr. Lehrer's expert report and his evidence which I ruled to be inadmissible. Dr. Goodin wrote as follows at p. 2 of his report dated May 4,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trauma, especially severe trauma, can injure the CNS and disrupt the BBB, and the [sic] also certainly, the BBB is often disrupted in MS attacks. This, however, doesn't prove (or even particularly suggest) that the two are connected. Moreover, whether BBB disruption is either the first step or an 'obligatory' step is less clear. As I noted in my earlier report, there is now consistent evidence to suggest that, in the months prior to the occurrence of an area of new gadolinium enhancement (a marker of BBB disruption), the MRI demonstrates changes in what is called the magnetic transfer ratio (MTR). Thus, the BBB disruption is preceded by other focal changes in the brain and BBB disruption would seem to be a late event in the evolution of an MS lesion. Also, contrary to what Dr. Lehrer asserts, activated lymphocytes can cross into the brain through a non-disrupted BBB, so that its breakdown is not an obligatory step. We know this also from other evidence. Thus, patients in the secondary progressive phase of MS often continue to develop new symptoms, despite not having evidence of BBB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his evidence, Dr. Goodin described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among others, as offering "an incredibly important observation" because it provides evidence that prior to the breakdown of the BBB (measurable by gadolinium enhanced MRI's) "there are focal changes in the brain which are occurring which predict where that lesion is going to happen three months down the line." He regarded the conclusion that "the opening of the blood-brain barrier is not the first step" as being "crucial". Dr. Goodin was also referred to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which concluded as follows at p. 1674: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longitudinal study provides new information about the pathogenesis of multiple sclerosis lesions and NAWM changes. It suggests that focal inflammatory BBB leakage, indicated by contrast enhancement, is not necessarily the initiating event in multiple sclerosis plaque formation but may be preceded, and perhaps triggered, by subtle progressive alterations in tissue integrity beyond the resolution of conventional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Dr. Goodin testified he regarded the results of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as inconsistent with Dr. Poser's 1987 article, where he implied the breach of the BBB was a primary event, along with a genetically determined predisposition and a triggering event between the ages of 5 and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Dr. Goodin acknowledged that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referenced other studies, which did not observe the changes to tissue integrity preceding BBB disruption, theorizing that the reason for the discrepancy is "unclear" but may imply different pathological processes or a "difference between the methods and the MRI protocols", that is, the means of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my opinion, despite the limitations of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they do weaken the biological plausibility of Dr. Poser's theory, not only as it was originally espoused in his 1987 article, with the BBB breakdown as a primary event in the demyelination process, but also as he has modified it to be an obligatory event in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I see it, if the breakdown of the BBB is a later rather than a primary part of an ongoing process leading to demyelination, the likelihood that an independent cause of BBB disruption is implicated in the process significantly lessened. Simple logic dictates the increased likelihood of coincidence, rather than causation, in the conjunction of prior trauma and subsequent demyelination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way of analogy, if a person has symptoms characteristic of the onset of a cold, before going into the presence of another with a cold, his ultimate development of that condition is less likely, as a matter of logic and inference, to be due to the subsequent contact than it is to a prior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When that simple analogy is put in the context of the biological plausibility of a link between trauma and symptomatic MS, it means that if there is a process that precedes and predicts BBB disruption integral to demyelination, an independent event which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cause BBB disruption is an unlikely culprit in the end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Accepting that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are not dispositive of the issue, I nonetheless conclude that they attenuate the biological plausibility of the theory underlying the plaintiff's position of a causal link between trauma and symptomatic MS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Although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accepted the biological plausibility of trauma as a causal link, it was written before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was published. Of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it said at p. 1738: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evidence is accumulating that changes within the normal-appearing white matter precede and predict the occurrence of gadolinium enhancement (a measure of BBB breakdown) on MRI. Observations such as these raise the possibility that the breakdown of the BBB is not the initial event in the development of an MS lesion.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also noted at p. 1738: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in the absence of such biological plausibility, any epidemiologic evidence of an association, in order to be convincing, would need to be overwhelming.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conclude that while there is some degree of biological plausibility to the theory underlying the plaintiff's claim, its relevance or usefulness in the analytical process is attenuated by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and the accumulating evidence that demyelinating BBB disruption is not an initiating event because it is "predicted" by the onset of a prior process and, therefore, is unlikely to be caused by an autonomous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within that context that the evidence for and against the theory must be judged.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the course of the evidence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aside from the evidence relating to the biological plausibility of the causal link being advanced, the parties led evidence of, and in relation to, various studies, and as well, the plaintiff's and defendants' experts testified to the nature and effect of their respective clinical experience.</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Clinical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witnesses agreed that in their clinical experience, the apparent association between trauma and symptomatic MS onset presented only rarely. Dr. Poser confined it to less than 5% of his cases. Dr. Lehrer said he had seen only four or five out of 1,500 patients presenting with such an apparent association, and Dr. Kastrukoff considered that about 3% to 4% of patients had what he considered to be trauma contributing to MS exacerbation. He considered it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So far as the witnesses for the defendants were concerned, they did not regard clinical experience or "anecdotal evidence" to be evidence of an association, rather it was a starting point for an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accept the thrust of the defendants' evidence and the defendants' submissions on this point. While, of course, it is necessary to view all the evidence in its context, the very rare conjunction of trauma and MS exacerbation testified to by the plaintiff's experts gives a far greater flavour of coincidence than of causality to the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circumstances, little weight can be placed on the plaintiff's experts' clinical experience evidence to establish any connection given its rarity. The evidence does illustrate how difficult it would be to conclude, even assuming a causal nexus, that in an individual case, trauma was an operative cause of an MS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other studies comprising the foundation on which the parties mounted their respective arguments for and against proof of a causal nexus consist of studies relating to the prevalence of MS lesions on the cervical spine, studies related to the disruption of the BBB, a study linking direct trauma to the brain by means of a thalamotomy (the insertion of a knitting needle shaped instrument called a trocar into the brain to destroy part of the brain to relieve against uncontrollable cerebral tremors) to the formation of lesions along the path of the trocar, and epidemiological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Studies Relating to the Prevalence of MS Lesions on the Cervical Spine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At the centre of the evidence relating MS lesions to the cervical spine was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(referred to in para. 44 above) based on the autopsies of 18 former MS patients, which found an excess of lesions in the cervical spine.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distinguished the earlier </w:t>
      </w:r>
      <w:r>
        <w:rPr>
          <w:rFonts w:ascii="arial" w:eastAsia="arial" w:hAnsi="arial" w:cs="arial"/>
          <w:b/>
          <w:i/>
          <w:color w:val="000000"/>
          <w:sz w:val="20"/>
          <w:lang w:val="en-US" w:eastAsia="en-US" w:bidi="ar-SA"/>
        </w:rPr>
        <w:t>Brain and Wilkinson Study</w:t>
      </w:r>
      <w:r>
        <w:rPr>
          <w:rFonts w:ascii="arial" w:eastAsia="arial" w:hAnsi="arial" w:cs="arial"/>
          <w:color w:val="000000"/>
          <w:sz w:val="20"/>
          <w:lang w:val="en-US" w:eastAsia="en-US" w:bidi="ar-SA"/>
        </w:rPr>
        <w:t xml:space="preserve"> (referred to in para. 44 above) and was itself conditioned by a 1993 study, Kidd, D., et al., "Spinal cord MRI using multi-array coils and fast spin echo; II. Findings in multiple sclerosis" (1993) Neurology 43: 2632-2637 [the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summary of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reads as follows at p.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spinal cords were examined in eighteen cases of multiple sclerosis, with special attention to the cervical enlargement. It was found that (1) lesions in the cervical cord are about twice as common as at lower levels, (2) in this region there is a striking preponderance of fan-shaped lesions in the lateral columns. It is argued that both these findings are explicable on the theory that mechanical stresses play a part in determining the site of lesions; that such stresses are commonly transmitted to the cord via the denticulate ligaments during flexion of the spine; and that many of the lesions are attributable to vascular leakages due to tension in the denticulate ligaments. It is concluded that in patients with multiple sclerosis, neck flexion is dangerous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earlier 1957 </w:t>
      </w:r>
      <w:r>
        <w:rPr>
          <w:rFonts w:ascii="arial" w:eastAsia="arial" w:hAnsi="arial" w:cs="arial"/>
          <w:b/>
          <w:i/>
          <w:color w:val="000000"/>
          <w:sz w:val="20"/>
          <w:lang w:val="en-US" w:eastAsia="en-US" w:bidi="ar-SA"/>
        </w:rPr>
        <w:t>Brain and Wilkinson Study</w:t>
      </w:r>
      <w:r>
        <w:rPr>
          <w:rFonts w:ascii="arial" w:eastAsia="arial" w:hAnsi="arial" w:cs="arial"/>
          <w:color w:val="000000"/>
          <w:sz w:val="20"/>
          <w:lang w:val="en-US" w:eastAsia="en-US" w:bidi="ar-SA"/>
        </w:rPr>
        <w:t xml:space="preserve"> linked cervical spondylosis to exacerbation of MS lesions thus at p. 477: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Cervical spondylosis is predominantly a disorder of the second half of life in which disseminated sclerosis tends to run a less acute and remittent and more steadily and slowly progressive course. The myelopathy caused by cervical spondylosis tends also to be insidious in its onset and, in the absence of trauma, slowly progressive. In 5 of our series of cases trauma in the neck appears to have either precipitated the first symptoms of, or substantially exacerbated, the disseminated sclerosis and the co-existence of the two disorders has tended to bring about a deterioration more rapid than would have been expected, had either been present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did not support a direct link between cervical spondylosis and the exacerbation of MS lesions, noting that as the cervical cord was most likely to contain plaques, with or without spondylosis, the conjunction of the two conditions was likely to be coincidental rather than causal, particularly in view of his observation that the lesions did not appear to relate to points of direct impression caused by spondylosis. Oppenheimer hypothesized at p. 161 that if spondylosis plays a role in lesion formation "it is probably not by direct compression, but ... by the tethering effect on the dura of fibrous adhesions between it and the posterior longitudinal ligament."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was confirmed by the later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in which MRI's were used to detect lesions in the brain and spinal cord of 88 patients, finding more frequent abnormalities in the cervical cord than the thoracic or lumbar. The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concluded as follows at p. 2636: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Spinal cord demyelination may develop at sites of cord compression (for example, with cervical spondylosis). However, although the present study revealed that both MS lesions and degenerative changes occurred with higher frequencies in the midcervical region, the cord lesions were usually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at the actual level of compression. Furthermore, there was no excess of disk protrusion or osteophyte formation in the MS patients compared with healthy controls. These data suggest the lack of a direct causal relationship between the degenerative changes and the site of MS lesions but would be consistent with the hypothesis that the distribution of both is influenced by a common factor such as a mechanical effect, since the midcervical cord is particularly mobile.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point of distinction between the plaintiff and the defendants with respect to these studies is not whether something having a "mechanical effect" is postulated by the studies, it is whether drawing a link between trauma and MS exacerbation on a basis of that postulate is more than speculation. In his evidence, Dr. Ebers pointed out that although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revealed more lesions in the (more mobile) cervical cord than in the lumbar or thoracic area, the study did not correct for the difference in size of the various sections of the spinal cord. He also noted that of the 18 cases studied by Oppenheimer, only 3 had spondylosis, a very small number. He pointed out that the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further detracted from the correlation between spondylosis and MS lesion development "because spondylosis is no more common [in MS sufferers] than it is in healthy controls and the lesions are not at the site of the spondylosis."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Ebers did not find the evidence of the association of lesions to spinal cord compression "very convincing".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excessive lesions in this portion of the spinal cord. It's not clear why that is. There are several other places where MS tends to hit: The optic nerve, for example, the periventricular region, the medial longitudinal fasciculus in the brain stem. None of those are well explained. They're presumably due to some anatomical idiosyncrasy that characterizes the distribution of fibres in the nervous system, perhaps. I mean I just don't know what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my view, the postulation of a "mechanical effect" emerging from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while suggestive of the possibility that some cause such as trauma may be implicated, goes no further than that. The original theory emerging from the </w:t>
      </w:r>
      <w:r>
        <w:rPr>
          <w:rFonts w:ascii="arial" w:eastAsia="arial" w:hAnsi="arial" w:cs="arial"/>
          <w:b/>
          <w:i/>
          <w:color w:val="000000"/>
          <w:sz w:val="20"/>
          <w:lang w:val="en-US" w:eastAsia="en-US" w:bidi="ar-SA"/>
        </w:rPr>
        <w:t>Brain and Wilkinson Study</w:t>
      </w:r>
      <w:r>
        <w:rPr>
          <w:rFonts w:ascii="arial" w:eastAsia="arial" w:hAnsi="arial" w:cs="arial"/>
          <w:color w:val="000000"/>
          <w:sz w:val="20"/>
          <w:lang w:val="en-US" w:eastAsia="en-US" w:bidi="ar-SA"/>
        </w:rPr>
        <w:t xml:space="preserve"> suggesting a link between spondylosis and MS lesions has been contradicted by both Oppenheimer (1978) and Kidd. What is left is an uncertain correlation where an area of the spine amenable to mechanical stress through compression is also amenable to the formation of MS lesions. The </w:t>
      </w:r>
      <w:r>
        <w:rPr>
          <w:rFonts w:ascii="arial" w:eastAsia="arial" w:hAnsi="arial" w:cs="arial"/>
          <w:b/>
          <w:i/>
          <w:color w:val="000000"/>
          <w:sz w:val="20"/>
          <w:lang w:val="en-US" w:eastAsia="en-US" w:bidi="ar-SA"/>
        </w:rPr>
        <w:t>Oppenheimer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cannot be dismissed as irrelevant, but neither can they be viewed as anything more than a basis for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Studies Related to the Disruption of the BBB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 area of significant contention between the parties was whether studies on animals subjected to trauma said to result in an animal form of MS, experimental allergic encephalomyelitis (EAE), at the site of the injury, and BBB disruption, had some probative value on the issue of a causal link between mild head injury and MS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Ebers, for the defendants, described EAE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EAE is an acronym for experimental allergic encephalomyelitis. It's an animal model which has been extensively studied to inform us about MS and it's ... produced in some strains of mice, rats and guinea pigs by injecting some ground-up central nervous system material as well as a number of other things which stimulate the immune system, and it generates a disease in 10 to 14 days that's characterized by weakness and pathologically by inflammation in the brain and spinal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submitted at para. 231 of their written submissions on the admissibility of expert evidence that the animal studies involved "very direct and invasive trauma to the brain tissue of the subject animals". The defendants further submitted that although the extent of the injury required to break down the BBB is not precisely known, it is likely to be very substantial. The defendants' experts also relied on studies tending to show that EAE lesions preferred sites where the BBB was intact, rather than disrupted. In particular, Dr. Goodin cited a study, Knobler, R.L., et al., "Distribution of the Blood-Brain Barrier in Heterotropic Brain Transplants and its Relationship to the lesions of EAE" (1992) J. Neuropath. Exp. Neurol. 51: 36-39, at p. 3 of his report dated March 11, 2005, for the proposition that in some circumstances, inflammatory lesions in EAE "have been demonstrated to occur selectively in regions where the BBB is intact, rather than in other locations where the BBB is disrupted".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Dr. Goodin cited another study, Hofstetter, H.H., et al., "Autoreactive Tcells promote post-traumatic healing in the central nervous system" (2003) Journal of Neuroimmunology 134: 25-34, which provided evidence that the development of EAE was not related to traumatic injury disrupting the BBB, but rather was related to the opening of the BBB by the injection of "molecules of microbial origin such as pertussis toxin" (p. 25). Dr. Goodin acknowledged that as the studies related to animals, they "may or may not relate to the human condition". It was his opinion that the studies were inconsistent with the theory proposed by Dr. Poser, which was advanced in </w:t>
      </w:r>
      <w:r>
        <w:rPr>
          <w:rFonts w:ascii="arial" w:eastAsia="arial" w:hAnsi="arial" w:cs="arial"/>
          <w:b/>
          <w:i/>
          <w:color w:val="000000"/>
          <w:sz w:val="20"/>
          <w:lang w:val="en-US" w:eastAsia="en-US" w:bidi="ar-SA"/>
        </w:rPr>
        <w:t>Poser 1994</w:t>
      </w:r>
      <w:r>
        <w:rPr>
          <w:rFonts w:ascii="arial" w:eastAsia="arial" w:hAnsi="arial" w:cs="arial"/>
          <w:color w:val="000000"/>
          <w:sz w:val="20"/>
          <w:lang w:val="en-US" w:eastAsia="en-US" w:bidi="ar-SA"/>
        </w:rPr>
        <w:t xml:space="preserve"> at p. 104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 fact that experimental allergic encephalomyelitis (EAE) is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an acceptable model for MS, it does share with the latter the fact that an alteration of the BBB is a necessary step in its pathogenesis. The role of an injury to the BBB as a facilitator was dramatically shown by Clark and Bogdanove, who demonstrated that the usually disseminated lesions of EAE could be directed to, and concentrated in, an area of the brain where the BBB had been altered by previous injury'. Levine and Hoenig reported similar observations.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further area of contention between Dr. Poser and the defendants' experts arose from the plaintiff's reliance on the former's article: Poser C.M., "Trauma to the Central Nervous System May Result in Formation or Enlargement of Multiple Sclerosis Plaques" (2000) Arch Neurol. 57: 1074-1077. In that article, Dr. Poser wrote, as follows at p. 1074: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many years, trivial head injuries such as concussion were considered to result only in physiological disruption of neural function without anatomical changes. However, Ommaya et al, Nevin, Oppenheimer, and Hardman pointed out that both spontaneous and experimental concussive CNS injury can cause diffuse microscopic lesions of blood vessel walls that often escape notice, on superficial examination of the brain.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experts challenged Dr. Poser's assertion that "trivial head injuries" could "cause diffuse microscopic lesions of blood vessel walls" on the basis that the studies he relied on were not dealing with trivial head injuries and said nothing about microscopic lesions of blood vessel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Ebers pointed out in his evidence that the Ommaya article - Ommaya, A.K., et al., "Experimental Concussion: A First Report", (1964) J. Neurosurg. 21: 249-265, dealt with head injuries causing concussion and "other sequalae". He testified that the Nevin article - Nevin, N.C., "Neuropathological Changes in the White Matter Following Head Injury" (1967), J. Neuropathol. Exp. Neurol. 26: 77-84 dealt with a high degree of trauma. Of the 52 subjects autopsied, 22 had a fractured skull and 30 had contusions of the brain. It was Dr. Ebers' opinion that none of the injuries could be regarded as trivial.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Oppenheimer, D.R., "Microscopic lesions in the brain following head injury" (1968) J. Neurol. Neurosurg. Psychiat. 31: 299-306, the autopsied subjects were described as follows at p. 301: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the brains examined were from clinically severe cases, dying from the effects of cerebral injury, often combined with cerebral anoxia from chest troubles. It is worth noting, however, that in five of the cases in which microglial clusters were observed the cerebral injury was clinically trivial, consisting of concussion', lasting only a few minutes. The cause of death in these was usually fat embolism or pneumonia. A brief account of one such case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summary, Oppenheimer wrote as follows at p. 306: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a head injury, diffuse microscopic lesions can be seen in a high proportion of human brains. These consist of (a) capillary haemorrhages and (b) severing of nerve fibres without haemorrhage. There is a local microglial reaction, which can be demonstrated with survival times of less than 24 hours after the injury. This reaction is readily seen with the lowest power of the microscope, in frozen sections stained with a simple silver technique. The lesions are still visible many months after injury, and appear to be identical with those described by Strich (1956) in cases with long survival. They are believed to be mechanical in origin, and can be attributed to (1) surface shearing and contusion; (2) stretching and tearing of small blood vessels; (3) stretching and tearing of groups of nerve fibres; (4) tearing of nerve fibres by a crossing vessel. They are seen, not only after severe trauma, but also in cases of 'concussion'. Detailed studies of their sites and distribution could throw light on the mechanics of acceleration injuries of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contend that the studies are of limited probative value and Dr. Poser's reliance on them is misplaced because they do not deal with mild head trauma, nor do they mention breaches of the BBB.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view, neither the animal studies nor the autopsy studies advance the theory underlying the plaintiff's position in any meaningful way. Regarding the animal studies, EAE is an imperfect analogy for MS and there are studies that cast doubt as to the role, if any, the breakdown of the BBB has in the development of EAE. As to the autopsies, it is simply not clear what degree of trauma is necessary to provoke a disruption of the BBB, and of course, trauma induced breach of the BBB is fundamentally at issue as a cause of MS exacerbation. While the studies relied on by the plaintiff relating to the disruption of the BBB may be a piece of the puzzle regarding the onset and exacerbation of MS symptoms, their significance, if any, in the overall picture yet to be drawn is simply not determinable on the present state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The </w:t>
            </w:r>
            <w:r>
              <w:rPr>
                <w:rFonts w:ascii="arial" w:eastAsia="arial" w:hAnsi="arial" w:cs="arial"/>
                <w:b/>
                <w:i/>
                <w:color w:val="000000"/>
                <w:sz w:val="18"/>
                <w:lang w:val="en-US" w:eastAsia="en-US" w:bidi="ar-SA"/>
              </w:rPr>
              <w:t>Gonsette Stud</w:t>
            </w:r>
            <w:r>
              <w:rPr>
                <w:rFonts w:ascii="arial" w:eastAsia="arial" w:hAnsi="arial" w:cs="arial"/>
                <w:b/>
                <w:color w:val="000000"/>
                <w:sz w:val="18"/>
                <w:lang w:val="en-US" w:eastAsia="en-US" w:bidi="ar-SA"/>
              </w:rPr>
              <w: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reasons for ruling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 summarized the </w:t>
      </w:r>
      <w:r>
        <w:rPr>
          <w:rFonts w:ascii="arial" w:eastAsia="arial" w:hAnsi="arial" w:cs="arial"/>
          <w:b/>
          <w:i/>
          <w:color w:val="000000"/>
          <w:sz w:val="20"/>
          <w:lang w:val="en-US" w:eastAsia="en-US" w:bidi="ar-SA"/>
        </w:rPr>
        <w:t>Gonsette Study</w:t>
      </w:r>
      <w:r>
        <w:rPr>
          <w:rFonts w:ascii="arial" w:eastAsia="arial" w:hAnsi="arial" w:cs="arial"/>
          <w:color w:val="000000"/>
          <w:sz w:val="20"/>
          <w:lang w:val="en-US" w:eastAsia="en-US" w:bidi="ar-SA"/>
        </w:rPr>
        <w:t xml:space="preserve"> and the parties' respective submissions in relation to it thus at paras. 157-59: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Richard Gonsette, a Belgian Neurosurgeon, published a monograph (written in French) regarding the results of two thalamotomies performed on MS patients. A thalamotomie is a medical procedure in which a trocar, a knitting needle shaped instrument, is inserted through a hole in the skull into the brain to destroy part of the brain to relieve against uncontrollable cerebral tremors.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Dr. Poser, one of the patients died within a few days of the operation and the other within three weeks. Subsequent autopsies revealed "expression of demyelinating disease at certain levels along the path of the trocar." Dr. Poser testified that according to the Gonsette monograph the demyelination along the trocar's path was fresh, because the acute destruction of myelin produces fatty material which is eventually eaten by microphages, but the fatty material was visible as of the autopsy. The original paper by Dr. Gonsette was written in 1966. A subsequent monograph was written in 1972. Dr. Poser relied on the Gonsette monograph as establishing a link between physical trauma and lesion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experts challenged the worth of the Gonsette study on several bases. Dr. Ebers (who is fluent in French) pointed out that the original 1966 paper gave no indication of the freshness of the lesions. He also testified that naturally occurring lesions tend to be symmetrical on each side of the brain and no investigation was done to compare the area at issue with the other side of the brain. In other words, finding symmetry would support the defendants' contention that the lesions pre-existed the thalamotomie. He also testified that there was no basis for Dr. Poser to assert the lesions were fresh and pointed out that the autopsies, and presumably the patient's deaths, occurred months after the thalamotomies, not within days or weeks. He noted that the plaques could relate to the clinical problems for which the procedures were being carried out. Dr. Ebers cited other studies that failed to replicate the Gonsette results, and noted that following biopsies MS sufferers do not appear to have an exacerbation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my view, the inference of cause and effect from the insertion of a trocar into the brain and the subsequent discovery by autopsy of lesions along its pathway is very tenuous due to the presence of other reasonable explanations for the apparent correlation and the absence of corroboration from other studies or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Moreover, Dr. Poser's evidence on the </w:t>
      </w:r>
      <w:r>
        <w:rPr>
          <w:rFonts w:ascii="arial" w:eastAsia="arial" w:hAnsi="arial" w:cs="arial"/>
          <w:b/>
          <w:i/>
          <w:color w:val="000000"/>
          <w:sz w:val="20"/>
          <w:lang w:val="en-US" w:eastAsia="en-US" w:bidi="ar-SA"/>
        </w:rPr>
        <w:t>Gonsette Study</w:t>
      </w:r>
      <w:r>
        <w:rPr>
          <w:rFonts w:ascii="arial" w:eastAsia="arial" w:hAnsi="arial" w:cs="arial"/>
          <w:color w:val="000000"/>
          <w:sz w:val="20"/>
          <w:lang w:val="en-US" w:eastAsia="en-US" w:bidi="ar-SA"/>
        </w:rPr>
        <w:t xml:space="preserve">was unsatisfactory and contradictory. In his evidence in chief, he testified that the two patients involved in the </w:t>
      </w:r>
      <w:r>
        <w:rPr>
          <w:rFonts w:ascii="arial" w:eastAsia="arial" w:hAnsi="arial" w:cs="arial"/>
          <w:b/>
          <w:i/>
          <w:color w:val="000000"/>
          <w:sz w:val="20"/>
          <w:lang w:val="en-US" w:eastAsia="en-US" w:bidi="ar-SA"/>
        </w:rPr>
        <w:t>Gonsette Study</w:t>
      </w:r>
      <w:r>
        <w:rPr>
          <w:rFonts w:ascii="arial" w:eastAsia="arial" w:hAnsi="arial" w:cs="arial"/>
          <w:color w:val="000000"/>
          <w:sz w:val="20"/>
          <w:lang w:val="en-US" w:eastAsia="en-US" w:bidi="ar-SA"/>
        </w:rPr>
        <w:t xml:space="preserve"> died "within a matter of a few days and ... three weeks after the surgery" respectively. In cross-examination he agreed that in an earlier trial in Australia (Edman, October 1, 2003) he testified that the autopsies were conducted more than a year after the surgery. Later in cross-examination he testified that he re-read the study and the patients died two months and seventeen months after the surgery,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Dr. Poser also testified that he based his conclusions that the lesions were fresh on Gonsette's reference to the presence of fat filled macrophages, which to be considered fresh would have to appear within six to eight months of the formation of the lesions. If that were so, the presence of fat filled macrophages at the time of the autopsy, seventeen months post-thalamotomy, would appear discordant with cause and effect. As well, there is a question whether the presence of lesions only two months post-thalamotomy indicates that the lesions were present before the thalamotomy. The uncertainty of Dr. Poser's evidence, the lack of corroborating evidence, and the evidence of Dr. Ebers concerning the shortcomings of the </w:t>
      </w:r>
      <w:r>
        <w:rPr>
          <w:rFonts w:ascii="arial" w:eastAsia="arial" w:hAnsi="arial" w:cs="arial"/>
          <w:b/>
          <w:i/>
          <w:color w:val="000000"/>
          <w:sz w:val="20"/>
          <w:lang w:val="en-US" w:eastAsia="en-US" w:bidi="ar-SA"/>
        </w:rPr>
        <w:t>Gonsette Study</w:t>
      </w:r>
      <w:r>
        <w:rPr>
          <w:rFonts w:ascii="arial" w:eastAsia="arial" w:hAnsi="arial" w:cs="arial"/>
          <w:color w:val="000000"/>
          <w:sz w:val="20"/>
          <w:lang w:val="en-US" w:eastAsia="en-US" w:bidi="ar-SA"/>
        </w:rPr>
        <w:t xml:space="preserve"> substantially weaken its force as indirect evidence of the plaintiff's underlying theory. I would assign it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Epidemiological Studies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difficulty in finding determinative direct or indirect physical evidence addressing the issue of an association between trauma and MS onset or exacerbation has led to reliance upon epidemiological studies designed, through comparison of MS patients with "control" subjects or through following MS patients over a period of time to develop a statistical assessment of the proposed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opposition to the plaintiff's evidence, the defendants relied upon three epidemiological studies in particular,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both referenced in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(para. 46 of </w:t>
      </w:r>
      <w:r>
        <w:rPr>
          <w:rFonts w:ascii="arial" w:eastAsia="arial" w:hAnsi="arial" w:cs="arial"/>
          <w:b/>
          <w:i/>
          <w:color w:val="000000"/>
          <w:sz w:val="20"/>
          <w:lang w:val="en-US" w:eastAsia="en-US" w:bidi="ar-SA"/>
        </w:rPr>
        <w:t>Taylor v. Liong</w:t>
      </w:r>
      <w:r>
        <w:rPr>
          <w:rFonts w:ascii="arial" w:eastAsia="arial" w:hAnsi="arial" w:cs="arial"/>
          <w:color w:val="000000"/>
          <w:sz w:val="20"/>
          <w:lang w:val="en-US" w:eastAsia="en-US" w:bidi="ar-SA"/>
        </w:rPr>
        <w:t xml:space="preserve"> (2007); para. 44 above) and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Taylor v. Liong</w:t>
      </w:r>
      <w:r>
        <w:rPr>
          <w:rFonts w:ascii="arial" w:eastAsia="arial" w:hAnsi="arial" w:cs="arial"/>
          <w:color w:val="000000"/>
          <w:sz w:val="20"/>
          <w:lang w:val="en-US" w:eastAsia="en-US" w:bidi="ar-SA"/>
        </w:rPr>
        <w:t xml:space="preserve"> (2007), I summarized those three studies as follows in paras. 166-174: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was a prospective study, that is a study which follows a targeted group to identify what occurs, rather than a retrospective study which after identifying the target group takes a history from them. Prospective studies are regarded as more valuable than retrospective ones because the latter relies on the memories of the subjects which may be selective and subject to a recall bias, being more prone to recalling trauma if it preceded an exacerbation, for example, than if it did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was conducted through the MS clinic at the University of Arizona. It tracked 170 MS patients and 134 age and sex matched controls over a period of 8 years. Because of drop outs from the study, the average length of time the patients were followed was 5.2 years. The purpose of the study was to attempt to identify environmental factors which may be risk factors with MS onset or exacerbation.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method of collecting the data involved patients and controls each completing a questionnaire every 30 days to record a broad range of occurrences in the previous month. If the questionnaire was not completed, a nurse would follow up by telephone interview. Each MS patient had a neurological examination every three months and each patient was examined if they experienced what may have been an exacerbation. In relation to trauma, the three month and six month periods after trauma were regarded as "at risk" for the purpose of the study. The study found "no significant correlation between all traumas and disease activity." The study also found in 95 patients a negative correlation between traumatic episodes and exacerbations, "due to less activity of the disease during a three month period following surgical procedures and fractures."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Siva Study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was based on records from the Mayo Clinic which served the population of Olmstead County in New York (which had a population of approximately 100,000 in 1990).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identified 225 cases of MS from 1905 to 1991 (known as the incidents cohort). The study identified 164 cases involving patients alive as of December 1991 as the prevalence cohort. It also followed a sub-cohort of 819 head injury cases between 1935 and 1984 (known as the head injury cohort).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study looked at "mechanical trauma" defined as "head and spinal trauma, fractures of the long or small bones of the extremities, and other skeletal fractures." Head trauma meant "evidence of skull fracture, loss of consciousness, focal neurologic signs or post traumatic amnesia." Spinal trauma was trauma to the spine resulting in "compression of vertebrae body or other fractures."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Among the prevalence cohort, 39 out of 164 experienced mechanical trauma. In the result, the study reported no significant difference for the number of exacerbations following the trauma as to the six months preceding the episode of trauma. Of the 819 in the head injury cohort, only two individuals ended up developing MS. One had the first clinical onset three years after the injury, the other 21 years later.</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Goldacre Study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which was published in 2006, was another records linkage study. It was a study conducted at Oxford University and used data from the Oxford National Health Service Region Hospitals during a period from January 1, 1963, to March 31, 1999. A cohort of 110,993 individuals admitted to a hospital with head injuries was identified and a reference cohort of 534,600 patients not admitted for head trauma was established for comparative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study reported that the observed number of MS cases in the head injury cohort at 6 month and 11 month periods following injury were slightly under the expected number based on the MS cases identified in the reference cohort. The study also noted that when the head injury cohort was broken down based on severity of the injury, there was no significant difference in the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abstract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reads in part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Background: The possibility that head injury may influence the development of multiple sclerosis (MS) has been studied inconclusively in the past.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Objective: To determine whether head injury is associated with an increased risk of 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Method: Analysis of data base of linked hospital and death records comparing the occurrence of MS in a cohort of people admitted to hospital with head injury and a reference cohort.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Results: The rate ratio for MS after head injury, compared with the reference cohort, was 1.1 (95% confidence interval, 0.88 to 1.36). There was no significant increase in the risk of MS at either short or long time periods after head injury. Using length of hospital stay as a proxy for severity of injury, there was no significant increase in the rate ratio for MS after head injuries with hospital stays of less than two days (rate ratio = 1.1 (0.71 to 1.57)), two or more days (rate ratio = 1.0 (0.68 to 1.45)), or seven or more days (rate ratio = 1.3 (0.64 to 2.34)).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Conclusions: The method used, record linkage, ensures that patients' recollection of injury, or any tendency to attribute MS to injury, cannot have influenced the results. Injuries to the head were not associated with either the aetiological initiation or the clinical precipitation of onset of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defendants contend that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provide no positive evidence of a causal connection between trauma and MS exacerbation. They rely on evidence that none of the three studies provide evidence of an association between trauma and subsequent MS exacerbation that has any statistical significance supportive of the plaintiff's experts' theory. The defendants assert that because trauma is a relatively frequent occurrence in the general population the probability of a coincidental association is high and the significance of a temporal relationship is therefore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that regard the defendants relied on a study of the US Department of Human and Health Services titled "Types of injuries and impairments due to injuries" (1986) National Health Survey, Series 10; (PHS) 159: 8-26 which was relied on by Dr. Goodin in his March 11, 2005 report. Dr. Goodin reported, at p. 2, based on that study, that "the annual incidence of injuries (of all types) in the United States has been estimated to be 33.2 injuries/100 persons/year; a figure that almost certainly underestimates the true incidence of minor traumatic injuries"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position of the plaintiff is that epidemiological studies can neither prove nor disprove a relationship between trauma and MS, and that while the studies in question do not detect such a relationship, they are impaired by methodological flaws and a lack of statistical power sufficient to illuminate the very small proportion of trauma induced exacerbation as posited. The plaintiff relied on evidence from Dr. Ebers that the prevalence rate of MS (the overall number of MS sufferers in a given population) is about 1 in 1,000 and the incidence rate (the number of new cases in a given year) is 5.7 per 100,000. The plaintiff submitted that given those numbers and the associated percentage of MS exacerbations due to trauma as being less than 5%, to be meaningful an epidemiological study would have to incorporate an unmanageably large number of patients and/or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pointed out that in relatively small epidemiological studies, missing even a single case of a temporal relationship between trauma and MS could be quite significant statistically. The plaintiff submitted at para. 135 of the written submissions on admissibility of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Absence of evidence is not evidence of absence. More specifically, the inability to detect certain conditions (lacking sufficiently powerful tools to do so) does not amount to showing that those conditions do not exist. Nor does the fact that the proposed effect cannot be proved or disproved make the theory unscientific.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Insofar as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is concerned, there was evidence that Dr. Sibley excluded symptoms that did not persist for at least 48 hours in the face of the then current view that 24 hours was sufficient. The plaintiff submitted this increased the possibility of omitting true exacerbations to guard against the risk of false positives.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plaintiff submitted at para. 167 of the written submissions that given the methodology of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"[t]he study was only as accurate as the patients that [who] participated in it" and could be affected by "poor reporting practices" or a failure on the patient's part to recognize a true exacerbation. The plaintiff asserted that questionnaires were a less effective way of identifying significant events than taking a history and that patients with memory problems were not screened out of the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With regard to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the plaintiff submitted that the most serious shortcoming was that it was severely limited in power, based on only 819 patients with head injury and 39 of 164 in the prevalence cohort, none of whom had serious head injury. The plaintiff further submitted that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did not examine the effect of spinal injuries on MS exacerbation which would reduce its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plaintiff further submitted, at para. 183 of the written submissions, that methodological problems beset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in that it relied on information from medical records of all types of physicians, not just neurologists, relied on records back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went back and </w:t>
      </w:r>
      <w:r>
        <w:rPr>
          <w:rFonts w:ascii="arial" w:eastAsia="arial" w:hAnsi="arial" w:cs="arial"/>
          <w:color w:val="000000"/>
          <w:sz w:val="20"/>
          <w:u w:val="single"/>
          <w:lang w:val="en-US" w:eastAsia="en-US" w:bidi="ar-SA"/>
        </w:rPr>
        <w:t>reach</w:t>
      </w:r>
      <w:r>
        <w:rPr>
          <w:rFonts w:ascii="arial" w:eastAsia="arial" w:hAnsi="arial" w:cs="arial"/>
          <w:color w:val="000000"/>
          <w:sz w:val="20"/>
          <w:lang w:val="en-US" w:eastAsia="en-US" w:bidi="ar-SA"/>
        </w:rPr>
        <w:t xml:space="preserve"> back in time to periods when "[t]he criteria used to diagnose MS was imprecise". The plaintiff also repeated criticism of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relating to the underreporting of symptoms and the preponderance of undetected lesions. Neither mild concussions nor whiplash injuries were included in the study which, the plaintiff submitted, may not properly define the "at risk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 while acknowledging the large sample size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submitted that nonetheless it was not of sufficient magnitude to determine the issue of a causal link between trauma and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plaintiff questioned whether the use of a minimum six month post-trauma window for development of an exacerbation might "mask" a greater than expected incidence of exacerbation within the initial 3.5 months, which was Dr. Poser's temporal criterion for a causal link. The plaintiff also noted that the collected data for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relied on the first admission to hospital for MS rather than on the first symptoms, and since often diagnosis and hospitalization is delayed by up to four years, it is not possible to conclude with certainty from the study anything definitive about the relationship between trauma and MS onset or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 at para. 201 of the written submissions, also criticised the methodology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in that it was based on "brief statistical abstracts" of hospital records and thus drew "no systematic differentiation between mild and serious head injuries". The plaintiff further submitted that there was evidence that MS would be under reported on death certificates as it is rarely a direct cause of a death. Accordingly, the plaintiff contended, the records may be skewed. (While that may be so, presumably they were similarly skewed for both cohorts).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Finally, the plaintiff submitted that based on the evidence of Dr. Ebers, the reliability of the data in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may be undermined by those head injured patients who "would never seek treatment for their injuries" (para. 203) or who would not be hospitalized.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that the epidemiological studies are neither methodologically flawless nor dispositive of the issue. In my view, however, they cast considerable doubt on the proposition being advanced by the plaintiff, simply because even on the plaintiff's view, they buttress the conclusion that temporal associations between trauma and MS exacerbation are highly anomalous. That being so, logically the relationship lies much more comfortably in the realm of coincidence than it does in the realm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RELATING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Major J., speaking for the court, reviewed the general principles respecting causation in paras. 13-16 of his judgment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114"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xml:space="preserve">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Sopinka J., in addressing the question of proof of causation not susceptible to "be determined by scientific precision", wrote at pp. 328-31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of the opinion that the dissatisfaction with the traditional approach to causation stems to a large extent from its too rigid application by the courts in many cases. Causation need not be determined by scientific precision. It is, as stated by Lord Salmon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xml:space="preserve"> [1972] 2 All E.R. 475, at 490: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essentially a practical question of fact which can best be answered by ordinary common sense rather than abstract metaphysical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as I observed earlier, the allocation of the burden of proof is not immutable. Both the burden and the standard of proof are flexible concepts. In </w:t>
      </w:r>
      <w:r>
        <w:rPr>
          <w:rFonts w:ascii="arial" w:eastAsia="arial" w:hAnsi="arial" w:cs="arial"/>
          <w:i/>
          <w:color w:val="000000"/>
          <w:sz w:val="20"/>
          <w:lang w:val="en-US" w:eastAsia="en-US" w:bidi="ar-SA"/>
        </w:rPr>
        <w:t>Blatch v. Archer</w:t>
      </w:r>
      <w:r>
        <w:rPr>
          <w:rFonts w:ascii="arial" w:eastAsia="arial" w:hAnsi="arial" w:cs="arial"/>
          <w:color w:val="000000"/>
          <w:sz w:val="20"/>
          <w:lang w:val="en-US" w:eastAsia="en-US" w:bidi="ar-SA"/>
        </w:rPr>
        <w:t xml:space="preserve"> (1774), 1 Cowp. 63, 98 E.R. 969, Lord Mansfield stated at p. 970: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certainly a maxim that all evidence is to be weighed according to the proof which it was in the power of one side to have produced, and in the power of the other to have contradicted.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many malpractice cases, the facts lie particularly within the knowledge of the defendant. In these circumstances, very little affirmative evidence on the part of the plaintiff will justify the drawing of an inference of causation in the absence of evidence to the contrary. This has been expressed in terms of shifting the burden of proof. In </w:t>
      </w:r>
      <w:r>
        <w:rPr>
          <w:rFonts w:ascii="arial" w:eastAsia="arial" w:hAnsi="arial" w:cs="arial"/>
          <w:i/>
          <w:color w:val="000000"/>
          <w:sz w:val="20"/>
          <w:lang w:val="en-US" w:eastAsia="en-US" w:bidi="ar-SA"/>
        </w:rPr>
        <w:t>Cummings v. City of Vancouver</w:t>
      </w:r>
      <w:r>
        <w:rPr>
          <w:rFonts w:ascii="arial" w:eastAsia="arial" w:hAnsi="arial" w:cs="arial"/>
          <w:color w:val="000000"/>
          <w:sz w:val="20"/>
          <w:lang w:val="en-US" w:eastAsia="en-US" w:bidi="ar-SA"/>
        </w:rPr>
        <w:t xml:space="preserve"> (1911), 1 W.W.R. 31 (B.C.C.A.), Irving J.A. stated at p.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Stephens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in his Digest (Evidence Act, 1896) says: "In considering the amount of evidence necessary to shift the burden of proof, the Court has regard to the opportunities of knowledge with respect to the fact to be proved, which may be possessed by the parties respectively."</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Hollis v. Young</w:t>
      </w:r>
      <w:r>
        <w:rPr>
          <w:rFonts w:ascii="arial" w:eastAsia="arial" w:hAnsi="arial" w:cs="arial"/>
          <w:color w:val="000000"/>
          <w:sz w:val="20"/>
          <w:lang w:val="en-US" w:eastAsia="en-US" w:bidi="ar-SA"/>
        </w:rPr>
        <w:t xml:space="preserve"> (1909) 1 K.B., 629, illustrates the rule that very little affirmative evidence will be sufficient where the facts lie almost entirely within the knowledge of the other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Dunlop Holdings Ltd.'s Application</w:t>
      </w:r>
      <w:r>
        <w:rPr>
          <w:rFonts w:ascii="arial" w:eastAsia="arial" w:hAnsi="arial" w:cs="arial"/>
          <w:color w:val="000000"/>
          <w:sz w:val="20"/>
          <w:lang w:val="en-US" w:eastAsia="en-US" w:bidi="ar-SA"/>
        </w:rPr>
        <w:t>, [1979] R.P.C. 523 (C.A.), Buckley L.J. affirmed this principle in the following terms at p. 544: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relevant facts are peculiarly within the knowledge of one party, it is perhaps relevant to have in mind the rule as stated in Stephen's Digest, which is cited at page 86 of Cross on Evidence [3rd 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considering the amount of evidence necessary to shift the burden of proof, the court has regard to the opportunities of knowledge with respect to the facts to be proved which may be possessed by the parties respectively."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does not mean", Sir Rupert continues, "</w:t>
      </w:r>
      <w:r>
        <w:rPr>
          <w:rFonts w:ascii="arial" w:eastAsia="arial" w:hAnsi="arial" w:cs="arial"/>
          <w:color w:val="000000"/>
          <w:sz w:val="20"/>
          <w:u w:val="single"/>
          <w:lang w:val="en-US" w:eastAsia="en-US" w:bidi="ar-SA"/>
        </w:rPr>
        <w:t>that the peculiar means of knowledge of one of the parties relieves the other of the burden of adducing some evidence with regard to the facts in question, although very slight evidence will often suffice</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Diamond v. British Columbia Thoroughbred Breeders' Society</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(1965), 52 D.L.R. (2d) 146</w:t>
        </w:r>
      </w:hyperlink>
      <w:r>
        <w:rPr>
          <w:rFonts w:ascii="arial" w:eastAsia="arial" w:hAnsi="arial" w:cs="arial"/>
          <w:color w:val="000000"/>
          <w:sz w:val="20"/>
          <w:lang w:val="en-US" w:eastAsia="en-US" w:bidi="ar-SA"/>
        </w:rPr>
        <w:t xml:space="preserve"> (B.C.S.C.), at p. 158; </w:t>
      </w:r>
      <w:r>
        <w:rPr>
          <w:rFonts w:ascii="arial" w:eastAsia="arial" w:hAnsi="arial" w:cs="arial"/>
          <w:i/>
          <w:color w:val="000000"/>
          <w:sz w:val="20"/>
          <w:lang w:val="en-US" w:eastAsia="en-US" w:bidi="ar-SA"/>
        </w:rPr>
        <w:t>Pleet v. Canadian Northern Quebec R. Co.</w:t>
      </w:r>
      <w:r>
        <w:rPr>
          <w:rFonts w:ascii="arial" w:eastAsia="arial" w:hAnsi="arial" w:cs="arial"/>
          <w:color w:val="000000"/>
          <w:sz w:val="20"/>
          <w:lang w:val="en-US" w:eastAsia="en-US" w:bidi="ar-SA"/>
        </w:rPr>
        <w:t xml:space="preserve"> (1921), 64 D.L.R. 316 (Ont. S.C., App. Div.), at pp. 319-320; and </w:t>
      </w:r>
      <w:r>
        <w:rPr>
          <w:rFonts w:ascii="arial" w:eastAsia="arial" w:hAnsi="arial" w:cs="arial"/>
          <w:i/>
          <w:color w:val="000000"/>
          <w:sz w:val="20"/>
          <w:lang w:val="en-US" w:eastAsia="en-US" w:bidi="ar-SA"/>
        </w:rPr>
        <w:t>Guaranty Trust Co. of Canada v. Mall Medical Group,</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[1969] S.C.R. 541</w:t>
        </w:r>
      </w:hyperlink>
      <w:r>
        <w:rPr>
          <w:rFonts w:ascii="arial" w:eastAsia="arial" w:hAnsi="arial" w:cs="arial"/>
          <w:color w:val="000000"/>
          <w:sz w:val="20"/>
          <w:lang w:val="en-US" w:eastAsia="en-US" w:bidi="ar-SA"/>
        </w:rPr>
        <w:t xml:space="preserve"> at p. 545.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references speak of the shifting of the secondary or evidential burden of proof or the burden of adducing evidence. I find it preferable to explain the process without using the term secondary or evidential burden. It is not strictly accurate to speak of the burden shifting to the defendant when what is meant is that evidence adduced by the plaintiff may result in an inference being drawn adverse to the defendant. Whether an inference is or is not drawn is a matter of weighing evidence. The defendant runs the risk of an adverse inference in the absence of evidence to the contrary. This is sometimes referred to as imposing on the defendant a provisional or tactical burden. See Cross, op. cit., at p. 129. In my opinion, this is not a true burden of proof, and use of an additional label to describe what is an ordinary step in the fact-finding process is unwarranted.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or ultimate burden remains with the plaintiff, but in the absence of evidence to the contrary adduced by the defendant, an inference of causation may be drawn although positive or scientific proof of causation has not been adduced. If some evidence to the contrary is adduced by the defendant, the trial Judge is entitled to take account of Lord Mansfield's famous precept. This is, I believe, what Lord Bridge had in mind in </w:t>
      </w:r>
      <w:r>
        <w:rPr>
          <w:rFonts w:ascii="arial" w:eastAsia="arial" w:hAnsi="arial" w:cs="arial"/>
          <w:i/>
          <w:color w:val="000000"/>
          <w:sz w:val="20"/>
          <w:lang w:val="en-US" w:eastAsia="en-US" w:bidi="ar-SA"/>
        </w:rPr>
        <w:t>Wilsher</w:t>
      </w:r>
      <w:r>
        <w:rPr>
          <w:rFonts w:ascii="arial" w:eastAsia="arial" w:hAnsi="arial" w:cs="arial"/>
          <w:color w:val="000000"/>
          <w:sz w:val="20"/>
          <w:lang w:val="en-US" w:eastAsia="en-US" w:bidi="ar-SA"/>
        </w:rPr>
        <w:t xml:space="preserve"> when he referred to a "robust and pragmatic approach to the ... facts" (at p. 569).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therefore essential that the medical experts provide a firm opinion supporting the plaintiff's theory of causation. Medical experts ordinarily determine causation in terms of certainties whereas a lesser standard is demanded by the law. As pointed out in Louisell, </w:t>
      </w:r>
      <w:r>
        <w:rPr>
          <w:rFonts w:ascii="arial" w:eastAsia="arial" w:hAnsi="arial" w:cs="arial"/>
          <w:i/>
          <w:color w:val="000000"/>
          <w:sz w:val="20"/>
          <w:lang w:val="en-US" w:eastAsia="en-US" w:bidi="ar-SA"/>
        </w:rPr>
        <w:t>Medical Malpractice,</w:t>
      </w:r>
      <w:r>
        <w:rPr>
          <w:rFonts w:ascii="arial" w:eastAsia="arial" w:hAnsi="arial" w:cs="arial"/>
          <w:color w:val="000000"/>
          <w:sz w:val="20"/>
          <w:lang w:val="en-US" w:eastAsia="en-US" w:bidi="ar-SA"/>
        </w:rPr>
        <w:t xml:space="preserve"> vol. 3, the phrase "in your opinion with a reasonable degree of medical certainty," which is the standard form of question to a medical expert, is often misunderstood. The author explains, at p. 25-57,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Many doctors do not understand the phrase ... as they usually deal in "certainties" that are 100% sure, whereas "reasonable"certainties which the law requires need only be more probably so, i.e.,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Harvey, </w:t>
      </w:r>
      <w:r>
        <w:rPr>
          <w:rFonts w:ascii="arial" w:eastAsia="arial" w:hAnsi="arial" w:cs="arial"/>
          <w:i/>
          <w:color w:val="000000"/>
          <w:sz w:val="20"/>
          <w:lang w:val="en-US" w:eastAsia="en-US" w:bidi="ar-SA"/>
        </w:rPr>
        <w:t>Medical Malpractice</w:t>
      </w:r>
      <w:r>
        <w:rPr>
          <w:rFonts w:ascii="arial" w:eastAsia="arial" w:hAnsi="arial" w:cs="arial"/>
          <w:color w:val="000000"/>
          <w:sz w:val="20"/>
          <w:lang w:val="en-US" w:eastAsia="en-US" w:bidi="ar-SA"/>
        </w:rPr>
        <w:t xml:space="preserve"> (1973), the learned author states at p. 169: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Some courts have assumed an unrealistic posture in requiring that the medical expert state conclusively that a certain act caused a given result. Medical testimony does not lend itself to precise conclusions because medicine is not an exact 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Recently,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McLachlin C.J.C., for the Court, restated the basic test for determining causation in the context of distinguishing between the "material contribution" test and the "but for" test. In that case, she held as follows at paras. 20-25: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Counsel for the plaintiff does not contend that this is a case where the court is entitled to make an inference of causation in the absence of scientific proof. Rather, the plaintiff submitted that the court should not approach the question of causation rigidly, but with common sense following "a robust and pragmatic approach to the facts". Counsel for the plaintiff submitted the following in para. 85 of his written submissions on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the Court is entitled to take a pragmatic approach to causation even in the absence of supporting medical information. In other words the Court is entitled to consider the Plaintiff's previous health and the temporal connection with the Accident. If no alternative explanation was offered by the Defendants an inference of causation would have been likely, because there would have been no evidence to the contrary. Where, as here, the defence does adduce contrary information, the Court must consider whether it was in the Plaintiff's power to adduce more evidence of causation or whether more evidence contrary to causation could have been adduced by the Defendant. In doing so the Court ought to take a robust and pragmatic approach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issue before me in this case is somewhat similar to that which confronted Osler J. in </w:t>
      </w:r>
      <w:r>
        <w:rPr>
          <w:rFonts w:ascii="arial" w:eastAsia="arial" w:hAnsi="arial" w:cs="arial"/>
          <w:i/>
          <w:color w:val="000000"/>
          <w:sz w:val="20"/>
          <w:lang w:val="en-US" w:eastAsia="en-US" w:bidi="ar-SA"/>
        </w:rPr>
        <w:t>Rothwell v. Raeb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(1988), 66 O.R. (2d) 449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54 D.L.R. (4th) 193</w:t>
      </w:r>
      <w:r>
        <w:rPr>
          <w:rFonts w:ascii="arial" w:eastAsia="arial" w:hAnsi="arial" w:cs="arial"/>
          <w:color w:val="000000"/>
          <w:sz w:val="20"/>
          <w:lang w:val="en-US" w:eastAsia="en-US" w:bidi="ar-SA"/>
        </w:rPr>
        <w:t xml:space="preserve"> (H.C.J.), aff'd. </w:t>
      </w:r>
      <w:hyperlink r:id="rId918" w:history="1">
        <w:r>
          <w:rPr>
            <w:rFonts w:ascii="arial" w:eastAsia="arial" w:hAnsi="arial" w:cs="arial"/>
            <w:i/>
            <w:color w:val="0077CC"/>
            <w:sz w:val="20"/>
            <w:u w:val="single"/>
            <w:shd w:val="clear" w:color="auto" w:fill="FFFFFF"/>
            <w:lang w:val="en-US" w:eastAsia="en-US" w:bidi="ar-SA"/>
          </w:rPr>
          <w:t>2 O.R. (3d) 332</w:t>
        </w:r>
      </w:hyperlink>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76 D.L.R. (4th) 280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that case, Osler J. introduced the problem of causation at p. 457 of 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apparent that all three of the plaintiffs' actions depend for their success upon a finding that there was a causal relationship between the administration of DPTP vaccine and the severe brain damage or encephalopathy suffered by the minor plaintiff. If, on the balance of probabilities, it is found that the administration of DPTP can cause encephalopathy, or permanent, serious brain damage, the actions may succeed. If it is found, on a balance of probabilities, that such a causal relationship can exist, the plaintiffs have the burden of showing, again on the balance of probabilities, that it did exist with respect to Patrick. The issue of causation, or the etiology of Patrick's condition, occupied a major part of the trial. If it is more probable than not that there is no causal connection between the pertussis component and severe, permanent brain damage, the actions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concluding that the standard of proof was not met on the evidence before him, Osler J. held as follows at p. 506: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there are certainly major differences in fact and not all of the evidence was the same, Lord Justice Stuart-Smith, in </w:t>
      </w:r>
      <w:r>
        <w:rPr>
          <w:rFonts w:ascii="arial" w:eastAsia="arial" w:hAnsi="arial" w:cs="arial"/>
          <w:i/>
          <w:color w:val="000000"/>
          <w:sz w:val="20"/>
          <w:lang w:val="en-US" w:eastAsia="en-US" w:bidi="ar-SA"/>
        </w:rPr>
        <w:t>Loveday v. Wellcome, supra,</w:t>
      </w:r>
      <w:r>
        <w:rPr>
          <w:rFonts w:ascii="arial" w:eastAsia="arial" w:hAnsi="arial" w:cs="arial"/>
          <w:color w:val="000000"/>
          <w:sz w:val="20"/>
          <w:lang w:val="en-US" w:eastAsia="en-US" w:bidi="ar-SA"/>
        </w:rPr>
        <w:t xml:space="preserve"> had to decide the precise question of causation that is before me. In dealing with the question of proof and with reference to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[1988] 1 All. E.R. 871 (H.L.), he had this to say, at p. 16 of the unreported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judgment the decision [</w:t>
      </w:r>
      <w:r>
        <w:rPr>
          <w:rFonts w:ascii="arial" w:eastAsia="arial" w:hAnsi="arial" w:cs="arial"/>
          <w:i/>
          <w:color w:val="000000"/>
          <w:sz w:val="20"/>
          <w:lang w:val="en-US" w:eastAsia="en-US" w:bidi="ar-SA"/>
        </w:rPr>
        <w:t>Wilsher</w:t>
      </w:r>
      <w:r>
        <w:rPr>
          <w:rFonts w:ascii="arial" w:eastAsia="arial" w:hAnsi="arial" w:cs="arial"/>
          <w:color w:val="000000"/>
          <w:sz w:val="20"/>
          <w:lang w:val="en-US" w:eastAsia="en-US" w:bidi="ar-SA"/>
        </w:rPr>
        <w:t>] made it clear beyond doubt that the Court must decide as a question of fact whether the vaccine can cause permanent brain damage in young children and that the onus of doing so rests on the Plaintiff and the standard of proof is the balance of probability.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statement accords precisely with our law, as I view it: see, for example, </w:t>
      </w:r>
      <w:r>
        <w:rPr>
          <w:rFonts w:ascii="arial" w:eastAsia="arial" w:hAnsi="arial" w:cs="arial"/>
          <w:i/>
          <w:color w:val="000000"/>
          <w:sz w:val="20"/>
          <w:lang w:val="en-US" w:eastAsia="en-US" w:bidi="ar-SA"/>
        </w:rPr>
        <w:t>Buchan v. Ortho Pharmaceutical (Canada) Ltd.</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(1986), 54 O.R. (2d) 92</w:t>
        </w:r>
      </w:hyperlink>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25 D.L.R. (4th) 658</w:t>
        </w:r>
      </w:hyperlink>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32 B.L.R. 285</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Rogin v. Shannon</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(1986), 37 C.C.L.T. 181</w:t>
        </w:r>
      </w:hyperlink>
      <w:r>
        <w:rPr>
          <w:rFonts w:ascii="arial" w:eastAsia="arial" w:hAnsi="arial" w:cs="arial"/>
          <w:color w:val="000000"/>
          <w:sz w:val="20"/>
          <w:lang w:val="en-US" w:eastAsia="en-US" w:bidi="ar-SA"/>
        </w:rPr>
        <w:t xml:space="preserve"> (Ont. H.C.J.).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plaintiffs have not discharged the onus of showing that it is more likely than not that the pertussis component of the DPTP vaccine can cause serious permanent brain damage. The evidence persuades me that it cannot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a similar vein, the question before me of whether trauma, including mild head trauma or whiplash injury, can cause the exacerbation of MS symptoms, was the precise question before the court in </w:t>
      </w:r>
      <w:r>
        <w:rPr>
          <w:rFonts w:ascii="arial" w:eastAsia="arial" w:hAnsi="arial" w:cs="arial"/>
          <w:b/>
          <w:i/>
          <w:color w:val="000000"/>
          <w:sz w:val="20"/>
          <w:lang w:val="en-US" w:eastAsia="en-US" w:bidi="ar-SA"/>
        </w:rPr>
        <w:t>Dingley</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As did the Lord President and the House of Lords in that case, I conclude that the plaintiff has not proved on a balance of probabilities that such a causal connection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My conclusion is neither intended to nor capable of resolving any lingering scientific debate on the effect of trauma on MS. My reference to and reliance on the scientific evidence in this case, as I expressed in my ruling on admissibility, is necessary to understand whether the plaintiff's MS exacerbation could fall within the scope of the risk of injury to which the defendants' tortious behaviour exposed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finding that the evidence falls short of establishing a causal link on a balance of probabilities, I also rely on the fact that a substantial majority of the relevant scientific community has rejected the notion of a causal connection based on developments in understanding the pathogenesis of the disease, epidemiological studies, reanalysis of previous studies said to support the link, and a weakening of the biological plausibility of the theory through studies such as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In the result, I have an advantage over the court in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knowing what the future held for the issue in the scientific community in the years following that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do not find, in the evidence before me, persuasive proof of a causal relationship between trauma and MS exacerbation. Dr. Poser, who was the primary witness for the plaintiff, testified as an advocate for a theory that once had currency but has since been eroded by the advance of scientific studies and knowledge. I found in his evidence a tendency to overstate the implications of studies that he relied on, and to be unduly dismissive of those that undermined his theory. While he has clearly achieved the status of a foremost expert in his field of neurology, I find that his commitment to his own theory of causation has to some extent impaired his objectivity and reliability as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Kastrukoff, who subscribed to Dr. Poser's theory, did not offer any new or different insights and acknowledged in his evidence that the "literature" on the subject did not positively support linking trauma to MS exacerbation. Dr. Kastrukoff primarily relied on his clinical experience. In that regard, as I earlier noted, I accept the defendants' position that clinical experience, particularly in a context where the asserted relationship is so rare, and the chance of coincidence is so high, is no more than a starting point for further enquiries. I would thus draw no positive inferences from clinical experience in those circumstances, and therefore do not find affirmative support for the proposition in Dr. Kastrukoff's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the other side of the ledger, I find Drs. Goodin, Ebers, and Sibley, although thoroughly and skilfully cross-examined by counsel for the plaintiff, to have a more detached quality to their evidence than did Dr. Poser to his. Clearly all three of the defence witnesses are among the world's leading experts in the field of neurology and the study of MS and in my view, while each advanced opinions based on the shifting sands of scientific study and research, none of them attempted to overstate his respective opinion or the foundations for it. I thus found the evidence of Drs. Goodin, Ebers and Sibley to be more objective and hence more reliable than that of Dr. Poser.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to the underpinnings of the plaintiff's theory, for the reasons I have attempted to explain, I do not find in any of the studies or analysis relied on by the plaintiff, taken either individually or collectively, a logical linchpin for proof of the causal relationship being espoused, particularly in view of its asserted rarity, and the growing uncertainty of the role that its asserted mechanism - the disruption of the BBB - has in the demyclination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that the likelihood of a causal connection between trauma and MS exacerbation is significantly less than that of a coincidental connection, in light of all the evidence adduced, and the opinion of a substantial majority of the scientific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thus conclude that even on a robust and pragmatic view of the evidence, it does not support proof of a causal connection between mild trauma, including whiplash, and MS exacerbation,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Cullen dated February 28, 2008 have been edited:</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the name of one of the counsel for the defendants has been corrected to K. Mehl.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988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Cowie v. Draper, [2010] B.C.J. No. 910</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Davis v. Kin's Farm Market (Lynn Valley) Ltd., [2010] B.C.J. No. 886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DeBoer v. Fletcher, [2013] B.C.J. No. 158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Degelder Construction Co. v. Dancorp Developments Ltd., [2000] B.C.J. No. 1484</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Demarinis v. Skowronek, [2012] B.C.J. No. 1813</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Durand v. Bolt, [2007] B.C.J. No. 701</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Fox (Guardian ad litem of) v. Edwards, [2001] B.C.J. No. 370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Gemini Helicopters Inc. v. Cappsco International Corp., [2008] B.C.J. No. 1963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Gordon v. Krieg, [2013] B.C.J. No. 1002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Gulamani v. Chandra, [2009] B.C.J. No. 1537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Agresso Corp. v. Temple Insurance Co., [2007] B.C.J. No. 21</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Amerato v. Nanaimo (City), [2006] B.C.J. No. 3099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Armstrong v. West Vancouver (District), [2002] B.C.J. No. 254</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Bagri v. British Columbia (Workers' Compensation Board), [2009] B.C.J. No. 1846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Enterprises Ltd. v. Beazer East, Inc., [2001] B.C.J. No. 17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Bouchanskaia v. Bayer Inc., [2003] B.C.J. No. 1969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Medical Assn. v. Aviva Insurance Co. of Canada, [2011] B.C.J. No. 1948</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Burnett Estate v. St. Jude Medical, Inc., [2009] B.C.J. No. 133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Campbell River Indian Band v. WorleyParsons Canada Ltd., [2013] B.C.J. No. 1572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Carlton v. Invermere (District), [2007] B.C.J. No. 2413</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Haider v. Canada, [2007] B.C.J. No. 318</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Henderson v. First Nations Band Council 629, [2007] B.C.J. No. 1412</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Intergulf Investment Corp. v. Gregory, [2010] B.C.J. No. 784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Johnny v. Palmantier, [2005] B.C.J. No. 1245</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v. Jamieson, [2014] B.C.J. No. 1371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Josephson (Litigation guardian of) v. Balfour Recreation Commission, [2010] B.C.J. No. 756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Kaila v. Sekhon, [2006] B.C.J. No. 2899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Kandag v. Di Vora, [2007] I.L.R. para. G-2078</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 v. Horth, [2010] B.C.J. No. 486</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Lewis v. Fraser-Fort George (Regional District), [2017] B.C.J. No. 535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L.R. v. British Columbia, [2003] B.C.J. No. 313</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Lynskey (Litigation guardian of) v. MacDougall, [2010] B.C.J. No. 1471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Marigold Nursery Ltd. v. Victoria Ford Alliance Ltd., [2009] B.C.J. No. 1836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Maughan v. University of British Columbia, [2003] B.C.J. No. 2080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VR 2275 v. Davidson, [2008] B.C.J. No. 90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Netupsky v. Assn. of Professional Engineers and Geoscientists of British Columbia, [2003] B.C.J. No. 1599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Olynyk v. Kilback, [2010] B.C.J. No. 2405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Pavlis v. HSBC Bank Canada, [2009] B.C.J. No. 740</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Petersen v. Cromwell Restoration Ltd., [2008] I.L.R. para. G-2198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Plakholm v. Victoria (City), [2008] I.L.R. para. G-2213</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Prevost (Committee of) v. Vetter, [2001] B.C.J. No. 323</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George (City) v. Rahn Bros. Logging Ltd., [2001] B.C.J. No. 1684</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Robson v. Trail Bay Developments Ltd., [2009] B.C.J. No. 1212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Ruby Lake Country Developments Ltd. v. Kennedy, [2010] B.C.J. No. 2657</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Scheck v. Parkdale Place Housing Society, [2018] B.C.J. No. 1099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Secord v. Doulis, [2002] B.C.J. No. 1870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Seiler v. Mutual Fire Insurance Co. of British Columbia, [2003] B.C.J. No. 2151</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Sidhu (Litigation guardian of) v. Hiebert, [2011] B.C.J. No. 1905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Signorello v. Khan, [2010] I.L.R. para. G-2350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v. Liong, [2008] B.C.J. No. 330</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5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2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36(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52.(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1.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e)(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v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v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v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ix)"/>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x)"/>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154F22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B611B94"/>
    <w:multiLevelType w:val="multilevel"/>
    <w:tmpl w:val="00000001"/>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D179BEB"/>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F81803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1006006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116EE67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12DA249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1B10F602"/>
    <w:multiLevelType w:val="multilevel"/>
    <w:tmpl w:val="00000001"/>
    <w:lvl w:ilvl="0">
      <w:start w:val="1"/>
      <w:numFmt w:val="decimal"/>
      <w:lvlText w:val="66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1BC0636A"/>
    <w:multiLevelType w:val="multilevel"/>
    <w:tmpl w:val="00000001"/>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1DCA645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1E153F2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1F3179F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2073BC56"/>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20E0414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26727F4E"/>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27D200D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29B0C9F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37901E6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386DE0EB"/>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3D46AA14"/>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3D6C519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439F70F9"/>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44F4887C"/>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45A61D7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49D10398"/>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4AE9C5C3"/>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4BB263CF"/>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4DBE15C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4ECB470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5489CED3"/>
    <w:multiLevelType w:val="multilevel"/>
    <w:tmpl w:val="00000001"/>
    <w:lvl w:ilvl="0">
      <w:start w:val="1"/>
      <w:numFmt w:val="decimal"/>
      <w:lvlText w:val="8(2)"/>
      <w:lvlJc w:val="left"/>
      <w:pPr>
        <w:tabs>
          <w:tab w:val="num" w:pos="2200"/>
        </w:tabs>
        <w:ind w:left="220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5657A0C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5DEC7034"/>
    <w:multiLevelType w:val="multilevel"/>
    <w:tmpl w:val="00000001"/>
    <w:lvl w:ilvl="0">
      <w:start w:val="1"/>
      <w:numFmt w:val="lowerRoman"/>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61E0B9BA"/>
    <w:multiLevelType w:val="multilevel"/>
    <w:tmpl w:val="00000001"/>
    <w:lvl w:ilvl="0">
      <w:start w:val="1"/>
      <w:numFmt w:val="decimal"/>
      <w:lvlText w:val="4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6620849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662D76F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6D6A70D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6E275AF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6F2DAA3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7391AB4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7754A94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7754F3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7C70990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7DAA01C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7FF1465D"/>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55"/>
  </w:num>
  <w:num w:numId="16">
    <w:abstractNumId w:val="142"/>
  </w:num>
  <w:num w:numId="17">
    <w:abstractNumId w:val="120"/>
  </w:num>
  <w:num w:numId="18">
    <w:abstractNumId w:val="14"/>
  </w:num>
  <w:num w:numId="19">
    <w:abstractNumId w:val="15"/>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113"/>
  </w:num>
  <w:num w:numId="39">
    <w:abstractNumId w:val="114"/>
  </w:num>
  <w:num w:numId="40">
    <w:abstractNumId w:val="130"/>
  </w:num>
  <w:num w:numId="41">
    <w:abstractNumId w:val="115"/>
  </w:num>
  <w:num w:numId="42">
    <w:abstractNumId w:val="148"/>
  </w:num>
  <w:num w:numId="43">
    <w:abstractNumId w:val="153"/>
  </w:num>
  <w:num w:numId="44">
    <w:abstractNumId w:val="150"/>
  </w:num>
  <w:num w:numId="45">
    <w:abstractNumId w:val="117"/>
  </w:num>
  <w:num w:numId="46">
    <w:abstractNumId w:val="133"/>
  </w:num>
  <w:num w:numId="47">
    <w:abstractNumId w:val="135"/>
  </w:num>
  <w:num w:numId="48">
    <w:abstractNumId w:val="126"/>
  </w:num>
  <w:num w:numId="49">
    <w:abstractNumId w:val="125"/>
  </w:num>
  <w:num w:numId="50">
    <w:abstractNumId w:val="34"/>
  </w:num>
  <w:num w:numId="51">
    <w:abstractNumId w:val="35"/>
  </w:num>
  <w:num w:numId="52">
    <w:abstractNumId w:val="36"/>
  </w:num>
  <w:num w:numId="53">
    <w:abstractNumId w:val="37"/>
  </w:num>
  <w:num w:numId="54">
    <w:abstractNumId w:val="38"/>
  </w:num>
  <w:num w:numId="55">
    <w:abstractNumId w:val="39"/>
  </w:num>
  <w:num w:numId="56">
    <w:abstractNumId w:val="40"/>
  </w:num>
  <w:num w:numId="57">
    <w:abstractNumId w:val="41"/>
  </w:num>
  <w:num w:numId="58">
    <w:abstractNumId w:val="42"/>
  </w:num>
  <w:num w:numId="59">
    <w:abstractNumId w:val="43"/>
  </w:num>
  <w:num w:numId="60">
    <w:abstractNumId w:val="44"/>
  </w:num>
  <w:num w:numId="61">
    <w:abstractNumId w:val="45"/>
  </w:num>
  <w:num w:numId="62">
    <w:abstractNumId w:val="46"/>
  </w:num>
  <w:num w:numId="63">
    <w:abstractNumId w:val="47"/>
  </w:num>
  <w:num w:numId="64">
    <w:abstractNumId w:val="48"/>
  </w:num>
  <w:num w:numId="65">
    <w:abstractNumId w:val="49"/>
  </w:num>
  <w:num w:numId="66">
    <w:abstractNumId w:val="50"/>
  </w:num>
  <w:num w:numId="67">
    <w:abstractNumId w:val="51"/>
  </w:num>
  <w:num w:numId="68">
    <w:abstractNumId w:val="52"/>
  </w:num>
  <w:num w:numId="69">
    <w:abstractNumId w:val="53"/>
  </w:num>
  <w:num w:numId="70">
    <w:abstractNumId w:val="54"/>
  </w:num>
  <w:num w:numId="71">
    <w:abstractNumId w:val="55"/>
  </w:num>
  <w:num w:numId="72">
    <w:abstractNumId w:val="56"/>
  </w:num>
  <w:num w:numId="73">
    <w:abstractNumId w:val="57"/>
  </w:num>
  <w:num w:numId="74">
    <w:abstractNumId w:val="58"/>
  </w:num>
  <w:num w:numId="75">
    <w:abstractNumId w:val="59"/>
  </w:num>
  <w:num w:numId="76">
    <w:abstractNumId w:val="60"/>
  </w:num>
  <w:num w:numId="77">
    <w:abstractNumId w:val="61"/>
  </w:num>
  <w:num w:numId="78">
    <w:abstractNumId w:val="62"/>
  </w:num>
  <w:num w:numId="79">
    <w:abstractNumId w:val="63"/>
  </w:num>
  <w:num w:numId="80">
    <w:abstractNumId w:val="64"/>
  </w:num>
  <w:num w:numId="81">
    <w:abstractNumId w:val="65"/>
  </w:num>
  <w:num w:numId="82">
    <w:abstractNumId w:val="66"/>
  </w:num>
  <w:num w:numId="83">
    <w:abstractNumId w:val="67"/>
  </w:num>
  <w:num w:numId="84">
    <w:abstractNumId w:val="68"/>
  </w:num>
  <w:num w:numId="85">
    <w:abstractNumId w:val="69"/>
  </w:num>
  <w:num w:numId="86">
    <w:abstractNumId w:val="112"/>
  </w:num>
  <w:num w:numId="87">
    <w:abstractNumId w:val="149"/>
  </w:num>
  <w:num w:numId="88">
    <w:abstractNumId w:val="70"/>
  </w:num>
  <w:num w:numId="89">
    <w:abstractNumId w:val="71"/>
  </w:num>
  <w:num w:numId="90">
    <w:abstractNumId w:val="72"/>
  </w:num>
  <w:num w:numId="91">
    <w:abstractNumId w:val="73"/>
  </w:num>
  <w:num w:numId="92">
    <w:abstractNumId w:val="74"/>
  </w:num>
  <w:num w:numId="93">
    <w:abstractNumId w:val="75"/>
  </w:num>
  <w:num w:numId="94">
    <w:abstractNumId w:val="76"/>
  </w:num>
  <w:num w:numId="95">
    <w:abstractNumId w:val="77"/>
  </w:num>
  <w:num w:numId="96">
    <w:abstractNumId w:val="78"/>
  </w:num>
  <w:num w:numId="97">
    <w:abstractNumId w:val="79"/>
  </w:num>
  <w:num w:numId="98">
    <w:abstractNumId w:val="80"/>
  </w:num>
  <w:num w:numId="99">
    <w:abstractNumId w:val="81"/>
  </w:num>
  <w:num w:numId="100">
    <w:abstractNumId w:val="82"/>
  </w:num>
  <w:num w:numId="101">
    <w:abstractNumId w:val="83"/>
  </w:num>
  <w:num w:numId="102">
    <w:abstractNumId w:val="84"/>
  </w:num>
  <w:num w:numId="103">
    <w:abstractNumId w:val="85"/>
  </w:num>
  <w:num w:numId="104">
    <w:abstractNumId w:val="122"/>
  </w:num>
  <w:num w:numId="105">
    <w:abstractNumId w:val="151"/>
  </w:num>
  <w:num w:numId="106">
    <w:abstractNumId w:val="154"/>
  </w:num>
  <w:num w:numId="107">
    <w:abstractNumId w:val="123"/>
  </w:num>
  <w:num w:numId="108">
    <w:abstractNumId w:val="140"/>
  </w:num>
  <w:num w:numId="109">
    <w:abstractNumId w:val="132"/>
  </w:num>
  <w:num w:numId="110">
    <w:abstractNumId w:val="116"/>
  </w:num>
  <w:num w:numId="111">
    <w:abstractNumId w:val="118"/>
  </w:num>
  <w:num w:numId="112">
    <w:abstractNumId w:val="119"/>
  </w:num>
  <w:num w:numId="113">
    <w:abstractNumId w:val="143"/>
  </w:num>
  <w:num w:numId="114">
    <w:abstractNumId w:val="86"/>
  </w:num>
  <w:num w:numId="115">
    <w:abstractNumId w:val="87"/>
  </w:num>
  <w:num w:numId="116">
    <w:abstractNumId w:val="88"/>
  </w:num>
  <w:num w:numId="117">
    <w:abstractNumId w:val="89"/>
  </w:num>
  <w:num w:numId="118">
    <w:abstractNumId w:val="90"/>
  </w:num>
  <w:num w:numId="119">
    <w:abstractNumId w:val="91"/>
  </w:num>
  <w:num w:numId="120">
    <w:abstractNumId w:val="92"/>
  </w:num>
  <w:num w:numId="121">
    <w:abstractNumId w:val="93"/>
  </w:num>
  <w:num w:numId="122">
    <w:abstractNumId w:val="94"/>
  </w:num>
  <w:num w:numId="123">
    <w:abstractNumId w:val="95"/>
  </w:num>
  <w:num w:numId="124">
    <w:abstractNumId w:val="96"/>
  </w:num>
  <w:num w:numId="125">
    <w:abstractNumId w:val="97"/>
  </w:num>
  <w:num w:numId="126">
    <w:abstractNumId w:val="98"/>
  </w:num>
  <w:num w:numId="127">
    <w:abstractNumId w:val="99"/>
  </w:num>
  <w:num w:numId="128">
    <w:abstractNumId w:val="100"/>
  </w:num>
  <w:num w:numId="129">
    <w:abstractNumId w:val="101"/>
  </w:num>
  <w:num w:numId="130">
    <w:abstractNumId w:val="102"/>
  </w:num>
  <w:num w:numId="131">
    <w:abstractNumId w:val="103"/>
  </w:num>
  <w:num w:numId="132">
    <w:abstractNumId w:val="104"/>
  </w:num>
  <w:num w:numId="133">
    <w:abstractNumId w:val="105"/>
  </w:num>
  <w:num w:numId="134">
    <w:abstractNumId w:val="106"/>
  </w:num>
  <w:num w:numId="135">
    <w:abstractNumId w:val="107"/>
  </w:num>
  <w:num w:numId="136">
    <w:abstractNumId w:val="108"/>
  </w:num>
  <w:num w:numId="137">
    <w:abstractNumId w:val="109"/>
  </w:num>
  <w:num w:numId="138">
    <w:abstractNumId w:val="110"/>
  </w:num>
  <w:num w:numId="139">
    <w:abstractNumId w:val="111"/>
  </w:num>
  <w:num w:numId="140">
    <w:abstractNumId w:val="152"/>
  </w:num>
  <w:num w:numId="141">
    <w:abstractNumId w:val="136"/>
  </w:num>
  <w:num w:numId="142">
    <w:abstractNumId w:val="127"/>
  </w:num>
  <w:num w:numId="143">
    <w:abstractNumId w:val="129"/>
  </w:num>
  <w:num w:numId="144">
    <w:abstractNumId w:val="139"/>
  </w:num>
  <w:num w:numId="145">
    <w:abstractNumId w:val="134"/>
  </w:num>
  <w:num w:numId="146">
    <w:abstractNumId w:val="146"/>
  </w:num>
  <w:num w:numId="147">
    <w:abstractNumId w:val="137"/>
  </w:num>
  <w:num w:numId="148">
    <w:abstractNumId w:val="141"/>
  </w:num>
  <w:num w:numId="149">
    <w:abstractNumId w:val="145"/>
  </w:num>
  <w:num w:numId="150">
    <w:abstractNumId w:val="124"/>
  </w:num>
  <w:num w:numId="151">
    <w:abstractNumId w:val="121"/>
  </w:num>
  <w:num w:numId="152">
    <w:abstractNumId w:val="147"/>
  </w:num>
  <w:num w:numId="153">
    <w:abstractNumId w:val="144"/>
  </w:num>
  <w:num w:numId="154">
    <w:abstractNumId w:val="128"/>
  </w:num>
  <w:num w:numId="155">
    <w:abstractNumId w:val="131"/>
  </w:num>
  <w:num w:numId="156">
    <w:abstractNumId w:val="1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K1-JKHB-634Y-00000-00&amp;context=" TargetMode="External" /><Relationship Id="rId100" Type="http://schemas.openxmlformats.org/officeDocument/2006/relationships/hyperlink" Target="https://advance.lexis.com/api/document?collection=cases-ca&amp;id=urn:contentItem:5F7T-S711-F4W2-61WK-00000-00&amp;context=" TargetMode="External" /><Relationship Id="rId101" Type="http://schemas.openxmlformats.org/officeDocument/2006/relationships/hyperlink" Target="https://advance.lexis.com/api/document?collection=cases-ca&amp;id=urn:contentItem:5F81-YH41-JX8W-M05P-00000-00&amp;context=" TargetMode="External" /><Relationship Id="rId102" Type="http://schemas.openxmlformats.org/officeDocument/2006/relationships/header" Target="header16.xml" /><Relationship Id="rId103" Type="http://schemas.openxmlformats.org/officeDocument/2006/relationships/header" Target="header17.xml" /><Relationship Id="rId104" Type="http://schemas.openxmlformats.org/officeDocument/2006/relationships/footer" Target="footer16.xml" /><Relationship Id="rId105" Type="http://schemas.openxmlformats.org/officeDocument/2006/relationships/footer" Target="footer17.xml" /><Relationship Id="rId106" Type="http://schemas.openxmlformats.org/officeDocument/2006/relationships/header" Target="header18.xml" /><Relationship Id="rId107" Type="http://schemas.openxmlformats.org/officeDocument/2006/relationships/footer" Target="footer18.xml" /><Relationship Id="rId108" Type="http://schemas.openxmlformats.org/officeDocument/2006/relationships/hyperlink" Target="https://advance.lexis.com/api/document?collection=cases-ca&amp;id=urn:contentItem:5F7T-S7F1-DXWW-242B-00000-00&amp;context=" TargetMode="External" /><Relationship Id="rId109" Type="http://schemas.openxmlformats.org/officeDocument/2006/relationships/hyperlink" Target="https://advance.lexis.com/api/document?collection=cases-ca&amp;id=urn:contentItem:5F8T-N3V1-JF75-M3S6-00000-00&amp;context=" TargetMode="External" /><Relationship Id="rId11" Type="http://schemas.openxmlformats.org/officeDocument/2006/relationships/hyperlink" Target="https://advance.lexis.com/api/document?collection=legislation-ca&amp;id=urn:contentItem:5F41-1FG1-FC1F-M0TW-00000-00&amp;context=" TargetMode="External" /><Relationship Id="rId110" Type="http://schemas.openxmlformats.org/officeDocument/2006/relationships/hyperlink" Target="https://advance.lexis.com/api/document?collection=cases-ca&amp;id=urn:contentItem:5F8T-N3T1-JFKM-655K-00000-00&amp;context=" TargetMode="External" /><Relationship Id="rId111" Type="http://schemas.openxmlformats.org/officeDocument/2006/relationships/hyperlink" Target="https://advance.lexis.com/api/document?collection=cases-ca&amp;id=urn:contentItem:5F8T-N3S1-JBDT-B01P-00000-00&amp;context=" TargetMode="External" /><Relationship Id="rId112" Type="http://schemas.openxmlformats.org/officeDocument/2006/relationships/hyperlink" Target="https://advance.lexis.com/api/document?collection=cases-ca&amp;id=urn:contentItem:5F8T-N3T1-JGHR-M21F-00000-00&amp;context=" TargetMode="External" /><Relationship Id="rId113" Type="http://schemas.openxmlformats.org/officeDocument/2006/relationships/hyperlink" Target="https://advance.lexis.com/api/document?collection=cases-ca&amp;id=urn:contentItem:5F7T-S6Y1-JNY7-X2P6-00000-00&amp;context=" TargetMode="External" /><Relationship Id="rId114" Type="http://schemas.openxmlformats.org/officeDocument/2006/relationships/hyperlink" Target="https://advance.lexis.com/api/document?collection=cases-ca&amp;id=urn:contentItem:5F8T-N3T1-JFKM-6524-00000-00&amp;context=" TargetMode="External" /><Relationship Id="rId115" Type="http://schemas.openxmlformats.org/officeDocument/2006/relationships/hyperlink" Target="https://advance.lexis.com/api/document?collection=cases-ca&amp;id=urn:contentItem:5F8T-N3V1-JTGH-B18F-00000-00&amp;context=" TargetMode="External" /><Relationship Id="rId116" Type="http://schemas.openxmlformats.org/officeDocument/2006/relationships/hyperlink" Target="https://advance.lexis.com/api/document?collection=cases-ca&amp;id=urn:contentItem:5F81-YH21-JPGX-S0F9-00000-00&amp;context=" TargetMode="External" /><Relationship Id="rId117" Type="http://schemas.openxmlformats.org/officeDocument/2006/relationships/hyperlink" Target="https://advance.lexis.com/api/document?collection=cases-ca&amp;id=urn:contentItem:5F8T-N3V1-FC1F-M47J-00000-00&amp;context=" TargetMode="External" /><Relationship Id="rId118" Type="http://schemas.openxmlformats.org/officeDocument/2006/relationships/hyperlink" Target="https://advance.lexis.com/api/document?collection=cases-ca&amp;id=urn:contentItem:5F8T-N3V1-JTGH-B153-00000-00&amp;context=" TargetMode="External" /><Relationship Id="rId119" Type="http://schemas.openxmlformats.org/officeDocument/2006/relationships/hyperlink" Target="https://advance.lexis.com/api/document?collection=cases-ca&amp;id=urn:contentItem:5F8T-N3R1-FBV7-B0H9-00000-00&amp;context=" TargetMode="External" /><Relationship Id="rId12" Type="http://schemas.openxmlformats.org/officeDocument/2006/relationships/hyperlink" Target="https://advance.lexis.com/api/document?collection=cases-ca&amp;id=urn:contentItem:5F7T-S781-DYMS-61GK-00000-00&amp;context=" TargetMode="External" /><Relationship Id="rId120" Type="http://schemas.openxmlformats.org/officeDocument/2006/relationships/hyperlink" Target="https://advance.lexis.com/api/document?collection=cases-ca&amp;id=urn:contentItem:5F7T-S761-JGHR-M2KY-00000-00&amp;context=" TargetMode="External" /><Relationship Id="rId121" Type="http://schemas.openxmlformats.org/officeDocument/2006/relationships/hyperlink" Target="https://advance.lexis.com/api/document?collection=cases-ca&amp;id=urn:contentItem:5F7T-S771-F81W-22T1-00000-00&amp;context=" TargetMode="External" /><Relationship Id="rId122" Type="http://schemas.openxmlformats.org/officeDocument/2006/relationships/hyperlink" Target="https://advance.lexis.com/api/document?collection=cases-ca&amp;id=urn:contentItem:5F7T-S781-F27X-6134-00000-00&amp;context=" TargetMode="External" /><Relationship Id="rId123" Type="http://schemas.openxmlformats.org/officeDocument/2006/relationships/hyperlink" Target="https://advance.lexis.com/api/document?collection=cases-ca&amp;id=urn:contentItem:5F7T-S771-JWBS-61CV-00000-00&amp;context=" TargetMode="External" /><Relationship Id="rId124" Type="http://schemas.openxmlformats.org/officeDocument/2006/relationships/hyperlink" Target="https://advance.lexis.com/api/document?collection=cases-ca&amp;id=urn:contentItem:5F7T-S7F1-FFFC-B20P-00000-00&amp;context=" TargetMode="External" /><Relationship Id="rId125" Type="http://schemas.openxmlformats.org/officeDocument/2006/relationships/hyperlink" Target="https://advance.lexis.com/api/document?collection=cases-ca&amp;id=urn:contentItem:5F7T-S771-JJD0-G1DF-00000-00&amp;context=" TargetMode="External" /><Relationship Id="rId126" Type="http://schemas.openxmlformats.org/officeDocument/2006/relationships/hyperlink" Target="https://advance.lexis.com/api/document?collection=cases-ca&amp;id=urn:contentItem:5F7T-S771-JWBS-61PT-00000-00&amp;context=" TargetMode="External" /><Relationship Id="rId127" Type="http://schemas.openxmlformats.org/officeDocument/2006/relationships/hyperlink" Target="https://advance.lexis.com/api/document?collection=cases-ca&amp;id=urn:contentItem:5F7T-S7D1-JN6B-S0PR-00000-00&amp;context=" TargetMode="External" /><Relationship Id="rId128" Type="http://schemas.openxmlformats.org/officeDocument/2006/relationships/hyperlink" Target="https://advance.lexis.com/api/document?collection=cases-ca&amp;id=urn:contentItem:5F7T-S7F1-DXWW-23NJ-00000-00&amp;context=" TargetMode="External" /><Relationship Id="rId129" Type="http://schemas.openxmlformats.org/officeDocument/2006/relationships/hyperlink" Target="https://advance.lexis.com/api/document?collection=cases-ca&amp;id=urn:contentItem:5F7T-S771-JN14-G2PR-00000-00&amp;context=" TargetMode="External" /><Relationship Id="rId13" Type="http://schemas.openxmlformats.org/officeDocument/2006/relationships/hyperlink" Target="https://advance.lexis.com/api/document?collection=cases-ca&amp;id=urn:contentItem:5F8T-N3V1-FC1F-M428-00000-00&amp;context=" TargetMode="External" /><Relationship Id="rId130" Type="http://schemas.openxmlformats.org/officeDocument/2006/relationships/hyperlink" Target="https://advance.lexis.com/api/document?collection=cases-ca&amp;id=urn:contentItem:5F7T-S731-F016-S3D3-00000-00&amp;context=" TargetMode="External" /><Relationship Id="rId131" Type="http://schemas.openxmlformats.org/officeDocument/2006/relationships/hyperlink" Target="https://advance.lexis.com/api/document?collection=cases-ca&amp;id=urn:contentItem:5F7T-S751-JCJ5-24CV-00000-00&amp;context=" TargetMode="External" /><Relationship Id="rId132" Type="http://schemas.openxmlformats.org/officeDocument/2006/relationships/hyperlink" Target="https://advance.lexis.com/api/document?collection=cases-ca&amp;id=urn:contentItem:5F7T-S761-F81W-21RK-00000-00&amp;context=" TargetMode="External" /><Relationship Id="rId133" Type="http://schemas.openxmlformats.org/officeDocument/2006/relationships/hyperlink" Target="https://advance.lexis.com/api/document?collection=cases-ca&amp;id=urn:contentItem:5F7T-S711-JNY7-X30K-00000-00&amp;context=" TargetMode="External" /><Relationship Id="rId134" Type="http://schemas.openxmlformats.org/officeDocument/2006/relationships/hyperlink" Target="https://advance.lexis.com/api/document?collection=cases-ca&amp;id=urn:contentItem:5F7T-S6W1-JYYX-61TX-00000-00&amp;context=" TargetMode="External" /><Relationship Id="rId135" Type="http://schemas.openxmlformats.org/officeDocument/2006/relationships/hyperlink" Target="https://advance.lexis.com/api/document?collection=cases-ca&amp;id=urn:contentItem:5F7T-S731-DY33-B0YN-00000-00&amp;context=" TargetMode="External" /><Relationship Id="rId136" Type="http://schemas.openxmlformats.org/officeDocument/2006/relationships/hyperlink" Target="https://advance.lexis.com/api/document?collection=cases-ca&amp;id=urn:contentItem:5F7T-S731-F1WF-M2HD-00000-00&amp;context=" TargetMode="External" /><Relationship Id="rId137" Type="http://schemas.openxmlformats.org/officeDocument/2006/relationships/header" Target="header19.xml" /><Relationship Id="rId138" Type="http://schemas.openxmlformats.org/officeDocument/2006/relationships/header" Target="header20.xml" /><Relationship Id="rId139" Type="http://schemas.openxmlformats.org/officeDocument/2006/relationships/footer" Target="footer19.xml" /><Relationship Id="rId14" Type="http://schemas.openxmlformats.org/officeDocument/2006/relationships/hyperlink" Target="https://advance.lexis.com/api/document?collection=cases-ca&amp;id=urn:contentItem:5F8T-N3V1-JF75-M3V2-00000-00&amp;context=" TargetMode="External" /><Relationship Id="rId140" Type="http://schemas.openxmlformats.org/officeDocument/2006/relationships/footer" Target="footer20.xml" /><Relationship Id="rId141" Type="http://schemas.openxmlformats.org/officeDocument/2006/relationships/header" Target="header21.xml" /><Relationship Id="rId142" Type="http://schemas.openxmlformats.org/officeDocument/2006/relationships/footer" Target="footer21.xml" /><Relationship Id="rId143" Type="http://schemas.openxmlformats.org/officeDocument/2006/relationships/hyperlink" Target="https://advance.lexis.com/api/document?collection=cases-ca&amp;id=urn:contentItem:5F7T-S771-JJD0-G1HM-00000-00&amp;context=" TargetMode="External" /><Relationship Id="rId144" Type="http://schemas.openxmlformats.org/officeDocument/2006/relationships/hyperlink" Target="https://advance.lexis.com/api/document?collection=cases-ca&amp;id=urn:contentItem:5F8T-N3S1-JT99-250Y-00000-00&amp;context=" TargetMode="External" /><Relationship Id="rId145" Type="http://schemas.openxmlformats.org/officeDocument/2006/relationships/hyperlink" Target="https://advance.lexis.com/api/document?collection=cases-ca&amp;id=urn:contentItem:5F7T-S731-FG12-62GP-00000-00&amp;context=" TargetMode="External" /><Relationship Id="rId146" Type="http://schemas.openxmlformats.org/officeDocument/2006/relationships/hyperlink" Target="https://advance.lexis.com/api/document?collection=cases-ca&amp;id=urn:contentItem:5F8T-N3V1-FC1F-M3WJ-00000-00&amp;context=" TargetMode="External" /><Relationship Id="rId147" Type="http://schemas.openxmlformats.org/officeDocument/2006/relationships/hyperlink" Target="https://advance.lexis.com/api/document?collection=cases-ca&amp;id=urn:contentItem:5F7T-S731-F60C-X11W-00000-00&amp;context=" TargetMode="External" /><Relationship Id="rId148" Type="http://schemas.openxmlformats.org/officeDocument/2006/relationships/hyperlink" Target="https://advance.lexis.com/api/document?collection=cases-ca&amp;id=urn:contentItem:5F7T-S751-JX3N-B0PS-00000-00&amp;context=" TargetMode="External" /><Relationship Id="rId149" Type="http://schemas.openxmlformats.org/officeDocument/2006/relationships/hyperlink" Target="https://advance.lexis.com/api/document?collection=cases-ca&amp;id=urn:contentItem:5F7T-S741-F1H1-21GB-00000-00&amp;context=" TargetMode="External" /><Relationship Id="rId15" Type="http://schemas.openxmlformats.org/officeDocument/2006/relationships/hyperlink" Target="https://advance.lexis.com/api/document?collection=cases-ca&amp;id=urn:contentItem:5F7T-S7H1-F016-S465-00000-00&amp;context=" TargetMode="External" /><Relationship Id="rId150" Type="http://schemas.openxmlformats.org/officeDocument/2006/relationships/header" Target="header22.xml" /><Relationship Id="rId151" Type="http://schemas.openxmlformats.org/officeDocument/2006/relationships/header" Target="header23.xml" /><Relationship Id="rId152" Type="http://schemas.openxmlformats.org/officeDocument/2006/relationships/footer" Target="footer22.xml" /><Relationship Id="rId153" Type="http://schemas.openxmlformats.org/officeDocument/2006/relationships/footer" Target="footer23.xml" /><Relationship Id="rId154" Type="http://schemas.openxmlformats.org/officeDocument/2006/relationships/header" Target="header24.xml" /><Relationship Id="rId155" Type="http://schemas.openxmlformats.org/officeDocument/2006/relationships/footer" Target="footer24.xml" /><Relationship Id="rId156" Type="http://schemas.openxmlformats.org/officeDocument/2006/relationships/hyperlink" Target="https://advance.lexis.com/api/document?collection=cases-ca&amp;id=urn:contentItem:5F7T-S7H1-FCSB-S3S3-00000-00&amp;context=" TargetMode="External" /><Relationship Id="rId157" Type="http://schemas.openxmlformats.org/officeDocument/2006/relationships/hyperlink" Target="https://advance.lexis.com/api/document?collection=cases-ca&amp;id=urn:contentItem:5F7T-S711-JNS1-M121-00000-00&amp;context=" TargetMode="External" /><Relationship Id="rId158" Type="http://schemas.openxmlformats.org/officeDocument/2006/relationships/hyperlink" Target="https://advance.lexis.com/api/document?collection=cases-ca&amp;id=urn:contentItem:5F7T-S6W1-F7ND-G2KH-00000-00&amp;context=" TargetMode="External" /><Relationship Id="rId159" Type="http://schemas.openxmlformats.org/officeDocument/2006/relationships/hyperlink" Target="https://advance.lexis.com/api/document?collection=cases-ca&amp;id=urn:contentItem:5F7T-S6R1-JF75-M2RC-00000-00&amp;context=" TargetMode="External" /><Relationship Id="rId16" Type="http://schemas.openxmlformats.org/officeDocument/2006/relationships/hyperlink" Target="https://advance.lexis.com/api/document?collection=cases-ca&amp;id=urn:contentItem:5F7T-S7P1-JCRC-B1Y2-00000-00&amp;context=" TargetMode="External" /><Relationship Id="rId160" Type="http://schemas.openxmlformats.org/officeDocument/2006/relationships/hyperlink" Target="https://advance.lexis.com/api/document?collection=cases-ca&amp;id=urn:contentItem:5F7T-S6S1-F60C-X0PK-00000-00&amp;context=" TargetMode="External" /><Relationship Id="rId161" Type="http://schemas.openxmlformats.org/officeDocument/2006/relationships/hyperlink" Target="https://advance.lexis.com/api/document?collection=cases-ca&amp;id=urn:contentItem:5F7T-S771-JN14-G2D9-00000-00&amp;context=" TargetMode="External" /><Relationship Id="rId162" Type="http://schemas.openxmlformats.org/officeDocument/2006/relationships/hyperlink" Target="https://advance.lexis.com/api/document?collection=cases-ca&amp;id=urn:contentItem:5F7T-S6V1-JC0G-62K3-00000-00&amp;context=" TargetMode="External" /><Relationship Id="rId163" Type="http://schemas.openxmlformats.org/officeDocument/2006/relationships/hyperlink" Target="https://advance.lexis.com/api/document?collection=cases-ca&amp;id=urn:contentItem:5F7T-S6T1-JP9P-G142-00000-00&amp;context=" TargetMode="External" /><Relationship Id="rId164" Type="http://schemas.openxmlformats.org/officeDocument/2006/relationships/hyperlink" Target="https://advance.lexis.com/api/document?collection=cases-ca&amp;id=urn:contentItem:5F7T-S711-JNY7-X38K-00000-00&amp;context=" TargetMode="External" /><Relationship Id="rId165" Type="http://schemas.openxmlformats.org/officeDocument/2006/relationships/hyperlink" Target="https://advance.lexis.com/api/document?collection=cases-ca&amp;id=urn:contentItem:5F7T-S711-F27X-60PW-00000-00&amp;context=" TargetMode="External" /><Relationship Id="rId166" Type="http://schemas.openxmlformats.org/officeDocument/2006/relationships/header" Target="header25.xml" /><Relationship Id="rId167" Type="http://schemas.openxmlformats.org/officeDocument/2006/relationships/header" Target="header26.xml" /><Relationship Id="rId168" Type="http://schemas.openxmlformats.org/officeDocument/2006/relationships/footer" Target="footer25.xml" /><Relationship Id="rId169" Type="http://schemas.openxmlformats.org/officeDocument/2006/relationships/footer" Target="footer26.xml" /><Relationship Id="rId17" Type="http://schemas.openxmlformats.org/officeDocument/2006/relationships/header" Target="header4.xml" /><Relationship Id="rId170" Type="http://schemas.openxmlformats.org/officeDocument/2006/relationships/header" Target="header27.xml" /><Relationship Id="rId171" Type="http://schemas.openxmlformats.org/officeDocument/2006/relationships/footer" Target="footer27.xml" /><Relationship Id="rId172" Type="http://schemas.openxmlformats.org/officeDocument/2006/relationships/hyperlink" Target="https://advance.lexis.com/api/document?collection=cases-ca&amp;id=urn:contentItem:5F7T-S7N1-DXWW-20HJ-00000-00&amp;context=" TargetMode="External" /><Relationship Id="rId173" Type="http://schemas.openxmlformats.org/officeDocument/2006/relationships/hyperlink" Target="https://advance.lexis.com/api/document?collection=cases-ca&amp;id=urn:contentItem:5F7T-S7J1-JNS1-M2CK-00000-00&amp;context=" TargetMode="External" /><Relationship Id="rId174" Type="http://schemas.openxmlformats.org/officeDocument/2006/relationships/hyperlink" Target="https://advance.lexis.com/api/document?collection=cases-ca&amp;id=urn:contentItem:5F8T-N3V1-JFKM-609G-00000-00&amp;context=" TargetMode="External" /><Relationship Id="rId175" Type="http://schemas.openxmlformats.org/officeDocument/2006/relationships/hyperlink" Target="https://advance.lexis.com/api/document?collection=cases-ca&amp;id=urn:contentItem:5F7T-S7F1-DXWW-23PX-00000-00&amp;context=" TargetMode="External" /><Relationship Id="rId176" Type="http://schemas.openxmlformats.org/officeDocument/2006/relationships/hyperlink" Target="https://advance.lexis.com/api/document?collection=cases-ca&amp;id=urn:contentItem:5F7T-S7F1-FBN1-21G0-00000-00&amp;context=" TargetMode="External" /><Relationship Id="rId177" Type="http://schemas.openxmlformats.org/officeDocument/2006/relationships/hyperlink" Target="https://advance.lexis.com/api/document?collection=cases-ca&amp;id=urn:contentItem:5F7T-S761-JCBX-S0DR-00000-00&amp;context=" TargetMode="External" /><Relationship Id="rId178" Type="http://schemas.openxmlformats.org/officeDocument/2006/relationships/hyperlink" Target="https://advance.lexis.com/api/document?collection=cases-ca&amp;id=urn:contentItem:5F7T-S7C1-JS0R-228K-00000-00&amp;context=" TargetMode="External" /><Relationship Id="rId179" Type="http://schemas.openxmlformats.org/officeDocument/2006/relationships/hyperlink" Target="https://advance.lexis.com/api/document?collection=cases-ca&amp;id=urn:contentItem:5F7T-S771-F81W-22HN-00000-00&amp;context=" TargetMode="External" /><Relationship Id="rId18" Type="http://schemas.openxmlformats.org/officeDocument/2006/relationships/header" Target="header5.xml" /><Relationship Id="rId180" Type="http://schemas.openxmlformats.org/officeDocument/2006/relationships/hyperlink" Target="https://advance.lexis.com/api/document?collection=cases-ca&amp;id=urn:contentItem:5F8T-N3V1-FC1F-M49J-00000-00&amp;context=" TargetMode="External" /><Relationship Id="rId181" Type="http://schemas.openxmlformats.org/officeDocument/2006/relationships/hyperlink" Target="https://advance.lexis.com/api/document?collection=cases-ca&amp;id=urn:contentItem:5F7T-S6Y1-JTNR-M4B7-00000-00&amp;context=" TargetMode="External" /><Relationship Id="rId182" Type="http://schemas.openxmlformats.org/officeDocument/2006/relationships/hyperlink" Target="https://advance.lexis.com/api/document?collection=cases-ca&amp;id=urn:contentItem:5F8T-N3V1-JTGH-B1H3-00000-00&amp;context=" TargetMode="External" /><Relationship Id="rId183" Type="http://schemas.openxmlformats.org/officeDocument/2006/relationships/hyperlink" Target="https://advance.lexis.com/api/document?collection=cases-ca&amp;id=urn:contentItem:5F8T-N3T1-JJSF-23NF-00000-00&amp;context=" TargetMode="External" /><Relationship Id="rId184" Type="http://schemas.openxmlformats.org/officeDocument/2006/relationships/hyperlink" Target="https://advance.lexis.com/api/document?collection=cases-ca&amp;id=urn:contentItem:5F7T-S7M1-F4W2-6297-00000-00&amp;context=" TargetMode="External" /><Relationship Id="rId185" Type="http://schemas.openxmlformats.org/officeDocument/2006/relationships/hyperlink" Target="https://advance.lexis.com/api/document?collection=cases-ca&amp;id=urn:contentItem:5F7T-S7H1-K054-G20G-00000-00&amp;context=" TargetMode="External" /><Relationship Id="rId186" Type="http://schemas.openxmlformats.org/officeDocument/2006/relationships/hyperlink" Target="https://advance.lexis.com/api/document?collection=cases-ca&amp;id=urn:contentItem:5F7T-S7K1-JNY7-X4R6-00000-00&amp;context=" TargetMode="External" /><Relationship Id="rId187" Type="http://schemas.openxmlformats.org/officeDocument/2006/relationships/hyperlink" Target="https://advance.lexis.com/api/document?collection=cases-ca&amp;id=urn:contentItem:5F7T-S7M1-JPP5-22PV-00000-00&amp;context=" TargetMode="External" /><Relationship Id="rId188" Type="http://schemas.openxmlformats.org/officeDocument/2006/relationships/hyperlink" Target="https://advance.lexis.com/api/document?collection=cases-ca&amp;id=urn:contentItem:5F7T-S7H1-K054-G2BW-00000-00&amp;context=" TargetMode="External" /><Relationship Id="rId189" Type="http://schemas.openxmlformats.org/officeDocument/2006/relationships/hyperlink" Target="https://advance.lexis.com/api/document?collection=cases-ca&amp;id=urn:contentItem:5F7T-S781-F7G6-63S3-00000-00&amp;context=" TargetMode="External" /><Relationship Id="rId19" Type="http://schemas.openxmlformats.org/officeDocument/2006/relationships/footer" Target="footer4.xml" /><Relationship Id="rId190" Type="http://schemas.openxmlformats.org/officeDocument/2006/relationships/hyperlink" Target="https://advance.lexis.com/api/document?collection=cases-ca&amp;id=urn:contentItem:5F7T-S6X1-JXNB-62MH-00000-00&amp;context=" TargetMode="External" /><Relationship Id="rId191" Type="http://schemas.openxmlformats.org/officeDocument/2006/relationships/hyperlink" Target="https://advance.lexis.com/api/document?collection=cases-ca&amp;id=urn:contentItem:5F7T-S7N1-JJ1H-X2PS-00000-00&amp;context=" TargetMode="External" /><Relationship Id="rId192" Type="http://schemas.openxmlformats.org/officeDocument/2006/relationships/hyperlink" Target="https://advance.lexis.com/api/document?collection=cases-ca&amp;id=urn:contentItem:5F7T-S7D1-FCSB-S2RB-00000-00&amp;context=" TargetMode="External" /><Relationship Id="rId193" Type="http://schemas.openxmlformats.org/officeDocument/2006/relationships/header" Target="header28.xml" /><Relationship Id="rId194" Type="http://schemas.openxmlformats.org/officeDocument/2006/relationships/header" Target="header29.xml" /><Relationship Id="rId195" Type="http://schemas.openxmlformats.org/officeDocument/2006/relationships/footer" Target="footer28.xml" /><Relationship Id="rId196" Type="http://schemas.openxmlformats.org/officeDocument/2006/relationships/footer" Target="footer29.xml" /><Relationship Id="rId197" Type="http://schemas.openxmlformats.org/officeDocument/2006/relationships/header" Target="header30.xml" /><Relationship Id="rId198" Type="http://schemas.openxmlformats.org/officeDocument/2006/relationships/footer" Target="footer30.xml" /><Relationship Id="rId199" Type="http://schemas.openxmlformats.org/officeDocument/2006/relationships/hyperlink" Target="https://advance.lexis.com/api/document?collection=cases-ca&amp;id=urn:contentItem:5F7T-S7J1-JYYX-6211-00000-00&amp;context=" TargetMode="External" /><Relationship Id="rId2" Type="http://schemas.openxmlformats.org/officeDocument/2006/relationships/webSettings" Target="webSettings.xml" /><Relationship Id="rId20" Type="http://schemas.openxmlformats.org/officeDocument/2006/relationships/footer" Target="footer5.xml" /><Relationship Id="rId200" Type="http://schemas.openxmlformats.org/officeDocument/2006/relationships/hyperlink" Target="https://advance.lexis.com/api/document?collection=cases-ca&amp;id=urn:contentItem:5K6Y-81M1-DXHD-G2PP-00000-00&amp;context=" TargetMode="External" /><Relationship Id="rId201" Type="http://schemas.openxmlformats.org/officeDocument/2006/relationships/hyperlink" Target="https://advance.lexis.com/api/document?collection=cases-ca&amp;id=urn:contentItem:5F7T-S7G1-JWR6-S1K6-00000-00&amp;context=" TargetMode="External" /><Relationship Id="rId202" Type="http://schemas.openxmlformats.org/officeDocument/2006/relationships/hyperlink" Target="https://advance.lexis.com/api/document?collection=cases-ca&amp;id=urn:contentItem:5F7T-S7H1-JS5Y-B2XR-00000-00&amp;context=" TargetMode="External" /><Relationship Id="rId203" Type="http://schemas.openxmlformats.org/officeDocument/2006/relationships/hyperlink" Target="https://advance.lexis.com/api/document?collection=cases-ca&amp;id=urn:contentItem:5F7T-S7J1-JNS1-M29N-00000-00&amp;context=" TargetMode="External" /><Relationship Id="rId204" Type="http://schemas.openxmlformats.org/officeDocument/2006/relationships/hyperlink" Target="https://advance.lexis.com/api/document?collection=cases-ca&amp;id=urn:contentItem:5F7T-S7D1-FFFC-B14J-00000-00&amp;context=" TargetMode="External" /><Relationship Id="rId205" Type="http://schemas.openxmlformats.org/officeDocument/2006/relationships/hyperlink" Target="https://advance.lexis.com/api/document?collection=cases-ca&amp;id=urn:contentItem:5F7T-S7D1-JS5Y-B27M-00000-00&amp;context=" TargetMode="External" /><Relationship Id="rId206" Type="http://schemas.openxmlformats.org/officeDocument/2006/relationships/hyperlink" Target="https://advance.lexis.com/api/document?collection=cases-ca&amp;id=urn:contentItem:5F7T-S781-F06F-23WM-00000-00&amp;context=" TargetMode="External" /><Relationship Id="rId207" Type="http://schemas.openxmlformats.org/officeDocument/2006/relationships/hyperlink" Target="https://advance.lexis.com/api/document?collection=cases-ca&amp;id=urn:contentItem:5F7T-S6T1-FJTD-G1PC-00000-00&amp;context=" TargetMode="External" /><Relationship Id="rId208" Type="http://schemas.openxmlformats.org/officeDocument/2006/relationships/hyperlink" Target="https://advance.lexis.com/api/document?collection=cases-ca&amp;id=urn:contentItem:5F7T-S761-FFMK-M11Y-00000-00&amp;context=" TargetMode="External" /><Relationship Id="rId209" Type="http://schemas.openxmlformats.org/officeDocument/2006/relationships/hyperlink" Target="https://advance.lexis.com/api/document?collection=cases-ca&amp;id=urn:contentItem:5F7T-S731-FFFC-B0FH-00000-00&amp;context=" TargetMode="External" /><Relationship Id="rId21" Type="http://schemas.openxmlformats.org/officeDocument/2006/relationships/header" Target="header6.xml" /><Relationship Id="rId210" Type="http://schemas.openxmlformats.org/officeDocument/2006/relationships/hyperlink" Target="https://advance.lexis.com/api/document?collection=cases-ca&amp;id=urn:contentItem:5F7T-S741-DXPM-S0RK-00000-00&amp;context=" TargetMode="External" /><Relationship Id="rId211" Type="http://schemas.openxmlformats.org/officeDocument/2006/relationships/hyperlink" Target="https://advance.lexis.com/api/document?collection=cases-ca&amp;id=urn:contentItem:5F7T-S7F1-F7VM-S3WF-00000-00&amp;context=" TargetMode="External" /><Relationship Id="rId212" Type="http://schemas.openxmlformats.org/officeDocument/2006/relationships/hyperlink" Target="https://advance.lexis.com/api/document?collection=cases-ca&amp;id=urn:contentItem:5F7T-S6V1-JTNR-M38Y-00000-00&amp;context=" TargetMode="External" /><Relationship Id="rId213" Type="http://schemas.openxmlformats.org/officeDocument/2006/relationships/header" Target="header31.xml" /><Relationship Id="rId214" Type="http://schemas.openxmlformats.org/officeDocument/2006/relationships/header" Target="header32.xml" /><Relationship Id="rId215" Type="http://schemas.openxmlformats.org/officeDocument/2006/relationships/footer" Target="footer31.xml" /><Relationship Id="rId216" Type="http://schemas.openxmlformats.org/officeDocument/2006/relationships/footer" Target="footer32.xml" /><Relationship Id="rId217" Type="http://schemas.openxmlformats.org/officeDocument/2006/relationships/header" Target="header33.xml" /><Relationship Id="rId218" Type="http://schemas.openxmlformats.org/officeDocument/2006/relationships/footer" Target="footer33.xml" /><Relationship Id="rId219" Type="http://schemas.openxmlformats.org/officeDocument/2006/relationships/hyperlink" Target="https://advance.lexis.com/api/document?collection=cases-ca&amp;id=urn:contentItem:5F7T-S7F1-JFKM-61MJ-00000-00&amp;context=" TargetMode="External" /><Relationship Id="rId22" Type="http://schemas.openxmlformats.org/officeDocument/2006/relationships/footer" Target="footer6.xml" /><Relationship Id="rId220" Type="http://schemas.openxmlformats.org/officeDocument/2006/relationships/hyperlink" Target="https://advance.lexis.com/api/document?collection=cases-ca&amp;id=urn:contentItem:5K6Y-81M1-JGPY-X23Y-00000-00&amp;context=" TargetMode="External" /><Relationship Id="rId221" Type="http://schemas.openxmlformats.org/officeDocument/2006/relationships/hyperlink" Target="https://advance.lexis.com/api/document?collection=cases-ca&amp;id=urn:contentItem:5F8T-N3V1-FC1F-M44Y-00000-00&amp;context=" TargetMode="External" /><Relationship Id="rId222" Type="http://schemas.openxmlformats.org/officeDocument/2006/relationships/hyperlink" Target="https://advance.lexis.com/api/document?collection=cases-ca&amp;id=urn:contentItem:5F8T-N3T1-JFKM-6545-00000-00&amp;context=" TargetMode="External" /><Relationship Id="rId223" Type="http://schemas.openxmlformats.org/officeDocument/2006/relationships/hyperlink" Target="https://advance.lexis.com/api/document?collection=cases-ca&amp;id=urn:contentItem:5F7T-S6W1-F7ND-G2MW-00000-00&amp;context=" TargetMode="External" /><Relationship Id="rId224" Type="http://schemas.openxmlformats.org/officeDocument/2006/relationships/hyperlink" Target="https://advance.lexis.com/api/document?collection=cases-ca&amp;id=urn:contentItem:5F8T-N3V1-FC1F-M48M-00000-00&amp;context=" TargetMode="External" /><Relationship Id="rId225" Type="http://schemas.openxmlformats.org/officeDocument/2006/relationships/hyperlink" Target="https://advance.lexis.com/api/document?collection=cases-ca&amp;id=urn:contentItem:5F7T-S791-FJTD-G31T-00000-00&amp;context=" TargetMode="External" /><Relationship Id="rId226" Type="http://schemas.openxmlformats.org/officeDocument/2006/relationships/hyperlink" Target="https://advance.lexis.com/api/document?collection=cases-ca&amp;id=urn:contentItem:5F8T-N3T1-JGHR-M1TY-00000-00&amp;context=" TargetMode="External" /><Relationship Id="rId227" Type="http://schemas.openxmlformats.org/officeDocument/2006/relationships/hyperlink" Target="https://advance.lexis.com/api/document?collection=cases-ca&amp;id=urn:contentItem:5F7T-S721-F956-S19M-00000-00&amp;context=" TargetMode="External" /><Relationship Id="rId228" Type="http://schemas.openxmlformats.org/officeDocument/2006/relationships/hyperlink" Target="https://advance.lexis.com/api/document?collection=cases-ca&amp;id=urn:contentItem:5F7T-S741-DY89-M3FP-00000-00&amp;context=" TargetMode="External" /><Relationship Id="rId229" Type="http://schemas.openxmlformats.org/officeDocument/2006/relationships/hyperlink" Target="https://advance.lexis.com/api/document?collection=legislation-ca&amp;id=urn:contentItem:5F41-1FG1-JJYN-B0DY-00000-00&amp;context=" TargetMode="External" /><Relationship Id="rId23" Type="http://schemas.openxmlformats.org/officeDocument/2006/relationships/hyperlink" Target="https://advance.lexis.com/api/document?collection=cases-ca&amp;id=urn:contentItem:5F7T-S7K1-JKHB-633Y-00000-00&amp;context=" TargetMode="External" /><Relationship Id="rId230" Type="http://schemas.openxmlformats.org/officeDocument/2006/relationships/hyperlink" Target="https://advance.lexis.com/api/document?collection=cases-ca&amp;id=urn:contentItem:5F7T-S6W1-F7ND-G2JP-00000-00&amp;context=" TargetMode="External" /><Relationship Id="rId231" Type="http://schemas.openxmlformats.org/officeDocument/2006/relationships/hyperlink" Target="https://advance.lexis.com/api/document?collection=cases-ca&amp;id=urn:contentItem:5F7T-S6W1-JB7K-215D-00000-00&amp;context=" TargetMode="External" /><Relationship Id="rId232" Type="http://schemas.openxmlformats.org/officeDocument/2006/relationships/hyperlink" Target="https://advance.lexis.com/api/document?collection=cases-ca&amp;id=urn:contentItem:5F81-VJX1-FFTT-X1K0-00000-00&amp;context=" TargetMode="External" /><Relationship Id="rId233" Type="http://schemas.openxmlformats.org/officeDocument/2006/relationships/hyperlink" Target="https://advance.lexis.com/api/document?collection=cases-ca&amp;id=urn:contentItem:5F8P-SDT1-F7ND-G4Y4-00000-00&amp;context=" TargetMode="External" /><Relationship Id="rId234" Type="http://schemas.openxmlformats.org/officeDocument/2006/relationships/hyperlink" Target="https://advance.lexis.com/api/document?collection=cases-ca&amp;id=urn:contentItem:5F8T-N3V1-JTGH-B16V-00000-00&amp;context=" TargetMode="External" /><Relationship Id="rId235" Type="http://schemas.openxmlformats.org/officeDocument/2006/relationships/hyperlink" Target="https://advance.lexis.com/api/document?collection=cases-ca&amp;id=urn:contentItem:5F7T-S781-FH4C-X2VW-00000-00&amp;context=" TargetMode="External" /><Relationship Id="rId236" Type="http://schemas.openxmlformats.org/officeDocument/2006/relationships/hyperlink" Target="https://advance.lexis.com/api/document?collection=cases-ca&amp;id=urn:contentItem:5F7T-S741-F2F4-G25T-00000-00&amp;context=" TargetMode="External" /><Relationship Id="rId237" Type="http://schemas.openxmlformats.org/officeDocument/2006/relationships/header" Target="header34.xml" /><Relationship Id="rId238" Type="http://schemas.openxmlformats.org/officeDocument/2006/relationships/header" Target="header35.xml" /><Relationship Id="rId239" Type="http://schemas.openxmlformats.org/officeDocument/2006/relationships/footer" Target="footer34.xml" /><Relationship Id="rId24" Type="http://schemas.openxmlformats.org/officeDocument/2006/relationships/hyperlink" Target="https://advance.lexis.com/api/document?collection=legislation-ca&amp;id=urn:contentItem:5F41-1FJ1-JKPJ-G0P5-00000-00&amp;context=" TargetMode="External" /><Relationship Id="rId240" Type="http://schemas.openxmlformats.org/officeDocument/2006/relationships/footer" Target="footer35.xml" /><Relationship Id="rId241" Type="http://schemas.openxmlformats.org/officeDocument/2006/relationships/header" Target="header36.xml" /><Relationship Id="rId242" Type="http://schemas.openxmlformats.org/officeDocument/2006/relationships/footer" Target="footer36.xml" /><Relationship Id="rId243" Type="http://schemas.openxmlformats.org/officeDocument/2006/relationships/hyperlink" Target="https://advance.lexis.com/api/document?collection=cases-ca&amp;id=urn:contentItem:5F7T-S7F1-JBT7-X31B-00000-00&amp;context=" TargetMode="External" /><Relationship Id="rId244" Type="http://schemas.openxmlformats.org/officeDocument/2006/relationships/hyperlink" Target="https://advance.lexis.com/api/document?collection=legislation-ca&amp;id=urn:contentItem:5F41-1FJ1-JKPJ-G0P7-00000-00&amp;context=" TargetMode="External" /><Relationship Id="rId245" Type="http://schemas.openxmlformats.org/officeDocument/2006/relationships/hyperlink" Target="https://advance.lexis.com/api/document?collection=cases-ca&amp;id=urn:contentItem:5F7T-S781-F7G6-63ST-00000-00&amp;context=" TargetMode="External" /><Relationship Id="rId246" Type="http://schemas.openxmlformats.org/officeDocument/2006/relationships/header" Target="header37.xml" /><Relationship Id="rId247" Type="http://schemas.openxmlformats.org/officeDocument/2006/relationships/header" Target="header38.xml" /><Relationship Id="rId248" Type="http://schemas.openxmlformats.org/officeDocument/2006/relationships/footer" Target="footer37.xml" /><Relationship Id="rId249" Type="http://schemas.openxmlformats.org/officeDocument/2006/relationships/footer" Target="footer38.xml" /><Relationship Id="rId25" Type="http://schemas.openxmlformats.org/officeDocument/2006/relationships/hyperlink" Target="https://advance.lexis.com/api/document?collection=cases-ca&amp;id=urn:contentItem:5F7T-S751-JX3N-B0WP-00000-00&amp;context=" TargetMode="External" /><Relationship Id="rId250" Type="http://schemas.openxmlformats.org/officeDocument/2006/relationships/header" Target="header39.xml" /><Relationship Id="rId251" Type="http://schemas.openxmlformats.org/officeDocument/2006/relationships/footer" Target="footer39.xml" /><Relationship Id="rId252" Type="http://schemas.openxmlformats.org/officeDocument/2006/relationships/hyperlink" Target="https://advance.lexis.com/api/document?collection=cases-ca&amp;id=urn:contentItem:5F7T-S781-DYMS-61P1-00000-00&amp;context=" TargetMode="External" /><Relationship Id="rId253" Type="http://schemas.openxmlformats.org/officeDocument/2006/relationships/hyperlink" Target="https://advance.lexis.com/api/document?collection=cases-ca&amp;id=urn:contentItem:5F7T-S6X1-K0BB-S057-00000-00&amp;context=" TargetMode="External" /><Relationship Id="rId254" Type="http://schemas.openxmlformats.org/officeDocument/2006/relationships/hyperlink" Target="https://advance.lexis.com/api/document?collection=cases-ca&amp;id=urn:contentItem:5F7T-S6W1-JJK6-S1BY-00000-00&amp;context=" TargetMode="External" /><Relationship Id="rId255" Type="http://schemas.openxmlformats.org/officeDocument/2006/relationships/hyperlink" Target="https://advance.lexis.com/api/document?collection=cases-ca&amp;id=urn:contentItem:5F7T-S731-JNJT-B1P4-00000-00&amp;context=" TargetMode="External" /><Relationship Id="rId256" Type="http://schemas.openxmlformats.org/officeDocument/2006/relationships/hyperlink" Target="https://advance.lexis.com/api/document?collection=cases-ca&amp;id=urn:contentItem:5F7T-S741-F1H1-21FV-00000-00&amp;context=" TargetMode="External" /><Relationship Id="rId257" Type="http://schemas.openxmlformats.org/officeDocument/2006/relationships/hyperlink" Target="https://advance.lexis.com/api/document?collection=cases-ca&amp;id=urn:contentItem:5F82-1SD1-F8D9-M2DR-00000-00&amp;context=" TargetMode="External" /><Relationship Id="rId258" Type="http://schemas.openxmlformats.org/officeDocument/2006/relationships/hyperlink" Target="https://advance.lexis.com/api/document?collection=cases-ca&amp;id=urn:contentItem:5F7T-S771-FG68-G0SP-00000-00&amp;context=" TargetMode="External" /><Relationship Id="rId259" Type="http://schemas.openxmlformats.org/officeDocument/2006/relationships/hyperlink" Target="https://advance.lexis.com/api/document?collection=cases-ca&amp;id=urn:contentItem:5F7T-S771-JJD0-G1JN-00000-00&amp;context=" TargetMode="External" /><Relationship Id="rId26" Type="http://schemas.openxmlformats.org/officeDocument/2006/relationships/hyperlink" Target="https://advance.lexis.com/api/document?collection=cases-ca&amp;id=urn:contentItem:5F7T-S7C1-JSRM-60P3-00000-00&amp;context=" TargetMode="External" /><Relationship Id="rId260" Type="http://schemas.openxmlformats.org/officeDocument/2006/relationships/header" Target="header40.xml" /><Relationship Id="rId261" Type="http://schemas.openxmlformats.org/officeDocument/2006/relationships/header" Target="header41.xml" /><Relationship Id="rId262" Type="http://schemas.openxmlformats.org/officeDocument/2006/relationships/footer" Target="footer40.xml" /><Relationship Id="rId263" Type="http://schemas.openxmlformats.org/officeDocument/2006/relationships/footer" Target="footer41.xml" /><Relationship Id="rId264" Type="http://schemas.openxmlformats.org/officeDocument/2006/relationships/header" Target="header42.xml" /><Relationship Id="rId265" Type="http://schemas.openxmlformats.org/officeDocument/2006/relationships/footer" Target="footer42.xml" /><Relationship Id="rId266" Type="http://schemas.openxmlformats.org/officeDocument/2006/relationships/hyperlink" Target="https://advance.lexis.com/api/document?collection=cases-ca&amp;id=urn:contentItem:5F7T-S7J1-JYYX-62FF-00000-00&amp;context=" TargetMode="External" /><Relationship Id="rId267" Type="http://schemas.openxmlformats.org/officeDocument/2006/relationships/hyperlink" Target="https://advance.lexis.com/api/document?collection=legislation-ca&amp;id=urn:contentItem:5F41-1FG1-JC0G-61TV-00000-00&amp;context=" TargetMode="External" /><Relationship Id="rId268" Type="http://schemas.openxmlformats.org/officeDocument/2006/relationships/hyperlink" Target="https://advance.lexis.com/api/document?collection=cases-ca&amp;id=urn:contentItem:5F7T-S6W1-F528-G1CS-00000-00&amp;context=" TargetMode="External" /><Relationship Id="rId269" Type="http://schemas.openxmlformats.org/officeDocument/2006/relationships/hyperlink" Target="https://advance.lexis.com/api/document?collection=cases-ca&amp;id=urn:contentItem:5F8T-N3V1-JTGH-B1BH-00000-00&amp;context=" TargetMode="External" /><Relationship Id="rId27" Type="http://schemas.openxmlformats.org/officeDocument/2006/relationships/hyperlink" Target="https://advance.lexis.com/api/document?collection=cases-ca&amp;id=urn:contentItem:5F7T-S751-JCJ5-24TC-00000-00&amp;context=" TargetMode="External" /><Relationship Id="rId270" Type="http://schemas.openxmlformats.org/officeDocument/2006/relationships/hyperlink" Target="https://advance.lexis.com/api/document?collection=cases-ca&amp;id=urn:contentItem:5F2P-NNN1-FC6N-X2Y8-00000-00&amp;context=" TargetMode="External" /><Relationship Id="rId271" Type="http://schemas.openxmlformats.org/officeDocument/2006/relationships/hyperlink" Target="https://advance.lexis.com/api/document?collection=cases-ca&amp;id=urn:contentItem:5F7T-S701-F8KH-X14S-00000-00&amp;context=" TargetMode="External" /><Relationship Id="rId272" Type="http://schemas.openxmlformats.org/officeDocument/2006/relationships/hyperlink" Target="https://advance.lexis.com/api/document?collection=cases-ca&amp;id=urn:contentItem:5F7T-S7D1-FFFC-B1H1-00000-00&amp;context=" TargetMode="External" /><Relationship Id="rId273" Type="http://schemas.openxmlformats.org/officeDocument/2006/relationships/hyperlink" Target="https://advance.lexis.com/api/document?collection=cases-ca&amp;id=urn:contentItem:5F82-1SF1-F361-M3XR-00000-00&amp;context=" TargetMode="External" /><Relationship Id="rId274" Type="http://schemas.openxmlformats.org/officeDocument/2006/relationships/hyperlink" Target="https://advance.lexis.com/api/document?collection=cases-ca&amp;id=urn:contentItem:5F7T-S751-JBM1-M261-00000-00&amp;context=" TargetMode="External" /><Relationship Id="rId275" Type="http://schemas.openxmlformats.org/officeDocument/2006/relationships/header" Target="header43.xml" /><Relationship Id="rId276" Type="http://schemas.openxmlformats.org/officeDocument/2006/relationships/header" Target="header44.xml" /><Relationship Id="rId277" Type="http://schemas.openxmlformats.org/officeDocument/2006/relationships/footer" Target="footer43.xml" /><Relationship Id="rId278" Type="http://schemas.openxmlformats.org/officeDocument/2006/relationships/footer" Target="footer44.xml" /><Relationship Id="rId279" Type="http://schemas.openxmlformats.org/officeDocument/2006/relationships/header" Target="header45.xml" /><Relationship Id="rId28" Type="http://schemas.openxmlformats.org/officeDocument/2006/relationships/hyperlink" Target="https://advance.lexis.com/api/document?collection=cases-ca&amp;id=urn:contentItem:5F7H-KW61-JNCK-21TD-00000-00&amp;context=" TargetMode="External" /><Relationship Id="rId280" Type="http://schemas.openxmlformats.org/officeDocument/2006/relationships/footer" Target="footer45.xml" /><Relationship Id="rId281" Type="http://schemas.openxmlformats.org/officeDocument/2006/relationships/hyperlink" Target="https://advance.lexis.com/api/document?collection=cases-ca&amp;id=urn:contentItem:5F7T-S771-JJD0-G19R-00000-00&amp;context=" TargetMode="External" /><Relationship Id="rId282" Type="http://schemas.openxmlformats.org/officeDocument/2006/relationships/hyperlink" Target="https://advance.lexis.com/api/document?collection=cases-ca&amp;id=urn:contentItem:5F7T-S771-JJD0-G1FN-00000-00&amp;context=" TargetMode="External" /><Relationship Id="rId283" Type="http://schemas.openxmlformats.org/officeDocument/2006/relationships/hyperlink" Target="https://advance.lexis.com/api/document?collection=cases-ca&amp;id=urn:contentItem:5F7T-S771-JTGH-B161-00000-00&amp;context=" TargetMode="External" /><Relationship Id="rId284" Type="http://schemas.openxmlformats.org/officeDocument/2006/relationships/hyperlink" Target="https://advance.lexis.com/api/document?collection=cases-ca&amp;id=urn:contentItem:5F7T-S711-JB2B-S0W5-00000-00&amp;context=" TargetMode="External" /><Relationship Id="rId285" Type="http://schemas.openxmlformats.org/officeDocument/2006/relationships/hyperlink" Target="https://advance.lexis.com/api/document?collection=cases-ca&amp;id=urn:contentItem:5F7T-S701-JK4W-M10F-00000-00&amp;context=" TargetMode="External" /><Relationship Id="rId286" Type="http://schemas.openxmlformats.org/officeDocument/2006/relationships/hyperlink" Target="https://advance.lexis.com/api/document?collection=cases-ca&amp;id=urn:contentItem:5F8P-SCV1-JJK6-S00B-00000-00&amp;context=" TargetMode="External" /><Relationship Id="rId287" Type="http://schemas.openxmlformats.org/officeDocument/2006/relationships/hyperlink" Target="https://advance.lexis.com/api/document?collection=cases-ca&amp;id=urn:contentItem:5F81-VJW1-JGPY-X4BH-00000-00&amp;context=" TargetMode="External" /><Relationship Id="rId288" Type="http://schemas.openxmlformats.org/officeDocument/2006/relationships/hyperlink" Target="https://advance.lexis.com/api/document?collection=cases-ca&amp;id=urn:contentItem:5F8T-N3V1-JF75-M3VR-00000-00&amp;context=" TargetMode="External" /><Relationship Id="rId289" Type="http://schemas.openxmlformats.org/officeDocument/2006/relationships/hyperlink" Target="https://advance.lexis.com/api/document?collection=cases-ca&amp;id=urn:contentItem:5F8T-N3S1-JBDT-B09S-00000-00&amp;context=" TargetMode="External" /><Relationship Id="rId29" Type="http://schemas.openxmlformats.org/officeDocument/2006/relationships/hyperlink" Target="https://advance.lexis.com/api/document?collection=cases-ca&amp;id=urn:contentItem:5F7H-KW71-JN14-G0VT-00000-00&amp;context=" TargetMode="External" /><Relationship Id="rId290" Type="http://schemas.openxmlformats.org/officeDocument/2006/relationships/hyperlink" Target="https://advance.lexis.com/api/document?collection=cases-ca&amp;id=urn:contentItem:5F8T-N3S1-JT99-24PY-00000-00&amp;context=" TargetMode="External" /><Relationship Id="rId291" Type="http://schemas.openxmlformats.org/officeDocument/2006/relationships/header" Target="header46.xml" /><Relationship Id="rId292" Type="http://schemas.openxmlformats.org/officeDocument/2006/relationships/header" Target="header47.xml" /><Relationship Id="rId293" Type="http://schemas.openxmlformats.org/officeDocument/2006/relationships/footer" Target="footer46.xml" /><Relationship Id="rId294" Type="http://schemas.openxmlformats.org/officeDocument/2006/relationships/footer" Target="footer47.xml" /><Relationship Id="rId295" Type="http://schemas.openxmlformats.org/officeDocument/2006/relationships/header" Target="header48.xml" /><Relationship Id="rId296" Type="http://schemas.openxmlformats.org/officeDocument/2006/relationships/footer" Target="footer48.xml" /><Relationship Id="rId297" Type="http://schemas.openxmlformats.org/officeDocument/2006/relationships/hyperlink" Target="https://advance.lexis.com/api/document?collection=cases-ca&amp;id=urn:contentItem:5F7T-S7C1-JCJ5-20KN-00000-00&amp;context=" TargetMode="External" /><Relationship Id="rId298" Type="http://schemas.openxmlformats.org/officeDocument/2006/relationships/hyperlink" Target="https://advance.lexis.com/api/document?collection=legislation-ca&amp;id=urn:contentItem:5TBM-3RM1-F7VM-S13S-00000-00&amp;context=" TargetMode="External" /><Relationship Id="rId299" Type="http://schemas.openxmlformats.org/officeDocument/2006/relationships/hyperlink" Target="https://advance.lexis.com/api/document?collection=legislation-ca&amp;id=urn:contentItem:5F41-1FK1-DY33-B0JT-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01-JGPY-X1VH-00000-00&amp;context=" TargetMode="External" /><Relationship Id="rId300" Type="http://schemas.openxmlformats.org/officeDocument/2006/relationships/hyperlink" Target="https://advance.lexis.com/api/document?collection=cases-ca&amp;id=urn:contentItem:5F7T-S781-F7G6-63N4-00000-00&amp;context=" TargetMode="External" /><Relationship Id="rId301" Type="http://schemas.openxmlformats.org/officeDocument/2006/relationships/hyperlink" Target="https://advance.lexis.com/api/document?collection=cases-ca&amp;id=urn:contentItem:5F7T-S771-JSJC-X059-00000-00&amp;context=" TargetMode="External" /><Relationship Id="rId302" Type="http://schemas.openxmlformats.org/officeDocument/2006/relationships/hyperlink" Target="https://advance.lexis.com/api/document?collection=cases-ca&amp;id=urn:contentItem:5F7T-S781-DYMS-619P-00000-00&amp;context=" TargetMode="External" /><Relationship Id="rId303" Type="http://schemas.openxmlformats.org/officeDocument/2006/relationships/hyperlink" Target="https://advance.lexis.com/api/document?collection=cases-ca&amp;id=urn:contentItem:5F7T-S7C1-F7ND-G044-00000-00&amp;context=" TargetMode="External" /><Relationship Id="rId304" Type="http://schemas.openxmlformats.org/officeDocument/2006/relationships/hyperlink" Target="https://advance.lexis.com/api/document?collection=cases-ca&amp;id=urn:contentItem:5F7T-S751-JP4G-614D-00000-00&amp;context=" TargetMode="External" /><Relationship Id="rId305" Type="http://schemas.openxmlformats.org/officeDocument/2006/relationships/hyperlink" Target="https://advance.lexis.com/api/document?collection=cases-ca&amp;id=urn:contentItem:5F7T-S741-DY89-M39J-00000-00&amp;context=" TargetMode="External" /><Relationship Id="rId306" Type="http://schemas.openxmlformats.org/officeDocument/2006/relationships/hyperlink" Target="https://advance.lexis.com/api/document?collection=cases-ca&amp;id=urn:contentItem:5F7T-S741-F57G-S226-00000-00&amp;context=" TargetMode="External" /><Relationship Id="rId307" Type="http://schemas.openxmlformats.org/officeDocument/2006/relationships/hyperlink" Target="https://advance.lexis.com/api/document?collection=cases-ca&amp;id=urn:contentItem:5F81-YGM1-JG02-S15P-00000-00&amp;context=" TargetMode="External" /><Relationship Id="rId308" Type="http://schemas.openxmlformats.org/officeDocument/2006/relationships/hyperlink" Target="https://advance.lexis.com/api/document?collection=cases-ca&amp;id=urn:contentItem:5F8T-N3V1-FC1F-M486-00000-00&amp;context=" TargetMode="External" /><Relationship Id="rId309" Type="http://schemas.openxmlformats.org/officeDocument/2006/relationships/hyperlink" Target="https://advance.lexis.com/api/document?collection=cases-ca&amp;id=urn:contentItem:5F7T-S771-JJD0-G1DB-00000-00&amp;context=" TargetMode="External" /><Relationship Id="rId31" Type="http://schemas.openxmlformats.org/officeDocument/2006/relationships/hyperlink" Target="https://advance.lexis.com/api/document?collection=cases-ca&amp;id=urn:contentItem:5F7T-S6Y1-JP9P-G1KG-00000-00&amp;context=" TargetMode="External" /><Relationship Id="rId310" Type="http://schemas.openxmlformats.org/officeDocument/2006/relationships/hyperlink" Target="https://advance.lexis.com/api/document?collection=cases-ca&amp;id=urn:contentItem:5F8P-SCK1-FGJR-24F2-00000-00&amp;context=" TargetMode="External" /><Relationship Id="rId311" Type="http://schemas.openxmlformats.org/officeDocument/2006/relationships/hyperlink" Target="https://advance.lexis.com/api/document?collection=cases-ca&amp;id=urn:contentItem:5F8P-SD51-F8KH-X49N-00000-00&amp;context=" TargetMode="External" /><Relationship Id="rId312" Type="http://schemas.openxmlformats.org/officeDocument/2006/relationships/hyperlink" Target="https://advance.lexis.com/api/document?collection=cases-ca&amp;id=urn:contentItem:5F81-VJX1-FFTT-X1MM-00000-00&amp;context=" TargetMode="External" /><Relationship Id="rId313" Type="http://schemas.openxmlformats.org/officeDocument/2006/relationships/hyperlink" Target="https://advance.lexis.com/api/document?collection=cases-ca&amp;id=urn:contentItem:5F7T-S761-F81W-224Y-00000-00&amp;context=" TargetMode="External" /><Relationship Id="rId314" Type="http://schemas.openxmlformats.org/officeDocument/2006/relationships/hyperlink" Target="https://advance.lexis.com/api/document?collection=cases-ca&amp;id=urn:contentItem:5F81-VJX1-FFTT-X1TD-00000-00&amp;context=" TargetMode="External" /><Relationship Id="rId315" Type="http://schemas.openxmlformats.org/officeDocument/2006/relationships/hyperlink" Target="https://advance.lexis.com/api/document?collection=cases-ca&amp;id=urn:contentItem:5F7T-S771-F2TK-22T7-00000-00&amp;context=" TargetMode="External" /><Relationship Id="rId316" Type="http://schemas.openxmlformats.org/officeDocument/2006/relationships/hyperlink" Target="https://advance.lexis.com/api/document?collection=cases-ca&amp;id=urn:contentItem:5F7T-S751-FJDY-X419-00000-00&amp;context=" TargetMode="External" /><Relationship Id="rId317" Type="http://schemas.openxmlformats.org/officeDocument/2006/relationships/hyperlink" Target="https://advance.lexis.com/api/document?collection=cases-ca&amp;id=urn:contentItem:5F81-VJX1-F22N-X1SY-00000-00&amp;context=" TargetMode="External" /><Relationship Id="rId318" Type="http://schemas.openxmlformats.org/officeDocument/2006/relationships/hyperlink" Target="https://advance.lexis.com/api/document?collection=cases-ca&amp;id=urn:contentItem:5F81-VJX1-FFTT-X1XP-00000-00&amp;context=" TargetMode="External" /><Relationship Id="rId319" Type="http://schemas.openxmlformats.org/officeDocument/2006/relationships/hyperlink" Target="https://advance.lexis.com/api/document?collection=cases-ca&amp;id=urn:contentItem:5F81-VJX1-JJYN-B4YG-00000-00&amp;context=" TargetMode="External" /><Relationship Id="rId32" Type="http://schemas.openxmlformats.org/officeDocument/2006/relationships/hyperlink" Target="https://advance.lexis.com/api/document?collection=cases-ca&amp;id=urn:contentItem:5F7T-S761-JX8W-M2W3-00000-00&amp;context=" TargetMode="External" /><Relationship Id="rId320" Type="http://schemas.openxmlformats.org/officeDocument/2006/relationships/hyperlink" Target="https://advance.lexis.com/api/document?collection=cases-ca&amp;id=urn:contentItem:5F81-VJX1-JJYN-B531-00000-00&amp;context=" TargetMode="External" /><Relationship Id="rId321" Type="http://schemas.openxmlformats.org/officeDocument/2006/relationships/hyperlink" Target="https://advance.lexis.com/api/document?collection=cases-ca&amp;id=urn:contentItem:5F82-1SF1-K054-G4F1-00000-00&amp;context=" TargetMode="External" /><Relationship Id="rId322" Type="http://schemas.openxmlformats.org/officeDocument/2006/relationships/hyperlink" Target="https://advance.lexis.com/api/document?collection=cases-ca&amp;id=urn:contentItem:5F81-VJX1-JJYN-B4GP-00000-00&amp;context=" TargetMode="External" /><Relationship Id="rId323" Type="http://schemas.openxmlformats.org/officeDocument/2006/relationships/hyperlink" Target="https://advance.lexis.com/api/document?collection=cases-ca&amp;id=urn:contentItem:5F82-1SD1-F8D9-M2HK-00000-00&amp;context=" TargetMode="External" /><Relationship Id="rId324" Type="http://schemas.openxmlformats.org/officeDocument/2006/relationships/hyperlink" Target="https://advance.lexis.com/api/document?collection=cases-ca&amp;id=urn:contentItem:5F7T-S7C1-F4NT-X3GV-00000-00&amp;context=" TargetMode="External" /><Relationship Id="rId325" Type="http://schemas.openxmlformats.org/officeDocument/2006/relationships/hyperlink" Target="https://advance.lexis.com/api/document?collection=cases-ca&amp;id=urn:contentItem:5F8T-N3V1-FC1F-M497-00000-00&amp;context=" TargetMode="External" /><Relationship Id="rId326" Type="http://schemas.openxmlformats.org/officeDocument/2006/relationships/hyperlink" Target="https://advance.lexis.com/api/document?collection=cases-ca&amp;id=urn:contentItem:5F81-VJX1-JJYN-B4M5-00000-00&amp;context=" TargetMode="External" /><Relationship Id="rId327" Type="http://schemas.openxmlformats.org/officeDocument/2006/relationships/hyperlink" Target="https://advance.lexis.com/api/document?collection=cases-ca&amp;id=urn:contentItem:5F81-VJX1-FFTT-X1S9-00000-00&amp;context=" TargetMode="External" /><Relationship Id="rId328" Type="http://schemas.openxmlformats.org/officeDocument/2006/relationships/hyperlink" Target="https://advance.lexis.com/api/document?collection=cases-ca&amp;id=urn:contentItem:5F8T-N3V1-FC1F-M46D-00000-00&amp;context=" TargetMode="External" /><Relationship Id="rId329" Type="http://schemas.openxmlformats.org/officeDocument/2006/relationships/header" Target="header49.xml" /><Relationship Id="rId33" Type="http://schemas.openxmlformats.org/officeDocument/2006/relationships/hyperlink" Target="https://advance.lexis.com/api/document?collection=cases-ca&amp;id=urn:contentItem:5F7T-S741-F2F4-G2B9-00000-00&amp;context=" TargetMode="External" /><Relationship Id="rId330" Type="http://schemas.openxmlformats.org/officeDocument/2006/relationships/header" Target="header50.xml" /><Relationship Id="rId331" Type="http://schemas.openxmlformats.org/officeDocument/2006/relationships/footer" Target="footer49.xml" /><Relationship Id="rId332" Type="http://schemas.openxmlformats.org/officeDocument/2006/relationships/footer" Target="footer50.xml" /><Relationship Id="rId333" Type="http://schemas.openxmlformats.org/officeDocument/2006/relationships/header" Target="header51.xml" /><Relationship Id="rId334" Type="http://schemas.openxmlformats.org/officeDocument/2006/relationships/footer" Target="footer51.xml" /><Relationship Id="rId335" Type="http://schemas.openxmlformats.org/officeDocument/2006/relationships/hyperlink" Target="https://advance.lexis.com/api/document?collection=cases-ca&amp;id=urn:contentItem:5F7T-S7M1-DYMS-62G4-00000-00&amp;context=" TargetMode="External" /><Relationship Id="rId336" Type="http://schemas.openxmlformats.org/officeDocument/2006/relationships/hyperlink" Target="https://advance.lexis.com/api/document?collection=cases-ca&amp;id=urn:contentItem:5K6Y-81N1-JN14-G1NS-00000-00&amp;context=" TargetMode="External" /><Relationship Id="rId337" Type="http://schemas.openxmlformats.org/officeDocument/2006/relationships/hyperlink" Target="https://advance.lexis.com/api/document?collection=legislation-ca&amp;id=urn:contentItem:5MTG-54W1-DYFH-X1ST-00000-00&amp;context=" TargetMode="External" /><Relationship Id="rId338" Type="http://schemas.openxmlformats.org/officeDocument/2006/relationships/hyperlink" Target="https://advance.lexis.com/api/document?collection=cases-ca&amp;id=urn:contentItem:5F7T-S7K1-JSJC-X0P1-00000-00&amp;context=" TargetMode="External" /><Relationship Id="rId339" Type="http://schemas.openxmlformats.org/officeDocument/2006/relationships/hyperlink" Target="https://advance.lexis.com/api/document?collection=cases-ca&amp;id=urn:contentItem:5F7T-S7H1-JS5Y-B2V6-00000-00&amp;context=" TargetMode="External" /><Relationship Id="rId34" Type="http://schemas.openxmlformats.org/officeDocument/2006/relationships/hyperlink" Target="https://advance.lexis.com/api/document?collection=cases-ca&amp;id=urn:contentItem:5F7T-S701-F8KH-X150-00000-00&amp;context=" TargetMode="External" /><Relationship Id="rId340" Type="http://schemas.openxmlformats.org/officeDocument/2006/relationships/hyperlink" Target="https://advance.lexis.com/api/document?collection=cases-ca&amp;id=urn:contentItem:5F8T-N3V1-JTGH-B1J4-00000-00&amp;context=" TargetMode="External" /><Relationship Id="rId341" Type="http://schemas.openxmlformats.org/officeDocument/2006/relationships/hyperlink" Target="https://advance.lexis.com/api/document?collection=cases-ca&amp;id=urn:contentItem:5F7H-KW91-JFDC-X0VB-00000-00&amp;context=" TargetMode="External" /><Relationship Id="rId342" Type="http://schemas.openxmlformats.org/officeDocument/2006/relationships/hyperlink" Target="https://advance.lexis.com/api/document?collection=cases-ca&amp;id=urn:contentItem:5F8T-N3V1-JTGH-B1GX-00000-00&amp;context=" TargetMode="External" /><Relationship Id="rId343" Type="http://schemas.openxmlformats.org/officeDocument/2006/relationships/hyperlink" Target="https://advance.lexis.com/api/document?collection=cases-ca&amp;id=urn:contentItem:5F7T-S6R1-JW09-M02N-00000-00&amp;context=" TargetMode="External" /><Relationship Id="rId344" Type="http://schemas.openxmlformats.org/officeDocument/2006/relationships/hyperlink" Target="https://advance.lexis.com/api/document?collection=cases-ca&amp;id=urn:contentItem:5F7T-S7J1-JGBH-B2FV-00000-00&amp;context=" TargetMode="External" /><Relationship Id="rId345" Type="http://schemas.openxmlformats.org/officeDocument/2006/relationships/hyperlink" Target="https://advance.lexis.com/api/document?collection=cases-ca&amp;id=urn:contentItem:5F7H-KW91-FGJR-20SH-00000-00&amp;context=" TargetMode="External" /><Relationship Id="rId346" Type="http://schemas.openxmlformats.org/officeDocument/2006/relationships/hyperlink" Target="https://advance.lexis.com/api/document?collection=cases-ca&amp;id=urn:contentItem:5F7T-S7D1-F7ND-G0H0-00000-00&amp;context=" TargetMode="External" /><Relationship Id="rId347" Type="http://schemas.openxmlformats.org/officeDocument/2006/relationships/hyperlink" Target="https://advance.lexis.com/api/document?collection=cases-ca&amp;id=urn:contentItem:5F16-9391-F5KY-B1WP-00000-00&amp;context=" TargetMode="External" /><Relationship Id="rId348" Type="http://schemas.openxmlformats.org/officeDocument/2006/relationships/hyperlink" Target="https://advance.lexis.com/api/document?collection=cases-ca&amp;id=urn:contentItem:5F81-VJX1-JKPJ-G1RP-00000-00&amp;context=" TargetMode="External" /><Relationship Id="rId349" Type="http://schemas.openxmlformats.org/officeDocument/2006/relationships/hyperlink" Target="https://advance.lexis.com/api/document?collection=cases-ca&amp;id=urn:contentItem:5F8P-JG71-JC0G-61JX-00000-00&amp;context=" TargetMode="External" /><Relationship Id="rId35" Type="http://schemas.openxmlformats.org/officeDocument/2006/relationships/hyperlink" Target="https://advance.lexis.com/api/document?collection=cases-ca&amp;id=urn:contentItem:5F7T-S7C1-F4NT-X30F-00000-00&amp;context=" TargetMode="External" /><Relationship Id="rId350" Type="http://schemas.openxmlformats.org/officeDocument/2006/relationships/hyperlink" Target="https://advance.lexis.com/api/document?collection=cases-ca&amp;id=urn:contentItem:5F7H-KW91-DYFH-X0SV-00000-00&amp;context=" TargetMode="External" /><Relationship Id="rId351" Type="http://schemas.openxmlformats.org/officeDocument/2006/relationships/hyperlink" Target="https://advance.lexis.com/api/document?collection=cases-ca&amp;id=urn:contentItem:5F16-9351-FGRY-B48S-00000-00&amp;context=" TargetMode="External" /><Relationship Id="rId352" Type="http://schemas.openxmlformats.org/officeDocument/2006/relationships/hyperlink" Target="https://advance.lexis.com/api/document?collection=cases-ca&amp;id=urn:contentItem:5F8P-SF71-F8SS-6454-00000-00&amp;context=" TargetMode="External" /><Relationship Id="rId353" Type="http://schemas.openxmlformats.org/officeDocument/2006/relationships/hyperlink" Target="https://advance.lexis.com/api/document?collection=cases-ca&amp;id=urn:contentItem:5F7T-S751-JGHR-M1Y5-00000-00&amp;context=" TargetMode="External" /><Relationship Id="rId354" Type="http://schemas.openxmlformats.org/officeDocument/2006/relationships/hyperlink" Target="https://advance.lexis.com/api/document?collection=cases-ca&amp;id=urn:contentItem:5F7T-S6W1-JJK6-S1F6-00000-00&amp;context=" TargetMode="External" /><Relationship Id="rId355" Type="http://schemas.openxmlformats.org/officeDocument/2006/relationships/header" Target="header52.xml" /><Relationship Id="rId356" Type="http://schemas.openxmlformats.org/officeDocument/2006/relationships/header" Target="header53.xml" /><Relationship Id="rId357" Type="http://schemas.openxmlformats.org/officeDocument/2006/relationships/footer" Target="footer52.xml" /><Relationship Id="rId358" Type="http://schemas.openxmlformats.org/officeDocument/2006/relationships/footer" Target="footer53.xml" /><Relationship Id="rId359" Type="http://schemas.openxmlformats.org/officeDocument/2006/relationships/header" Target="header54.xml" /><Relationship Id="rId36" Type="http://schemas.openxmlformats.org/officeDocument/2006/relationships/hyperlink" Target="https://advance.lexis.com/api/document?collection=cases-ca&amp;id=urn:contentItem:5F7T-S7C1-F4NT-X3TV-00000-00&amp;context=" TargetMode="External" /><Relationship Id="rId360" Type="http://schemas.openxmlformats.org/officeDocument/2006/relationships/footer" Target="footer54.xml" /><Relationship Id="rId361" Type="http://schemas.openxmlformats.org/officeDocument/2006/relationships/hyperlink" Target="https://advance.lexis.com/api/document?collection=cases-ca&amp;id=urn:contentItem:5F7T-S7H1-JCRC-B11H-00000-00&amp;context=" TargetMode="External" /><Relationship Id="rId362" Type="http://schemas.openxmlformats.org/officeDocument/2006/relationships/hyperlink" Target="https://advance.lexis.com/api/document?collection=cases-ca&amp;id=urn:contentItem:5F7T-S7J1-JGBH-B2K9-00000-00&amp;context=" TargetMode="External" /><Relationship Id="rId363" Type="http://schemas.openxmlformats.org/officeDocument/2006/relationships/hyperlink" Target="https://advance.lexis.com/api/document?collection=legislation-ca&amp;id=urn:contentItem:5F41-1FK1-F2TK-215Y-00000-00&amp;context=" TargetMode="External" /><Relationship Id="rId364" Type="http://schemas.openxmlformats.org/officeDocument/2006/relationships/hyperlink" Target="https://advance.lexis.com/api/document?collection=legislation-ca&amp;id=urn:contentItem:5F41-1FK1-DY33-B0FR-00000-00&amp;context=" TargetMode="External" /><Relationship Id="rId365" Type="http://schemas.openxmlformats.org/officeDocument/2006/relationships/hyperlink" Target="https://advance.lexis.com/api/document?collection=cases-ca&amp;id=urn:contentItem:5F8P-SDP1-JGPY-X3JW-00000-00&amp;context=" TargetMode="External" /><Relationship Id="rId366" Type="http://schemas.openxmlformats.org/officeDocument/2006/relationships/hyperlink" Target="https://advance.lexis.com/api/document?collection=cases-ca&amp;id=urn:contentItem:5F81-VJX1-FGY5-M3NT-00000-00&amp;context=" TargetMode="External" /><Relationship Id="rId367" Type="http://schemas.openxmlformats.org/officeDocument/2006/relationships/hyperlink" Target="https://advance.lexis.com/api/document?collection=cases-ca&amp;id=urn:contentItem:5F8P-SGB1-JKB3-X1H7-00000-00&amp;context=" TargetMode="External" /><Relationship Id="rId368" Type="http://schemas.openxmlformats.org/officeDocument/2006/relationships/hyperlink" Target="https://advance.lexis.com/api/document?collection=cases-ca&amp;id=urn:contentItem:5F8P-SD31-JSRM-633X-00000-00&amp;context=" TargetMode="External" /><Relationship Id="rId369" Type="http://schemas.openxmlformats.org/officeDocument/2006/relationships/hyperlink" Target="https://advance.lexis.com/api/document?collection=cases-ca&amp;id=urn:contentItem:5F8P-SD81-JX8W-M4JF-00000-00&amp;context=" TargetMode="External" /><Relationship Id="rId37" Type="http://schemas.openxmlformats.org/officeDocument/2006/relationships/hyperlink" Target="https://advance.lexis.com/api/document?collection=cases-ca&amp;id=urn:contentItem:5F7T-S771-F81W-22VF-00000-00&amp;context=" TargetMode="External" /><Relationship Id="rId370" Type="http://schemas.openxmlformats.org/officeDocument/2006/relationships/hyperlink" Target="https://advance.lexis.com/api/document?collection=cases-ca&amp;id=urn:contentItem:5F7T-S7F1-JFKM-61TC-00000-00&amp;context=" TargetMode="External" /><Relationship Id="rId371" Type="http://schemas.openxmlformats.org/officeDocument/2006/relationships/hyperlink" Target="https://advance.lexis.com/api/document?collection=cases-ca&amp;id=urn:contentItem:5F81-VJX1-FFTT-X1KB-00000-00&amp;context=" TargetMode="External" /><Relationship Id="rId372" Type="http://schemas.openxmlformats.org/officeDocument/2006/relationships/hyperlink" Target="https://advance.lexis.com/api/document?collection=cases-ca&amp;id=urn:contentItem:5F81-VJX1-FFTT-X1MT-00000-00&amp;context=" TargetMode="External" /><Relationship Id="rId373" Type="http://schemas.openxmlformats.org/officeDocument/2006/relationships/hyperlink" Target="https://advance.lexis.com/api/document?collection=cases-ca&amp;id=urn:contentItem:5F82-1SD1-JFKM-60FX-00000-00&amp;context=" TargetMode="External" /><Relationship Id="rId374" Type="http://schemas.openxmlformats.org/officeDocument/2006/relationships/hyperlink" Target="https://advance.lexis.com/api/document?collection=cases-ca&amp;id=urn:contentItem:5F81-VJX1-JJYN-B4KT-00000-00&amp;context=" TargetMode="External" /><Relationship Id="rId375" Type="http://schemas.openxmlformats.org/officeDocument/2006/relationships/hyperlink" Target="https://advance.lexis.com/api/document?collection=cases-ca&amp;id=urn:contentItem:5F7T-S771-FG68-G103-00000-00&amp;context=" TargetMode="External" /><Relationship Id="rId376" Type="http://schemas.openxmlformats.org/officeDocument/2006/relationships/hyperlink" Target="https://advance.lexis.com/api/document?collection=cases-ca&amp;id=urn:contentItem:5F7T-S761-JX8W-M2NW-00000-00&amp;context=" TargetMode="External" /><Relationship Id="rId377" Type="http://schemas.openxmlformats.org/officeDocument/2006/relationships/hyperlink" Target="https://advance.lexis.com/api/document?collection=cases-ca&amp;id=urn:contentItem:5F81-VJX1-FD4T-B30N-00000-00&amp;context=" TargetMode="External" /><Relationship Id="rId378" Type="http://schemas.openxmlformats.org/officeDocument/2006/relationships/hyperlink" Target="https://advance.lexis.com/api/document?collection=cases-ca&amp;id=urn:contentItem:5F8T-N3V1-JTGH-B1C7-00000-00&amp;context=" TargetMode="External" /><Relationship Id="rId379" Type="http://schemas.openxmlformats.org/officeDocument/2006/relationships/hyperlink" Target="https://advance.lexis.com/api/document?collection=cases-ca&amp;id=urn:contentItem:5F81-VJX1-JJYN-B4T6-00000-00&amp;context=" TargetMode="External" /><Relationship Id="rId38" Type="http://schemas.openxmlformats.org/officeDocument/2006/relationships/hyperlink" Target="https://advance.lexis.com/api/document?collection=cases-ca&amp;id=urn:contentItem:5F7T-S771-JTGH-B1B4-00000-00&amp;context=" TargetMode="External" /><Relationship Id="rId380" Type="http://schemas.openxmlformats.org/officeDocument/2006/relationships/hyperlink" Target="https://advance.lexis.com/api/document?collection=cases-ca&amp;id=urn:contentItem:5F7T-S771-F361-M1J8-00000-00&amp;context=" TargetMode="External" /><Relationship Id="rId381" Type="http://schemas.openxmlformats.org/officeDocument/2006/relationships/hyperlink" Target="https://advance.lexis.com/api/document?collection=cases-ca&amp;id=urn:contentItem:5F7T-S7B1-F7ND-G541-00000-00&amp;context=" TargetMode="External" /><Relationship Id="rId382" Type="http://schemas.openxmlformats.org/officeDocument/2006/relationships/hyperlink" Target="https://advance.lexis.com/api/document?collection=cases-ca&amp;id=urn:contentItem:5F8P-SDS1-F1WF-M2C5-00000-00&amp;context=" TargetMode="External" /><Relationship Id="rId383" Type="http://schemas.openxmlformats.org/officeDocument/2006/relationships/hyperlink" Target="https://advance.lexis.com/api/document?collection=cases-ca&amp;id=urn:contentItem:5F81-VJX1-JP9P-G4WT-00000-00&amp;context=" TargetMode="External" /><Relationship Id="rId384" Type="http://schemas.openxmlformats.org/officeDocument/2006/relationships/hyperlink" Target="https://advance.lexis.com/api/document?collection=cases-ca&amp;id=urn:contentItem:5F8P-SF11-JF1Y-B32K-00000-00&amp;context=" TargetMode="External" /><Relationship Id="rId385" Type="http://schemas.openxmlformats.org/officeDocument/2006/relationships/hyperlink" Target="https://advance.lexis.com/api/document?collection=cases-ca&amp;id=urn:contentItem:5F81-VJX1-JKPJ-G1Y3-00000-00&amp;context=" TargetMode="External" /><Relationship Id="rId386" Type="http://schemas.openxmlformats.org/officeDocument/2006/relationships/hyperlink" Target="https://advance.lexis.com/api/document?collection=cases-ca&amp;id=urn:contentItem:5F8P-SDV1-JFSV-G4VN-00000-00&amp;context=" TargetMode="External" /><Relationship Id="rId387" Type="http://schemas.openxmlformats.org/officeDocument/2006/relationships/header" Target="header55.xml" /><Relationship Id="rId388" Type="http://schemas.openxmlformats.org/officeDocument/2006/relationships/header" Target="header56.xml" /><Relationship Id="rId389" Type="http://schemas.openxmlformats.org/officeDocument/2006/relationships/footer" Target="footer55.xml" /><Relationship Id="rId39" Type="http://schemas.openxmlformats.org/officeDocument/2006/relationships/hyperlink" Target="https://advance.lexis.com/api/document?collection=cases-ca&amp;id=urn:contentItem:5F7T-S771-JSJC-X02P-00000-00&amp;context=" TargetMode="External" /><Relationship Id="rId390" Type="http://schemas.openxmlformats.org/officeDocument/2006/relationships/footer" Target="footer56.xml" /><Relationship Id="rId391" Type="http://schemas.openxmlformats.org/officeDocument/2006/relationships/header" Target="header57.xml" /><Relationship Id="rId392" Type="http://schemas.openxmlformats.org/officeDocument/2006/relationships/footer" Target="footer57.xml" /><Relationship Id="rId393" Type="http://schemas.openxmlformats.org/officeDocument/2006/relationships/hyperlink" Target="https://advance.lexis.com/api/document?collection=cases-ca&amp;id=urn:contentItem:5F7T-S7P1-JCRC-B20R-00000-00&amp;context=" TargetMode="External" /><Relationship Id="rId394" Type="http://schemas.openxmlformats.org/officeDocument/2006/relationships/hyperlink" Target="https://advance.lexis.com/api/document?collection=cases-ca&amp;id=urn:contentItem:5F7T-S7H1-JFSV-G38X-00000-00&amp;context=" TargetMode="External" /><Relationship Id="rId395" Type="http://schemas.openxmlformats.org/officeDocument/2006/relationships/hyperlink" Target="https://advance.lexis.com/api/document?collection=cases-ca&amp;id=urn:contentItem:5F7T-S7C1-JSRM-60TS-00000-00&amp;context=" TargetMode="External" /><Relationship Id="rId396" Type="http://schemas.openxmlformats.org/officeDocument/2006/relationships/hyperlink" Target="https://advance.lexis.com/api/document?collection=cases-ca&amp;id=urn:contentItem:5F7T-S781-JC5P-G1HX-00000-00&amp;context=" TargetMode="External" /><Relationship Id="rId397" Type="http://schemas.openxmlformats.org/officeDocument/2006/relationships/hyperlink" Target="https://advance.lexis.com/api/document?collection=cases-ca&amp;id=urn:contentItem:5F7T-S7C1-FGRY-B0BG-00000-00&amp;context=" TargetMode="External" /><Relationship Id="rId398" Type="http://schemas.openxmlformats.org/officeDocument/2006/relationships/hyperlink" Target="https://advance.lexis.com/api/document?collection=cases-ca&amp;id=urn:contentItem:5F7T-S761-JGHR-M2F7-00000-00&amp;context=" TargetMode="External" /><Relationship Id="rId399" Type="http://schemas.openxmlformats.org/officeDocument/2006/relationships/hyperlink" Target="https://advance.lexis.com/api/document?collection=cases-ca&amp;id=urn:contentItem:5F8P-SDV1-JG02-S1BV-00000-00&amp;context=" TargetMode="External" /><Relationship Id="rId4" Type="http://schemas.openxmlformats.org/officeDocument/2006/relationships/header" Target="header1.xml" /><Relationship Id="rId40" Type="http://schemas.openxmlformats.org/officeDocument/2006/relationships/header" Target="header7.xml" /><Relationship Id="rId400" Type="http://schemas.openxmlformats.org/officeDocument/2006/relationships/hyperlink" Target="https://advance.lexis.com/api/document?collection=cases-ca&amp;id=urn:contentItem:5F8T-N3V1-JTGH-B1DM-00000-00&amp;context=" TargetMode="External" /><Relationship Id="rId401" Type="http://schemas.openxmlformats.org/officeDocument/2006/relationships/hyperlink" Target="https://advance.lexis.com/api/document?collection=cases-ca&amp;id=urn:contentItem:5F7T-S7N1-JJ1H-X34D-00000-00&amp;context=" TargetMode="External" /><Relationship Id="rId402" Type="http://schemas.openxmlformats.org/officeDocument/2006/relationships/hyperlink" Target="https://advance.lexis.com/api/document?collection=cases-ca&amp;id=urn:contentItem:5F7T-S731-JNJT-B238-00000-00&amp;context=" TargetMode="External" /><Relationship Id="rId403" Type="http://schemas.openxmlformats.org/officeDocument/2006/relationships/hyperlink" Target="https://advance.lexis.com/api/document?collection=cases-ca&amp;id=urn:contentItem:5F7T-S6X1-JXNB-630H-00000-00&amp;context=" TargetMode="External" /><Relationship Id="rId404" Type="http://schemas.openxmlformats.org/officeDocument/2006/relationships/hyperlink" Target="https://advance.lexis.com/api/document?collection=cases-ca&amp;id=urn:contentItem:5F7T-S721-FD4T-B0S0-00000-00&amp;context=" TargetMode="External" /><Relationship Id="rId405" Type="http://schemas.openxmlformats.org/officeDocument/2006/relationships/hyperlink" Target="https://advance.lexis.com/api/document?collection=cases-ca&amp;id=urn:contentItem:5F7T-S731-F016-S3GF-00000-00&amp;context=" TargetMode="External" /><Relationship Id="rId406" Type="http://schemas.openxmlformats.org/officeDocument/2006/relationships/hyperlink" Target="https://advance.lexis.com/api/document?collection=cases-ca&amp;id=urn:contentItem:5F7T-S7C1-F7VM-S3DX-00000-00&amp;context=" TargetMode="External" /><Relationship Id="rId407" Type="http://schemas.openxmlformats.org/officeDocument/2006/relationships/hyperlink" Target="https://advance.lexis.com/api/document?collection=cases-ca&amp;id=urn:contentItem:5F7T-S6Y1-FJDY-X23K-00000-00&amp;context=" TargetMode="External" /><Relationship Id="rId408" Type="http://schemas.openxmlformats.org/officeDocument/2006/relationships/hyperlink" Target="https://advance.lexis.com/api/document?collection=cases-ca&amp;id=urn:contentItem:5F7T-S7J1-FGCG-S0GD-00000-00&amp;context=" TargetMode="External" /><Relationship Id="rId409" Type="http://schemas.openxmlformats.org/officeDocument/2006/relationships/hyperlink" Target="https://advance.lexis.com/api/document?collection=cases-ca&amp;id=urn:contentItem:5F7T-S7M1-JPP5-22JT-00000-00&amp;context=" TargetMode="External" /><Relationship Id="rId41" Type="http://schemas.openxmlformats.org/officeDocument/2006/relationships/header" Target="header8.xml" /><Relationship Id="rId410" Type="http://schemas.openxmlformats.org/officeDocument/2006/relationships/header" Target="header58.xml" /><Relationship Id="rId411" Type="http://schemas.openxmlformats.org/officeDocument/2006/relationships/header" Target="header59.xml" /><Relationship Id="rId412" Type="http://schemas.openxmlformats.org/officeDocument/2006/relationships/footer" Target="footer58.xml" /><Relationship Id="rId413" Type="http://schemas.openxmlformats.org/officeDocument/2006/relationships/footer" Target="footer59.xml" /><Relationship Id="rId414" Type="http://schemas.openxmlformats.org/officeDocument/2006/relationships/header" Target="header60.xml" /><Relationship Id="rId415" Type="http://schemas.openxmlformats.org/officeDocument/2006/relationships/footer" Target="footer60.xml" /><Relationship Id="rId416" Type="http://schemas.openxmlformats.org/officeDocument/2006/relationships/hyperlink" Target="https://advance.lexis.com/api/document?collection=cases-ca&amp;id=urn:contentItem:5F7T-S7G1-F5KY-B1XB-00000-00&amp;context=" TargetMode="External" /><Relationship Id="rId417" Type="http://schemas.openxmlformats.org/officeDocument/2006/relationships/hyperlink" Target="https://advance.lexis.com/api/document?collection=cases-ca&amp;id=urn:contentItem:5F8P-SDS1-F956-S0CT-00000-00&amp;context=" TargetMode="External" /><Relationship Id="rId418" Type="http://schemas.openxmlformats.org/officeDocument/2006/relationships/header" Target="header61.xml" /><Relationship Id="rId419" Type="http://schemas.openxmlformats.org/officeDocument/2006/relationships/header" Target="header62.xml" /><Relationship Id="rId42" Type="http://schemas.openxmlformats.org/officeDocument/2006/relationships/footer" Target="footer7.xml" /><Relationship Id="rId420" Type="http://schemas.openxmlformats.org/officeDocument/2006/relationships/footer" Target="footer61.xml" /><Relationship Id="rId421" Type="http://schemas.openxmlformats.org/officeDocument/2006/relationships/footer" Target="footer62.xml" /><Relationship Id="rId422" Type="http://schemas.openxmlformats.org/officeDocument/2006/relationships/header" Target="header63.xml" /><Relationship Id="rId423" Type="http://schemas.openxmlformats.org/officeDocument/2006/relationships/footer" Target="footer63.xml" /><Relationship Id="rId424" Type="http://schemas.openxmlformats.org/officeDocument/2006/relationships/hyperlink" Target="https://advance.lexis.com/api/document?collection=cases-ca&amp;id=urn:contentItem:5F7T-S7F1-F7VM-S3YJ-00000-00&amp;context=" TargetMode="External" /><Relationship Id="rId425" Type="http://schemas.openxmlformats.org/officeDocument/2006/relationships/hyperlink" Target="https://advance.lexis.com/api/document?collection=cases-ca&amp;id=urn:contentItem:5F7T-S741-F528-G21K-00000-00&amp;context=" TargetMode="External" /><Relationship Id="rId426" Type="http://schemas.openxmlformats.org/officeDocument/2006/relationships/hyperlink" Target="https://advance.lexis.com/api/document?collection=cases-ca&amp;id=urn:contentItem:5F7T-S771-JN14-G2DF-00000-00&amp;context=" TargetMode="External" /><Relationship Id="rId427" Type="http://schemas.openxmlformats.org/officeDocument/2006/relationships/hyperlink" Target="https://advance.lexis.com/api/document?collection=cases-ca&amp;id=urn:contentItem:5F7T-S7F1-FJTD-G3DS-00000-00&amp;context=" TargetMode="External" /><Relationship Id="rId428" Type="http://schemas.openxmlformats.org/officeDocument/2006/relationships/hyperlink" Target="https://advance.lexis.com/api/document?collection=cases-ca&amp;id=urn:contentItem:5F7T-S721-JSC5-M3H8-00000-00&amp;context=" TargetMode="External" /><Relationship Id="rId429" Type="http://schemas.openxmlformats.org/officeDocument/2006/relationships/hyperlink" Target="https://advance.lexis.com/api/document?collection=cases-ca&amp;id=urn:contentItem:5F7T-S6V1-JTNR-M3F7-00000-00&amp;context=" TargetMode="External" /><Relationship Id="rId43" Type="http://schemas.openxmlformats.org/officeDocument/2006/relationships/footer" Target="footer8.xml" /><Relationship Id="rId430" Type="http://schemas.openxmlformats.org/officeDocument/2006/relationships/hyperlink" Target="https://advance.lexis.com/api/document?collection=cases-ca&amp;id=urn:contentItem:5F7T-S741-F1H1-21HP-00000-00&amp;context=" TargetMode="External" /><Relationship Id="rId431" Type="http://schemas.openxmlformats.org/officeDocument/2006/relationships/hyperlink" Target="https://advance.lexis.com/api/document?collection=cases-ca&amp;id=urn:contentItem:5F7T-S771-JTGH-B12P-00000-00&amp;context=" TargetMode="External" /><Relationship Id="rId432" Type="http://schemas.openxmlformats.org/officeDocument/2006/relationships/hyperlink" Target="https://advance.lexis.com/api/document?collection=cases-ca&amp;id=urn:contentItem:5F7T-S781-FH4C-X2MP-00000-00&amp;context=" TargetMode="External" /><Relationship Id="rId433" Type="http://schemas.openxmlformats.org/officeDocument/2006/relationships/header" Target="header64.xml" /><Relationship Id="rId434" Type="http://schemas.openxmlformats.org/officeDocument/2006/relationships/header" Target="header65.xml" /><Relationship Id="rId435" Type="http://schemas.openxmlformats.org/officeDocument/2006/relationships/footer" Target="footer64.xml" /><Relationship Id="rId436" Type="http://schemas.openxmlformats.org/officeDocument/2006/relationships/footer" Target="footer65.xml" /><Relationship Id="rId437" Type="http://schemas.openxmlformats.org/officeDocument/2006/relationships/header" Target="header66.xml" /><Relationship Id="rId438" Type="http://schemas.openxmlformats.org/officeDocument/2006/relationships/footer" Target="footer66.xml" /><Relationship Id="rId439" Type="http://schemas.openxmlformats.org/officeDocument/2006/relationships/hyperlink" Target="https://advance.lexis.com/api/document?collection=cases-ca&amp;id=urn:contentItem:5F7T-S7F1-FBN1-21S4-00000-00&amp;context=" TargetMode="External" /><Relationship Id="rId44" Type="http://schemas.openxmlformats.org/officeDocument/2006/relationships/header" Target="header9.xml" /><Relationship Id="rId440" Type="http://schemas.openxmlformats.org/officeDocument/2006/relationships/hyperlink" Target="https://advance.lexis.com/api/document?collection=cases-ca&amp;id=urn:contentItem:5F7T-S7D1-FFFC-B1DT-00000-00&amp;context=" TargetMode="External" /><Relationship Id="rId441" Type="http://schemas.openxmlformats.org/officeDocument/2006/relationships/hyperlink" Target="https://advance.lexis.com/api/document?collection=cases-ca&amp;id=urn:contentItem:5F16-9361-F4GK-M3P5-00000-00&amp;context=" TargetMode="External" /><Relationship Id="rId442" Type="http://schemas.openxmlformats.org/officeDocument/2006/relationships/hyperlink" Target="https://advance.lexis.com/api/document?collection=cases-ca&amp;id=urn:contentItem:5F7T-S6Y1-JP9P-G1F0-00000-00&amp;context=" TargetMode="External" /><Relationship Id="rId443" Type="http://schemas.openxmlformats.org/officeDocument/2006/relationships/hyperlink" Target="https://advance.lexis.com/api/document?collection=cases-ca&amp;id=urn:contentItem:5F81-VJV1-JK4W-M4GH-00000-00&amp;context=" TargetMode="External" /><Relationship Id="rId444" Type="http://schemas.openxmlformats.org/officeDocument/2006/relationships/hyperlink" Target="https://advance.lexis.com/api/document?collection=cases-ca&amp;id=urn:contentItem:5F7T-S771-JJD0-G15H-00000-00&amp;context=" TargetMode="External" /><Relationship Id="rId445" Type="http://schemas.openxmlformats.org/officeDocument/2006/relationships/hyperlink" Target="https://advance.lexis.com/api/document?collection=cases-ca&amp;id=urn:contentItem:5F7T-S791-FJTD-G2YV-00000-00&amp;context=" TargetMode="External" /><Relationship Id="rId446" Type="http://schemas.openxmlformats.org/officeDocument/2006/relationships/hyperlink" Target="https://advance.lexis.com/api/document?collection=cases-ca&amp;id=urn:contentItem:5F8P-SD31-JGHR-M507-00000-00&amp;context=" TargetMode="External" /><Relationship Id="rId447" Type="http://schemas.openxmlformats.org/officeDocument/2006/relationships/hyperlink" Target="https://advance.lexis.com/api/document?collection=cases-ca&amp;id=urn:contentItem:5F7T-S771-JSJC-X0KK-00000-00&amp;context=" TargetMode="External" /><Relationship Id="rId448" Type="http://schemas.openxmlformats.org/officeDocument/2006/relationships/hyperlink" Target="https://advance.lexis.com/api/document?collection=cases-ca&amp;id=urn:contentItem:5F7T-S6X1-JTNR-M3KJ-00000-00&amp;context=" TargetMode="External" /><Relationship Id="rId449" Type="http://schemas.openxmlformats.org/officeDocument/2006/relationships/hyperlink" Target="https://advance.lexis.com/api/document?collection=cases-ca&amp;id=urn:contentItem:5F7T-S6W1-F7ND-G2SS-00000-00&amp;context=" TargetMode="External" /><Relationship Id="rId45" Type="http://schemas.openxmlformats.org/officeDocument/2006/relationships/footer" Target="footer9.xml" /><Relationship Id="rId450" Type="http://schemas.openxmlformats.org/officeDocument/2006/relationships/hyperlink" Target="https://advance.lexis.com/api/document?collection=cases-ca&amp;id=urn:contentItem:5F7T-S6W1-JB7K-21C9-00000-00&amp;context=" TargetMode="External" /><Relationship Id="rId451" Type="http://schemas.openxmlformats.org/officeDocument/2006/relationships/hyperlink" Target="https://advance.lexis.com/api/document?collection=cases-ca&amp;id=urn:contentItem:5F7T-S7D1-DY89-M4C4-00000-00&amp;context=" TargetMode="External" /><Relationship Id="rId452" Type="http://schemas.openxmlformats.org/officeDocument/2006/relationships/hyperlink" Target="https://advance.lexis.com/api/document?collection=cases-ca&amp;id=urn:contentItem:5F7T-S6Y1-F65M-605D-00000-00&amp;context=" TargetMode="External" /><Relationship Id="rId453" Type="http://schemas.openxmlformats.org/officeDocument/2006/relationships/hyperlink" Target="https://advance.lexis.com/api/document?collection=cases-ca&amp;id=urn:contentItem:5F7T-S7C1-F4NT-X2WP-00000-00&amp;context=" TargetMode="External" /><Relationship Id="rId454" Type="http://schemas.openxmlformats.org/officeDocument/2006/relationships/hyperlink" Target="https://advance.lexis.com/api/document?collection=cases-ca&amp;id=urn:contentItem:5F7T-S7D1-JXG3-X130-00000-00&amp;context=" TargetMode="External" /><Relationship Id="rId455" Type="http://schemas.openxmlformats.org/officeDocument/2006/relationships/hyperlink" Target="https://advance.lexis.com/api/document?collection=cases-ca&amp;id=urn:contentItem:5F7T-S771-JWBS-61F4-00000-00&amp;context=" TargetMode="External" /><Relationship Id="rId456" Type="http://schemas.openxmlformats.org/officeDocument/2006/relationships/hyperlink" Target="https://advance.lexis.com/api/document?collection=cases-ca&amp;id=urn:contentItem:5F7T-S7D1-FC6N-X0XP-00000-00&amp;context=" TargetMode="External" /><Relationship Id="rId457" Type="http://schemas.openxmlformats.org/officeDocument/2006/relationships/header" Target="header67.xml" /><Relationship Id="rId458" Type="http://schemas.openxmlformats.org/officeDocument/2006/relationships/header" Target="header68.xml" /><Relationship Id="rId459" Type="http://schemas.openxmlformats.org/officeDocument/2006/relationships/footer" Target="footer67.xml" /><Relationship Id="rId46" Type="http://schemas.openxmlformats.org/officeDocument/2006/relationships/hyperlink" Target="https://advance.lexis.com/api/document?collection=cases-ca&amp;id=urn:contentItem:5F7T-S7N1-JGHR-M37P-00000-00&amp;context=" TargetMode="External" /><Relationship Id="rId460" Type="http://schemas.openxmlformats.org/officeDocument/2006/relationships/footer" Target="footer68.xml" /><Relationship Id="rId461" Type="http://schemas.openxmlformats.org/officeDocument/2006/relationships/header" Target="header69.xml" /><Relationship Id="rId462" Type="http://schemas.openxmlformats.org/officeDocument/2006/relationships/footer" Target="footer69.xml" /><Relationship Id="rId463" Type="http://schemas.openxmlformats.org/officeDocument/2006/relationships/hyperlink" Target="https://advance.lexis.com/api/document?collection=cases-ca&amp;id=urn:contentItem:5F7T-S7K1-JKHB-62YY-00000-00&amp;context=" TargetMode="External" /><Relationship Id="rId464" Type="http://schemas.openxmlformats.org/officeDocument/2006/relationships/hyperlink" Target="https://advance.lexis.com/api/document?collection=legislation-ca&amp;id=urn:contentItem:5F3B-B721-FH4C-X0GS-00000-00&amp;context=" TargetMode="External" /><Relationship Id="rId465" Type="http://schemas.openxmlformats.org/officeDocument/2006/relationships/hyperlink" Target="https://advance.lexis.com/api/document?collection=legislation-ca&amp;id=urn:contentItem:5F3B-B7P1-F7VM-S25F-00000-00&amp;context=" TargetMode="External" /><Relationship Id="rId466" Type="http://schemas.openxmlformats.org/officeDocument/2006/relationships/hyperlink" Target="https://advance.lexis.com/api/document?collection=legislation-ca&amp;id=urn:contentItem:5F41-1FG1-F4NT-X0HH-00000-00&amp;context=" TargetMode="External" /><Relationship Id="rId467" Type="http://schemas.openxmlformats.org/officeDocument/2006/relationships/hyperlink" Target="https://advance.lexis.com/api/document?collection=cases-ca&amp;id=urn:contentItem:5F7T-S7F1-DXWW-246H-00000-00&amp;context=" TargetMode="External" /><Relationship Id="rId468" Type="http://schemas.openxmlformats.org/officeDocument/2006/relationships/hyperlink" Target="https://advance.lexis.com/api/document?collection=cases-ca&amp;id=urn:contentItem:5F8P-SDB1-JC5P-G23T-00000-00&amp;context=" TargetMode="External" /><Relationship Id="rId469" Type="http://schemas.openxmlformats.org/officeDocument/2006/relationships/hyperlink" Target="https://advance.lexis.com/api/document?collection=cases-ca&amp;id=urn:contentItem:5F7T-S6V1-F956-S05B-00000-00&amp;context=" TargetMode="External" /><Relationship Id="rId47" Type="http://schemas.openxmlformats.org/officeDocument/2006/relationships/hyperlink" Target="https://advance.lexis.com/api/document?collection=legislation-ca&amp;id=urn:contentItem:5F41-1FJ1-JPGX-S0HR-00000-00&amp;context=" TargetMode="External" /><Relationship Id="rId470" Type="http://schemas.openxmlformats.org/officeDocument/2006/relationships/hyperlink" Target="https://advance.lexis.com/api/document?collection=cases-ca&amp;id=urn:contentItem:5F8T-N3R1-JJSF-22TJ-00000-00&amp;context=" TargetMode="External" /><Relationship Id="rId471" Type="http://schemas.openxmlformats.org/officeDocument/2006/relationships/hyperlink" Target="https://advance.lexis.com/api/document?collection=cases-ca&amp;id=urn:contentItem:5F7T-S711-F4GK-M2NK-00000-00&amp;context=" TargetMode="External" /><Relationship Id="rId472" Type="http://schemas.openxmlformats.org/officeDocument/2006/relationships/hyperlink" Target="https://advance.lexis.com/api/document?collection=cases-ca&amp;id=urn:contentItem:5F7T-S7F1-JX3N-B1JK-00000-00&amp;context=" TargetMode="External" /><Relationship Id="rId473" Type="http://schemas.openxmlformats.org/officeDocument/2006/relationships/hyperlink" Target="https://advance.lexis.com/api/document?collection=legislation-ca&amp;id=urn:contentItem:5VYK-WB01-FGJR-23GX-00000-00&amp;context=" TargetMode="External" /><Relationship Id="rId474" Type="http://schemas.openxmlformats.org/officeDocument/2006/relationships/header" Target="header70.xml" /><Relationship Id="rId475" Type="http://schemas.openxmlformats.org/officeDocument/2006/relationships/header" Target="header71.xml" /><Relationship Id="rId476" Type="http://schemas.openxmlformats.org/officeDocument/2006/relationships/footer" Target="footer70.xml" /><Relationship Id="rId477" Type="http://schemas.openxmlformats.org/officeDocument/2006/relationships/footer" Target="footer71.xml" /><Relationship Id="rId478" Type="http://schemas.openxmlformats.org/officeDocument/2006/relationships/header" Target="header72.xml" /><Relationship Id="rId479" Type="http://schemas.openxmlformats.org/officeDocument/2006/relationships/footer" Target="footer72.xml" /><Relationship Id="rId48" Type="http://schemas.openxmlformats.org/officeDocument/2006/relationships/hyperlink" Target="https://advance.lexis.com/api/document?collection=cases-ca&amp;id=urn:contentItem:5F7T-S7C1-JXG3-X0D2-00000-00&amp;context=" TargetMode="External" /><Relationship Id="rId480" Type="http://schemas.openxmlformats.org/officeDocument/2006/relationships/hyperlink" Target="https://advance.lexis.com/api/document?collection=cases-ca&amp;id=urn:contentItem:5F7T-S7D1-JXG3-X0RW-00000-00&amp;context=" TargetMode="External" /><Relationship Id="rId481" Type="http://schemas.openxmlformats.org/officeDocument/2006/relationships/hyperlink" Target="https://advance.lexis.com/api/document?collection=cases-ca&amp;id=urn:contentItem:5F7T-S6W1-F5T5-M1P6-00000-00&amp;context=" TargetMode="External" /><Relationship Id="rId482" Type="http://schemas.openxmlformats.org/officeDocument/2006/relationships/hyperlink" Target="https://advance.lexis.com/api/document?collection=cases-ca&amp;id=urn:contentItem:5F8T-N3V1-JFKM-6085-00000-00&amp;context=" TargetMode="External" /><Relationship Id="rId483" Type="http://schemas.openxmlformats.org/officeDocument/2006/relationships/hyperlink" Target="https://advance.lexis.com/api/document?collection=cases-ca&amp;id=urn:contentItem:5F8T-N3V1-FC1F-M45J-00000-00&amp;context=" TargetMode="External" /><Relationship Id="rId484" Type="http://schemas.openxmlformats.org/officeDocument/2006/relationships/hyperlink" Target="https://advance.lexis.com/api/document?collection=cases-ca&amp;id=urn:contentItem:5F7T-S741-F57G-S1KF-00000-00&amp;context=" TargetMode="External" /><Relationship Id="rId485" Type="http://schemas.openxmlformats.org/officeDocument/2006/relationships/hyperlink" Target="https://advance.lexis.com/api/document?collection=cases-ca&amp;id=urn:contentItem:5F7T-S6Y1-JP9P-G1SM-00000-00&amp;context=" TargetMode="External" /><Relationship Id="rId486" Type="http://schemas.openxmlformats.org/officeDocument/2006/relationships/hyperlink" Target="https://advance.lexis.com/api/document?collection=cases-ca&amp;id=urn:contentItem:5F8T-N3T1-JJSF-23BP-00000-00&amp;context=" TargetMode="External" /><Relationship Id="rId487" Type="http://schemas.openxmlformats.org/officeDocument/2006/relationships/hyperlink" Target="https://advance.lexis.com/api/document?collection=cases-ca&amp;id=urn:contentItem:5F8T-N3V1-FC1F-M410-00000-00&amp;context=" TargetMode="External" /><Relationship Id="rId488" Type="http://schemas.openxmlformats.org/officeDocument/2006/relationships/hyperlink" Target="https://advance.lexis.com/api/document?collection=cases-ca&amp;id=urn:contentItem:5F7T-S761-F81W-225T-00000-00&amp;context=" TargetMode="External" /><Relationship Id="rId489" Type="http://schemas.openxmlformats.org/officeDocument/2006/relationships/hyperlink" Target="https://advance.lexis.com/api/document?collection=cases-ca&amp;id=urn:contentItem:5F7T-S721-FG12-6259-00000-00&amp;context=" TargetMode="External" /><Relationship Id="rId49" Type="http://schemas.openxmlformats.org/officeDocument/2006/relationships/hyperlink" Target="https://advance.lexis.com/api/document?collection=cases-ca&amp;id=urn:contentItem:5F7T-S761-JGHR-M2GF-00000-00&amp;context=" TargetMode="External" /><Relationship Id="rId490" Type="http://schemas.openxmlformats.org/officeDocument/2006/relationships/hyperlink" Target="https://advance.lexis.com/api/document?collection=cases-ca&amp;id=urn:contentItem:5F8T-N3T1-JJSF-235C-00000-00&amp;context=" TargetMode="External" /><Relationship Id="rId491" Type="http://schemas.openxmlformats.org/officeDocument/2006/relationships/header" Target="header73.xml" /><Relationship Id="rId492" Type="http://schemas.openxmlformats.org/officeDocument/2006/relationships/header" Target="header74.xml" /><Relationship Id="rId493" Type="http://schemas.openxmlformats.org/officeDocument/2006/relationships/footer" Target="footer73.xml" /><Relationship Id="rId494" Type="http://schemas.openxmlformats.org/officeDocument/2006/relationships/footer" Target="footer74.xml" /><Relationship Id="rId495" Type="http://schemas.openxmlformats.org/officeDocument/2006/relationships/header" Target="header75.xml" /><Relationship Id="rId496" Type="http://schemas.openxmlformats.org/officeDocument/2006/relationships/footer" Target="footer75.xml" /><Relationship Id="rId497" Type="http://schemas.openxmlformats.org/officeDocument/2006/relationships/hyperlink" Target="https://advance.lexis.com/api/document?collection=cases-ca&amp;id=urn:contentItem:5F7T-S7P1-JBDT-B133-00000-00&amp;context=" TargetMode="External" /><Relationship Id="rId498" Type="http://schemas.openxmlformats.org/officeDocument/2006/relationships/hyperlink" Target="https://advance.lexis.com/api/document?collection=cases-ca&amp;id=urn:contentItem:5F7T-S7K1-JX3N-B2V4-00000-00&amp;context=" TargetMode="External" /><Relationship Id="rId499" Type="http://schemas.openxmlformats.org/officeDocument/2006/relationships/hyperlink" Target="https://advance.lexis.com/api/document?collection=cases-ca&amp;id=urn:contentItem:5F7T-S7N1-F06F-24KX-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F1-JFKM-6202-00000-00&amp;context=" TargetMode="External" /><Relationship Id="rId500" Type="http://schemas.openxmlformats.org/officeDocument/2006/relationships/hyperlink" Target="https://advance.lexis.com/api/document?collection=cases-ca&amp;id=urn:contentItem:5F81-YH21-JPGX-S09C-00000-00&amp;context=" TargetMode="External" /><Relationship Id="rId501" Type="http://schemas.openxmlformats.org/officeDocument/2006/relationships/hyperlink" Target="https://advance.lexis.com/api/document?collection=cases-ca&amp;id=urn:contentItem:5F8T-N3R1-FJDY-X362-00000-00&amp;context=" TargetMode="External" /><Relationship Id="rId502" Type="http://schemas.openxmlformats.org/officeDocument/2006/relationships/hyperlink" Target="https://advance.lexis.com/api/document?collection=cases-ca&amp;id=urn:contentItem:5F8T-N3R1-JNS1-M0P9-00000-00&amp;context=" TargetMode="External" /><Relationship Id="rId503" Type="http://schemas.openxmlformats.org/officeDocument/2006/relationships/hyperlink" Target="https://advance.lexis.com/api/document?collection=cases-ca&amp;id=urn:contentItem:5F8T-N3V1-JTGH-B1D5-00000-00&amp;context=" TargetMode="External" /><Relationship Id="rId504" Type="http://schemas.openxmlformats.org/officeDocument/2006/relationships/image" Target="media/image1.jpeg" /><Relationship Id="rId505" Type="http://schemas.openxmlformats.org/officeDocument/2006/relationships/hyperlink" Target="https://advance.lexis.com/api/document?collection=cases-ca&amp;id=urn:contentItem:5F7T-S7P1-JCRC-B2G2-00000-00&amp;context=" TargetMode="External" /><Relationship Id="rId506" Type="http://schemas.openxmlformats.org/officeDocument/2006/relationships/hyperlink" Target="https://advance.lexis.com/api/document?collection=cases-ca&amp;id=urn:contentItem:5F7T-S721-F5T5-M2D5-00000-00&amp;context=" TargetMode="External" /><Relationship Id="rId507" Type="http://schemas.openxmlformats.org/officeDocument/2006/relationships/header" Target="header76.xml" /><Relationship Id="rId508" Type="http://schemas.openxmlformats.org/officeDocument/2006/relationships/header" Target="header77.xml" /><Relationship Id="rId509" Type="http://schemas.openxmlformats.org/officeDocument/2006/relationships/footer" Target="footer76.xml" /><Relationship Id="rId51" Type="http://schemas.openxmlformats.org/officeDocument/2006/relationships/header" Target="header10.xml" /><Relationship Id="rId510" Type="http://schemas.openxmlformats.org/officeDocument/2006/relationships/footer" Target="footer77.xml" /><Relationship Id="rId511" Type="http://schemas.openxmlformats.org/officeDocument/2006/relationships/header" Target="header78.xml" /><Relationship Id="rId512" Type="http://schemas.openxmlformats.org/officeDocument/2006/relationships/footer" Target="footer78.xml" /><Relationship Id="rId513" Type="http://schemas.openxmlformats.org/officeDocument/2006/relationships/hyperlink" Target="https://advance.lexis.com/api/document?collection=cases-ca&amp;id=urn:contentItem:5F7T-S7K1-JKHB-62XT-00000-00&amp;context=" TargetMode="External" /><Relationship Id="rId514" Type="http://schemas.openxmlformats.org/officeDocument/2006/relationships/hyperlink" Target="https://advance.lexis.com/api/document?collection=legislation-ca&amp;id=urn:contentItem:5F41-1FM1-FGJR-216F-00000-00&amp;context=" TargetMode="External" /><Relationship Id="rId515" Type="http://schemas.openxmlformats.org/officeDocument/2006/relationships/hyperlink" Target="https://advance.lexis.com/api/document?collection=legislation-ca&amp;id=urn:contentItem:5F98-N4T1-JF75-M39J-00000-00&amp;context=" TargetMode="External" /><Relationship Id="rId516" Type="http://schemas.openxmlformats.org/officeDocument/2006/relationships/hyperlink" Target="https://advance.lexis.com/api/document?collection=cases-ca&amp;id=urn:contentItem:5F8T-N3V1-JFKM-601H-00000-00&amp;context=" TargetMode="External" /><Relationship Id="rId517" Type="http://schemas.openxmlformats.org/officeDocument/2006/relationships/hyperlink" Target="https://advance.lexis.com/api/document?collection=cases-ca&amp;id=urn:contentItem:5F8T-N3V1-JFKM-60BM-00000-00&amp;context=" TargetMode="External" /><Relationship Id="rId518" Type="http://schemas.openxmlformats.org/officeDocument/2006/relationships/hyperlink" Target="https://advance.lexis.com/api/document?collection=cases-ca&amp;id=urn:contentItem:5F8T-N3V1-JTGH-B1F4-00000-00&amp;context=" TargetMode="External" /><Relationship Id="rId519" Type="http://schemas.openxmlformats.org/officeDocument/2006/relationships/hyperlink" Target="https://advance.lexis.com/api/document?collection=cases-ca&amp;id=urn:contentItem:5F7T-S7H1-FCSB-S3JT-00000-00&amp;context=" TargetMode="External" /><Relationship Id="rId52" Type="http://schemas.openxmlformats.org/officeDocument/2006/relationships/header" Target="header11.xml" /><Relationship Id="rId520" Type="http://schemas.openxmlformats.org/officeDocument/2006/relationships/hyperlink" Target="https://advance.lexis.com/api/document?collection=cases-ca&amp;id=urn:contentItem:5F7T-S7J1-DXWW-24TW-00000-00&amp;context=" TargetMode="External" /><Relationship Id="rId521" Type="http://schemas.openxmlformats.org/officeDocument/2006/relationships/hyperlink" Target="https://advance.lexis.com/api/document?collection=cases-ca&amp;id=urn:contentItem:5F7T-S7H1-JFSV-G32S-00000-00&amp;context=" TargetMode="External" /><Relationship Id="rId522" Type="http://schemas.openxmlformats.org/officeDocument/2006/relationships/hyperlink" Target="https://advance.lexis.com/api/document?collection=cases-ca&amp;id=urn:contentItem:5F81-VJX1-JKPJ-G1YC-00000-00&amp;context=" TargetMode="External" /><Relationship Id="rId523" Type="http://schemas.openxmlformats.org/officeDocument/2006/relationships/hyperlink" Target="https://advance.lexis.com/api/document?collection=cases-ca&amp;id=urn:contentItem:5F7H-KW91-JBT7-X15K-00000-00&amp;context=" TargetMode="External" /><Relationship Id="rId524" Type="http://schemas.openxmlformats.org/officeDocument/2006/relationships/hyperlink" Target="https://advance.lexis.com/api/document?collection=analytical-materials-ca&amp;id=urn:contentItem:5HSF-42J1-JPGX-S32C-00000-00&amp;context=" TargetMode="External" /><Relationship Id="rId525" Type="http://schemas.openxmlformats.org/officeDocument/2006/relationships/hyperlink" Target="https://advance.lexis.com/api/document?collection=analytical-materials-ca&amp;id=urn:contentItem:5HSF-3C01-F528-G2S0-00000-00&amp;context=" TargetMode="External" /><Relationship Id="rId526" Type="http://schemas.openxmlformats.org/officeDocument/2006/relationships/hyperlink" Target="https://advance.lexis.com/api/document?collection=cases-ca&amp;id=urn:contentItem:5F81-VJY1-FBN1-22VW-00000-00&amp;context=" TargetMode="External" /><Relationship Id="rId527" Type="http://schemas.openxmlformats.org/officeDocument/2006/relationships/hyperlink" Target="https://advance.lexis.com/api/document?collection=cases-ca&amp;id=urn:contentItem:5F8T-N3P1-FC6N-X153-00000-00&amp;context=" TargetMode="External" /><Relationship Id="rId528" Type="http://schemas.openxmlformats.org/officeDocument/2006/relationships/hyperlink" Target="https://advance.lexis.com/api/document?collection=cases-ca&amp;id=urn:contentItem:5F7T-S7G1-JPP5-21WK-00000-00&amp;context=" TargetMode="External" /><Relationship Id="rId529" Type="http://schemas.openxmlformats.org/officeDocument/2006/relationships/hyperlink" Target="https://advance.lexis.com/api/document?collection=cases-ca&amp;id=urn:contentItem:5F8T-N3T1-JGHR-M20F-00000-00&amp;context=" TargetMode="External" /><Relationship Id="rId53" Type="http://schemas.openxmlformats.org/officeDocument/2006/relationships/footer" Target="footer10.xml" /><Relationship Id="rId530" Type="http://schemas.openxmlformats.org/officeDocument/2006/relationships/hyperlink" Target="https://advance.lexis.com/api/document?collection=cases-ca&amp;id=urn:contentItem:5F7T-S781-DYMS-6199-00000-00&amp;context=" TargetMode="External" /><Relationship Id="rId531" Type="http://schemas.openxmlformats.org/officeDocument/2006/relationships/hyperlink" Target="https://advance.lexis.com/api/document?collection=cases-ca&amp;id=urn:contentItem:5F81-VJV1-F8D9-M0R6-00000-00&amp;context=" TargetMode="External" /><Relationship Id="rId532" Type="http://schemas.openxmlformats.org/officeDocument/2006/relationships/hyperlink" Target="https://advance.lexis.com/api/document?collection=cases-ca&amp;id=urn:contentItem:5F7T-S6X1-F7G6-6232-00000-00&amp;context=" TargetMode="External" /><Relationship Id="rId533" Type="http://schemas.openxmlformats.org/officeDocument/2006/relationships/hyperlink" Target="https://advance.lexis.com/api/document?collection=cases-ca&amp;id=urn:contentItem:5F8T-N3S1-JBDT-B09R-00000-00&amp;context=" TargetMode="External" /><Relationship Id="rId534" Type="http://schemas.openxmlformats.org/officeDocument/2006/relationships/hyperlink" Target="https://advance.lexis.com/api/document?collection=cases-ca&amp;id=urn:contentItem:5F7T-S7K1-JSJC-X0V9-00000-00&amp;context=" TargetMode="External" /><Relationship Id="rId535" Type="http://schemas.openxmlformats.org/officeDocument/2006/relationships/hyperlink" Target="https://advance.lexis.com/api/document?collection=cases-ca&amp;id=urn:contentItem:5F7T-S7K1-JSJC-X0V1-00000-00&amp;context=" TargetMode="External" /><Relationship Id="rId536" Type="http://schemas.openxmlformats.org/officeDocument/2006/relationships/hyperlink" Target="https://advance.lexis.com/api/document?collection=cases-ca&amp;id=urn:contentItem:5F7T-S701-JJ6S-61SS-00000-00&amp;context=" TargetMode="External" /><Relationship Id="rId537" Type="http://schemas.openxmlformats.org/officeDocument/2006/relationships/hyperlink" Target="https://advance.lexis.com/api/document?collection=cases-ca&amp;id=urn:contentItem:5F7T-S771-F81W-228H-00000-00&amp;context=" TargetMode="External" /><Relationship Id="rId538" Type="http://schemas.openxmlformats.org/officeDocument/2006/relationships/hyperlink" Target="https://advance.lexis.com/api/document?collection=cases-ca&amp;id=urn:contentItem:5F8P-SGB1-FBV7-B4F3-00000-00&amp;context=" TargetMode="External" /><Relationship Id="rId539" Type="http://schemas.openxmlformats.org/officeDocument/2006/relationships/hyperlink" Target="https://advance.lexis.com/api/document?collection=cases-ca&amp;id=urn:contentItem:5F8P-SGB1-FBV7-B4F1-00000-00&amp;context=" TargetMode="External" /><Relationship Id="rId54" Type="http://schemas.openxmlformats.org/officeDocument/2006/relationships/footer" Target="footer11.xml" /><Relationship Id="rId540" Type="http://schemas.openxmlformats.org/officeDocument/2006/relationships/hyperlink" Target="https://advance.lexis.com/api/document?collection=cases-ca&amp;id=urn:contentItem:5F8P-SGB1-FBV7-B4DY-00000-00&amp;context=" TargetMode="External" /><Relationship Id="rId541" Type="http://schemas.openxmlformats.org/officeDocument/2006/relationships/hyperlink" Target="https://advance.lexis.com/api/document?collection=cases-ca&amp;id=urn:contentItem:5F7T-S741-F1H1-21G3-00000-00&amp;context=" TargetMode="External" /><Relationship Id="rId542" Type="http://schemas.openxmlformats.org/officeDocument/2006/relationships/hyperlink" Target="https://advance.lexis.com/api/document?collection=cases-ca&amp;id=urn:contentItem:5F82-1SD1-FC1F-M2KB-00000-00&amp;context=" TargetMode="External" /><Relationship Id="rId543" Type="http://schemas.openxmlformats.org/officeDocument/2006/relationships/hyperlink" Target="https://advance.lexis.com/api/document?collection=cases-ca&amp;id=urn:contentItem:5F7T-S7J1-JYYX-629M-00000-00&amp;context=" TargetMode="External" /><Relationship Id="rId544" Type="http://schemas.openxmlformats.org/officeDocument/2006/relationships/hyperlink" Target="https://advance.lexis.com/api/document?collection=cases-ca&amp;id=urn:contentItem:5F8T-N3V1-FC1F-M4DX-00000-00&amp;context=" TargetMode="External" /><Relationship Id="rId545" Type="http://schemas.openxmlformats.org/officeDocument/2006/relationships/hyperlink" Target="https://advance.lexis.com/api/document?collection=cases-ca&amp;id=urn:contentItem:5F8T-N3V1-JF75-M3B9-00000-00&amp;context=" TargetMode="External" /><Relationship Id="rId546" Type="http://schemas.openxmlformats.org/officeDocument/2006/relationships/hyperlink" Target="https://advance.lexis.com/api/document?collection=cases-ca&amp;id=urn:contentItem:5F7T-S7G1-F5KY-B1X9-00000-00&amp;context=" TargetMode="External" /><Relationship Id="rId547" Type="http://schemas.openxmlformats.org/officeDocument/2006/relationships/hyperlink" Target="https://advance.lexis.com/api/document?collection=cases-ca&amp;id=urn:contentItem:5F8T-N3V1-JTGH-B101-00000-00&amp;context=" TargetMode="External" /><Relationship Id="rId548" Type="http://schemas.openxmlformats.org/officeDocument/2006/relationships/hyperlink" Target="https://advance.lexis.com/api/document?collection=cases-ca&amp;id=urn:contentItem:5F7T-S7D1-DY89-M40X-00000-00&amp;context=" TargetMode="External" /><Relationship Id="rId549" Type="http://schemas.openxmlformats.org/officeDocument/2006/relationships/hyperlink" Target="https://advance.lexis.com/api/document?collection=cases-ca&amp;id=urn:contentItem:5F7T-S7H1-FCSB-S3NT-00000-00&amp;context=" TargetMode="External" /><Relationship Id="rId55" Type="http://schemas.openxmlformats.org/officeDocument/2006/relationships/header" Target="header12.xml" /><Relationship Id="rId550" Type="http://schemas.openxmlformats.org/officeDocument/2006/relationships/hyperlink" Target="https://advance.lexis.com/api/document?collection=cases-ca&amp;id=urn:contentItem:5F7T-S7H1-JFSV-G2T3-00000-00&amp;context=" TargetMode="External" /><Relationship Id="rId551" Type="http://schemas.openxmlformats.org/officeDocument/2006/relationships/hyperlink" Target="https://advance.lexis.com/api/document?collection=cases-ca&amp;id=urn:contentItem:5F8P-JJH1-FFMK-M44F-00000-00&amp;context=" TargetMode="External" /><Relationship Id="rId552" Type="http://schemas.openxmlformats.org/officeDocument/2006/relationships/hyperlink" Target="https://advance.lexis.com/api/document?collection=cases-ca&amp;id=urn:contentItem:5F82-1SH1-F8KH-X1W9-00000-00&amp;context=" TargetMode="External" /><Relationship Id="rId553" Type="http://schemas.openxmlformats.org/officeDocument/2006/relationships/hyperlink" Target="https://advance.lexis.com/api/document?collection=cases-ca&amp;id=urn:contentItem:5F8P-JG71-FJDY-X3GY-00000-00&amp;context=" TargetMode="External" /><Relationship Id="rId554" Type="http://schemas.openxmlformats.org/officeDocument/2006/relationships/header" Target="header79.xml" /><Relationship Id="rId555" Type="http://schemas.openxmlformats.org/officeDocument/2006/relationships/header" Target="header80.xml" /><Relationship Id="rId556" Type="http://schemas.openxmlformats.org/officeDocument/2006/relationships/footer" Target="footer79.xml" /><Relationship Id="rId557" Type="http://schemas.openxmlformats.org/officeDocument/2006/relationships/footer" Target="footer80.xml" /><Relationship Id="rId558" Type="http://schemas.openxmlformats.org/officeDocument/2006/relationships/header" Target="header81.xml" /><Relationship Id="rId559" Type="http://schemas.openxmlformats.org/officeDocument/2006/relationships/footer" Target="footer81.xml" /><Relationship Id="rId56" Type="http://schemas.openxmlformats.org/officeDocument/2006/relationships/footer" Target="footer12.xml" /><Relationship Id="rId560" Type="http://schemas.openxmlformats.org/officeDocument/2006/relationships/hyperlink" Target="https://advance.lexis.com/api/document?collection=cases-ca&amp;id=urn:contentItem:5F7T-S7F1-JBT7-X2RF-00000-00&amp;context=" TargetMode="External" /><Relationship Id="rId561" Type="http://schemas.openxmlformats.org/officeDocument/2006/relationships/hyperlink" Target="https://advance.lexis.com/api/document?collection=legislation-ca&amp;id=urn:contentItem:5F41-1FH1-F361-M0HH-00000-00&amp;context=" TargetMode="External" /><Relationship Id="rId562" Type="http://schemas.openxmlformats.org/officeDocument/2006/relationships/hyperlink" Target="https://advance.lexis.com/api/document?collection=cases-ca&amp;id=urn:contentItem:5F7T-S7D1-JXG3-X0TB-00000-00&amp;context=" TargetMode="External" /><Relationship Id="rId563" Type="http://schemas.openxmlformats.org/officeDocument/2006/relationships/hyperlink" Target="https://advance.lexis.com/api/document?collection=cases-ca&amp;id=urn:contentItem:5F7T-S741-FJM6-61M5-00000-00&amp;context=" TargetMode="External" /><Relationship Id="rId564" Type="http://schemas.openxmlformats.org/officeDocument/2006/relationships/hyperlink" Target="https://advance.lexis.com/api/document?collection=cases-ca&amp;id=urn:contentItem:5F7T-S761-F81W-2253-00000-00&amp;context=" TargetMode="External" /><Relationship Id="rId565" Type="http://schemas.openxmlformats.org/officeDocument/2006/relationships/hyperlink" Target="https://advance.lexis.com/api/document?collection=cases-ca&amp;id=urn:contentItem:5F7T-S7H1-JG02-S3KW-00000-00&amp;context=" TargetMode="External" /><Relationship Id="rId566" Type="http://schemas.openxmlformats.org/officeDocument/2006/relationships/header" Target="header82.xml" /><Relationship Id="rId567" Type="http://schemas.openxmlformats.org/officeDocument/2006/relationships/header" Target="header83.xml" /><Relationship Id="rId568" Type="http://schemas.openxmlformats.org/officeDocument/2006/relationships/footer" Target="footer82.xml" /><Relationship Id="rId569" Type="http://schemas.openxmlformats.org/officeDocument/2006/relationships/footer" Target="footer83.xml" /><Relationship Id="rId57" Type="http://schemas.openxmlformats.org/officeDocument/2006/relationships/hyperlink" Target="https://advance.lexis.com/api/document?collection=cases-ca&amp;id=urn:contentItem:5F7T-S771-F81W-22H6-00000-00&amp;context=" TargetMode="External" /><Relationship Id="rId570" Type="http://schemas.openxmlformats.org/officeDocument/2006/relationships/header" Target="header84.xml" /><Relationship Id="rId571" Type="http://schemas.openxmlformats.org/officeDocument/2006/relationships/footer" Target="footer84.xml" /><Relationship Id="rId572" Type="http://schemas.openxmlformats.org/officeDocument/2006/relationships/hyperlink" Target="https://advance.lexis.com/api/document?collection=cases-ca&amp;id=urn:contentItem:5K6Y-81M1-JGPY-X226-00000-00&amp;context=" TargetMode="External" /><Relationship Id="rId573" Type="http://schemas.openxmlformats.org/officeDocument/2006/relationships/hyperlink" Target="https://advance.lexis.com/api/document?collection=cases-ca&amp;id=urn:contentItem:5F7T-S7F1-DXWW-24MB-00000-00&amp;context=" TargetMode="External" /><Relationship Id="rId574" Type="http://schemas.openxmlformats.org/officeDocument/2006/relationships/hyperlink" Target="https://advance.lexis.com/api/document?collection=cases-ca&amp;id=urn:contentItem:5F7T-S6X1-JTNR-M3YC-00000-00&amp;context=" TargetMode="External" /><Relationship Id="rId575" Type="http://schemas.openxmlformats.org/officeDocument/2006/relationships/hyperlink" Target="https://advance.lexis.com/api/document?collection=cases-ca&amp;id=urn:contentItem:5F7T-S7C1-JXG3-X0CY-00000-00&amp;context=" TargetMode="External" /><Relationship Id="rId576" Type="http://schemas.openxmlformats.org/officeDocument/2006/relationships/hyperlink" Target="https://advance.lexis.com/api/document?collection=cases-ca&amp;id=urn:contentItem:5F7T-S7C1-JXG3-X0C3-00000-00&amp;context=" TargetMode="External" /><Relationship Id="rId577" Type="http://schemas.openxmlformats.org/officeDocument/2006/relationships/hyperlink" Target="https://advance.lexis.com/api/document?collection=cases-ca&amp;id=urn:contentItem:5F7T-S7C1-JCJ5-2099-00000-00&amp;context=" TargetMode="External" /><Relationship Id="rId578" Type="http://schemas.openxmlformats.org/officeDocument/2006/relationships/hyperlink" Target="https://advance.lexis.com/api/document?collection=cases-ca&amp;id=urn:contentItem:5F7T-S771-FG68-G0PC-00000-00&amp;context=" TargetMode="External" /><Relationship Id="rId579" Type="http://schemas.openxmlformats.org/officeDocument/2006/relationships/hyperlink" Target="https://advance.lexis.com/api/document?collection=cases-ca&amp;id=urn:contentItem:5F7T-S781-F7G6-63KV-00000-00&amp;context=" TargetMode="External" /><Relationship Id="rId58" Type="http://schemas.openxmlformats.org/officeDocument/2006/relationships/hyperlink" Target="https://advance.lexis.com/api/document?collection=legislation-ca&amp;id=urn:contentItem:5F41-1FG1-FC1F-M17J-00000-00&amp;context=" TargetMode="External" /><Relationship Id="rId580" Type="http://schemas.openxmlformats.org/officeDocument/2006/relationships/hyperlink" Target="https://advance.lexis.com/api/document?collection=cases-ca&amp;id=urn:contentItem:5F7T-S771-F361-M1JD-00000-00&amp;context=" TargetMode="External" /><Relationship Id="rId581" Type="http://schemas.openxmlformats.org/officeDocument/2006/relationships/hyperlink" Target="https://advance.lexis.com/api/document?collection=cases-ca&amp;id=urn:contentItem:5F7T-S7D1-FBFS-S1TF-00000-00&amp;context=" TargetMode="External" /><Relationship Id="rId582" Type="http://schemas.openxmlformats.org/officeDocument/2006/relationships/hyperlink" Target="https://advance.lexis.com/api/document?collection=cases-ca&amp;id=urn:contentItem:5F7T-S7F1-JK4W-M1F8-00000-00&amp;context=" TargetMode="External" /><Relationship Id="rId583" Type="http://schemas.openxmlformats.org/officeDocument/2006/relationships/hyperlink" Target="https://advance.lexis.com/api/document?collection=cases-ca&amp;id=urn:contentItem:5F7T-S7F1-FFFC-B1WP-00000-00&amp;context=" TargetMode="External" /><Relationship Id="rId584" Type="http://schemas.openxmlformats.org/officeDocument/2006/relationships/hyperlink" Target="https://advance.lexis.com/api/document?collection=cases-ca&amp;id=urn:contentItem:5F7T-S7F1-JX3N-B1BJ-00000-00&amp;context=" TargetMode="External" /><Relationship Id="rId585" Type="http://schemas.openxmlformats.org/officeDocument/2006/relationships/hyperlink" Target="https://advance.lexis.com/api/document?collection=cases-ca&amp;id=urn:contentItem:5F7T-S6V1-JFKM-6133-00000-00&amp;context=" TargetMode="External" /><Relationship Id="rId586" Type="http://schemas.openxmlformats.org/officeDocument/2006/relationships/header" Target="header85.xml" /><Relationship Id="rId587" Type="http://schemas.openxmlformats.org/officeDocument/2006/relationships/header" Target="header86.xml" /><Relationship Id="rId588" Type="http://schemas.openxmlformats.org/officeDocument/2006/relationships/footer" Target="footer85.xml" /><Relationship Id="rId589" Type="http://schemas.openxmlformats.org/officeDocument/2006/relationships/footer" Target="footer86.xml" /><Relationship Id="rId59" Type="http://schemas.openxmlformats.org/officeDocument/2006/relationships/hyperlink" Target="https://advance.lexis.com/api/document?collection=legislation-ca&amp;id=urn:contentItem:5F41-1FG1-F4NT-X0HY-00000-00&amp;context=" TargetMode="External" /><Relationship Id="rId590" Type="http://schemas.openxmlformats.org/officeDocument/2006/relationships/header" Target="header87.xml" /><Relationship Id="rId591" Type="http://schemas.openxmlformats.org/officeDocument/2006/relationships/footer" Target="footer87.xml" /><Relationship Id="rId592" Type="http://schemas.openxmlformats.org/officeDocument/2006/relationships/hyperlink" Target="https://advance.lexis.com/api/document?collection=cases-ca&amp;id=urn:contentItem:5F7T-S7K1-JSJC-X17D-00000-00&amp;context=" TargetMode="External" /><Relationship Id="rId593" Type="http://schemas.openxmlformats.org/officeDocument/2006/relationships/hyperlink" Target="https://advance.lexis.com/api/document?collection=cases-ca&amp;id=urn:contentItem:5F7T-S771-F2TK-22KT-00000-00&amp;context=" TargetMode="External" /><Relationship Id="rId594" Type="http://schemas.openxmlformats.org/officeDocument/2006/relationships/hyperlink" Target="https://advance.lexis.com/api/document?collection=cases-ca&amp;id=urn:contentItem:5F7T-S771-JTGH-B12G-00000-00&amp;context=" TargetMode="External" /><Relationship Id="rId595" Type="http://schemas.openxmlformats.org/officeDocument/2006/relationships/hyperlink" Target="https://advance.lexis.com/api/document?collection=cases-ca&amp;id=urn:contentItem:5F7T-S7D1-JN6B-S150-00000-00&amp;context=" TargetMode="External" /><Relationship Id="rId596" Type="http://schemas.openxmlformats.org/officeDocument/2006/relationships/hyperlink" Target="https://advance.lexis.com/api/document?collection=cases-ca&amp;id=urn:contentItem:5F7T-S7F1-F7VM-S4DS-00000-00&amp;context=" TargetMode="External" /><Relationship Id="rId597" Type="http://schemas.openxmlformats.org/officeDocument/2006/relationships/hyperlink" Target="https://advance.lexis.com/api/document?collection=cases-ca&amp;id=urn:contentItem:5F7T-S6T1-FJTD-G17V-00000-00&amp;context=" TargetMode="External" /><Relationship Id="rId598" Type="http://schemas.openxmlformats.org/officeDocument/2006/relationships/hyperlink" Target="https://advance.lexis.com/api/document?collection=cases-ca&amp;id=urn:contentItem:5F7T-S7J1-FGCG-S087-00000-00&amp;context=" TargetMode="External" /><Relationship Id="rId599" Type="http://schemas.openxmlformats.org/officeDocument/2006/relationships/hyperlink" Target="https://advance.lexis.com/api/document?collection=cases-ca&amp;id=urn:contentItem:5F7T-S7G1-JWR6-S1PH-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21-F06F-23JP-00000-00&amp;context=" TargetMode="External" /><Relationship Id="rId600" Type="http://schemas.openxmlformats.org/officeDocument/2006/relationships/hyperlink" Target="https://advance.lexis.com/api/document?collection=cases-ca&amp;id=urn:contentItem:5F7T-S7C1-JXG3-X0C8-00000-00&amp;context=" TargetMode="External" /><Relationship Id="rId601" Type="http://schemas.openxmlformats.org/officeDocument/2006/relationships/hyperlink" Target="https://advance.lexis.com/api/document?collection=cases-ca&amp;id=urn:contentItem:5F7T-S7H1-F016-S3KK-00000-00&amp;context=" TargetMode="External" /><Relationship Id="rId602" Type="http://schemas.openxmlformats.org/officeDocument/2006/relationships/hyperlink" Target="https://advance.lexis.com/api/document?collection=cases-ca&amp;id=urn:contentItem:5F7T-S7J1-JNS1-M2D3-00000-00&amp;context=" TargetMode="External" /><Relationship Id="rId603" Type="http://schemas.openxmlformats.org/officeDocument/2006/relationships/hyperlink" Target="https://advance.lexis.com/api/document?collection=cases-ca&amp;id=urn:contentItem:5F7T-S7J1-JGBH-B24Y-00000-00&amp;context=" TargetMode="External" /><Relationship Id="rId604" Type="http://schemas.openxmlformats.org/officeDocument/2006/relationships/hyperlink" Target="https://advance.lexis.com/api/document?collection=cases-ca&amp;id=urn:contentItem:5F7T-S7J1-FGCG-S08M-00000-00&amp;context=" TargetMode="External" /><Relationship Id="rId605" Type="http://schemas.openxmlformats.org/officeDocument/2006/relationships/hyperlink" Target="https://advance.lexis.com/api/document?collection=cases-ca&amp;id=urn:contentItem:5F7T-S7J1-DXWW-24RW-00000-00&amp;context=" TargetMode="External" /><Relationship Id="rId606" Type="http://schemas.openxmlformats.org/officeDocument/2006/relationships/hyperlink" Target="https://advance.lexis.com/api/document?collection=cases-ca&amp;id=urn:contentItem:5F7T-S7F1-F7VM-S3YG-00000-00&amp;context=" TargetMode="External" /><Relationship Id="rId607" Type="http://schemas.openxmlformats.org/officeDocument/2006/relationships/hyperlink" Target="https://advance.lexis.com/api/document?collection=cases-ca&amp;id=urn:contentItem:5F7T-S7G1-F5KY-B1H7-00000-00&amp;context=" TargetMode="External" /><Relationship Id="rId608" Type="http://schemas.openxmlformats.org/officeDocument/2006/relationships/hyperlink" Target="https://advance.lexis.com/api/document?collection=cases-ca&amp;id=urn:contentItem:5F7T-S7G1-JN6B-S1BC-00000-00&amp;context=" TargetMode="External" /><Relationship Id="rId609" Type="http://schemas.openxmlformats.org/officeDocument/2006/relationships/hyperlink" Target="https://advance.lexis.com/api/document?collection=cases-ca&amp;id=urn:contentItem:5F7T-S7J1-DXWW-2514-00000-00&amp;context=" TargetMode="External" /><Relationship Id="rId61" Type="http://schemas.openxmlformats.org/officeDocument/2006/relationships/hyperlink" Target="https://advance.lexis.com/api/document?collection=cases-ca&amp;id=urn:contentItem:5F7T-S721-FD4T-B10F-00000-00&amp;context=" TargetMode="External" /><Relationship Id="rId610" Type="http://schemas.openxmlformats.org/officeDocument/2006/relationships/hyperlink" Target="https://advance.lexis.com/api/document?collection=cases-ca&amp;id=urn:contentItem:5F7T-S6X1-F06F-22SH-00000-00&amp;context=" TargetMode="External" /><Relationship Id="rId611" Type="http://schemas.openxmlformats.org/officeDocument/2006/relationships/hyperlink" Target="https://advance.lexis.com/api/document?collection=cases-ca&amp;id=urn:contentItem:5F7T-S731-F1WF-M229-00000-00&amp;context=" TargetMode="External" /><Relationship Id="rId612" Type="http://schemas.openxmlformats.org/officeDocument/2006/relationships/hyperlink" Target="https://advance.lexis.com/api/document?collection=cases-ca&amp;id=urn:contentItem:5F7T-S7H1-JS5Y-B35X-00000-00&amp;context=" TargetMode="External" /><Relationship Id="rId613" Type="http://schemas.openxmlformats.org/officeDocument/2006/relationships/hyperlink" Target="https://advance.lexis.com/api/document?collection=cases-ca&amp;id=urn:contentItem:5F7T-S7H1-JCRC-B0XG-00000-00&amp;context=" TargetMode="External" /><Relationship Id="rId614" Type="http://schemas.openxmlformats.org/officeDocument/2006/relationships/hyperlink" Target="https://advance.lexis.com/api/document?collection=cases-ca&amp;id=urn:contentItem:5F7T-S7F1-FJTD-G377-00000-00&amp;context=" TargetMode="External" /><Relationship Id="rId615" Type="http://schemas.openxmlformats.org/officeDocument/2006/relationships/hyperlink" Target="https://advance.lexis.com/api/document?collection=cases-ca&amp;id=urn:contentItem:5F7T-S7J1-JGBH-B29X-00000-00&amp;context=" TargetMode="External" /><Relationship Id="rId616" Type="http://schemas.openxmlformats.org/officeDocument/2006/relationships/hyperlink" Target="https://advance.lexis.com/api/document?collection=cases-ca&amp;id=urn:contentItem:5F7T-S711-JG02-S1TR-00000-00&amp;context=" TargetMode="External" /><Relationship Id="rId617" Type="http://schemas.openxmlformats.org/officeDocument/2006/relationships/hyperlink" Target="https://advance.lexis.com/api/document?collection=cases-ca&amp;id=urn:contentItem:5F7T-S7J1-JYYX-624X-00000-00&amp;context=" TargetMode="External" /><Relationship Id="rId618" Type="http://schemas.openxmlformats.org/officeDocument/2006/relationships/hyperlink" Target="https://advance.lexis.com/api/document?collection=cases-ca&amp;id=urn:contentItem:5F7T-S6X1-F7ND-G3DV-00000-00&amp;context=" TargetMode="External" /><Relationship Id="rId619" Type="http://schemas.openxmlformats.org/officeDocument/2006/relationships/hyperlink" Target="https://advance.lexis.com/api/document?collection=cases-ca&amp;id=urn:contentItem:5F7T-S6Y1-JP9P-G1VH-00000-00&amp;context=" TargetMode="External" /><Relationship Id="rId62" Type="http://schemas.openxmlformats.org/officeDocument/2006/relationships/hyperlink" Target="https://advance.lexis.com/api/document?collection=cases-ca&amp;id=urn:contentItem:5F7T-S741-F528-G2J2-00000-00&amp;context=" TargetMode="External" /><Relationship Id="rId620" Type="http://schemas.openxmlformats.org/officeDocument/2006/relationships/hyperlink" Target="https://advance.lexis.com/api/document?collection=cases-ca&amp;id=urn:contentItem:5F7T-S7J1-JYYX-62G1-00000-00&amp;context=" TargetMode="External" /><Relationship Id="rId621" Type="http://schemas.openxmlformats.org/officeDocument/2006/relationships/hyperlink" Target="https://advance.lexis.com/api/document?collection=cases-ca&amp;id=urn:contentItem:5F7T-S791-FJTD-G2N0-00000-00&amp;context=" TargetMode="External" /><Relationship Id="rId622" Type="http://schemas.openxmlformats.org/officeDocument/2006/relationships/header" Target="header88.xml" /><Relationship Id="rId623" Type="http://schemas.openxmlformats.org/officeDocument/2006/relationships/header" Target="header89.xml" /><Relationship Id="rId624" Type="http://schemas.openxmlformats.org/officeDocument/2006/relationships/footer" Target="footer88.xml" /><Relationship Id="rId625" Type="http://schemas.openxmlformats.org/officeDocument/2006/relationships/footer" Target="footer89.xml" /><Relationship Id="rId626" Type="http://schemas.openxmlformats.org/officeDocument/2006/relationships/header" Target="header90.xml" /><Relationship Id="rId627" Type="http://schemas.openxmlformats.org/officeDocument/2006/relationships/footer" Target="footer90.xml" /><Relationship Id="rId628" Type="http://schemas.openxmlformats.org/officeDocument/2006/relationships/hyperlink" Target="https://advance.lexis.com/api/document?collection=cases-ca&amp;id=urn:contentItem:5N5Y-0C91-JF1Y-B3VT-00000-00&amp;context=" TargetMode="External" /><Relationship Id="rId629" Type="http://schemas.openxmlformats.org/officeDocument/2006/relationships/hyperlink" Target="https://advance.lexis.com/api/document?collection=legislation-ca&amp;id=urn:contentItem:5J0M-2TS1-JX8W-M2WC-00000-00&amp;context=" TargetMode="External" /><Relationship Id="rId63" Type="http://schemas.openxmlformats.org/officeDocument/2006/relationships/hyperlink" Target="https://advance.lexis.com/api/document?collection=cases-ca&amp;id=urn:contentItem:5F7T-S721-F57G-S0Y1-00000-00&amp;context=" TargetMode="External" /><Relationship Id="rId630" Type="http://schemas.openxmlformats.org/officeDocument/2006/relationships/hyperlink" Target="https://advance.lexis.com/api/document?collection=cases-ca&amp;id=urn:contentItem:5F7T-S6W1-F5T5-M1WC-00000-00&amp;context=" TargetMode="External" /><Relationship Id="rId631" Type="http://schemas.openxmlformats.org/officeDocument/2006/relationships/hyperlink" Target="https://advance.lexis.com/api/document?collection=cases-ca&amp;id=urn:contentItem:5F7T-S6W1-F956-S0T7-00000-00&amp;context=" TargetMode="External" /><Relationship Id="rId632" Type="http://schemas.openxmlformats.org/officeDocument/2006/relationships/hyperlink" Target="https://advance.lexis.com/api/document?collection=cases-ca&amp;id=urn:contentItem:5HKY-0HS1-JPP5-2001-00000-00&amp;context=" TargetMode="External" /><Relationship Id="rId633" Type="http://schemas.openxmlformats.org/officeDocument/2006/relationships/hyperlink" Target="https://advance.lexis.com/api/document?collection=cases-ca&amp;id=urn:contentItem:5F8T-N3V1-JFKM-608J-00000-00&amp;context=" TargetMode="External" /><Relationship Id="rId634" Type="http://schemas.openxmlformats.org/officeDocument/2006/relationships/hyperlink" Target="https://advance.lexis.com/api/document?collection=cases-ca&amp;id=urn:contentItem:5F8T-N3V1-FC1F-M4DY-00000-00&amp;context=" TargetMode="External" /><Relationship Id="rId635" Type="http://schemas.openxmlformats.org/officeDocument/2006/relationships/hyperlink" Target="https://advance.lexis.com/api/document?collection=cases-ca&amp;id=urn:contentItem:5F7T-S7D1-FFFC-B1H3-00000-00&amp;context=" TargetMode="External" /><Relationship Id="rId636" Type="http://schemas.openxmlformats.org/officeDocument/2006/relationships/hyperlink" Target="https://advance.lexis.com/api/document?collection=cases-ca&amp;id=urn:contentItem:5F7T-S701-JJ6S-61J5-00000-00&amp;context=" TargetMode="External" /><Relationship Id="rId637" Type="http://schemas.openxmlformats.org/officeDocument/2006/relationships/hyperlink" Target="https://advance.lexis.com/api/document?collection=cases-ca&amp;id=urn:contentItem:5F7T-S7F1-DXWW-24G3-00000-00&amp;context=" TargetMode="External" /><Relationship Id="rId638" Type="http://schemas.openxmlformats.org/officeDocument/2006/relationships/hyperlink" Target="https://advance.lexis.com/api/document?collection=cases-ca&amp;id=urn:contentItem:5F7T-S711-JC0G-6354-00000-00&amp;context=" TargetMode="External" /><Relationship Id="rId639" Type="http://schemas.openxmlformats.org/officeDocument/2006/relationships/hyperlink" Target="https://advance.lexis.com/api/document?collection=cases-ca&amp;id=urn:contentItem:5F7T-S711-F5KY-B10P-00000-00&amp;context=" TargetMode="External" /><Relationship Id="rId64" Type="http://schemas.openxmlformats.org/officeDocument/2006/relationships/hyperlink" Target="https://advance.lexis.com/api/document?collection=cases-ca&amp;id=urn:contentItem:5F7T-S731-F016-S393-00000-00&amp;context=" TargetMode="External" /><Relationship Id="rId640" Type="http://schemas.openxmlformats.org/officeDocument/2006/relationships/hyperlink" Target="https://advance.lexis.com/api/document?collection=cases-ca&amp;id=urn:contentItem:5F7T-S781-F7G6-637H-00000-00&amp;context=" TargetMode="External" /><Relationship Id="rId641" Type="http://schemas.openxmlformats.org/officeDocument/2006/relationships/hyperlink" Target="https://advance.lexis.com/api/document?collection=cases-ca&amp;id=urn:contentItem:5F7T-S6Y1-F4GK-M25F-00000-00&amp;context=" TargetMode="External" /><Relationship Id="rId642" Type="http://schemas.openxmlformats.org/officeDocument/2006/relationships/hyperlink" Target="https://advance.lexis.com/api/document?collection=cases-ca&amp;id=urn:contentItem:5F7T-S711-F27X-60WG-00000-00&amp;context=" TargetMode="External" /><Relationship Id="rId643" Type="http://schemas.openxmlformats.org/officeDocument/2006/relationships/hyperlink" Target="https://advance.lexis.com/api/document?collection=cases-ca&amp;id=urn:contentItem:5F7T-S7J1-JGBH-B24V-00000-00&amp;context=" TargetMode="External" /><Relationship Id="rId644" Type="http://schemas.openxmlformats.org/officeDocument/2006/relationships/hyperlink" Target="https://advance.lexis.com/api/document?collection=cases-ca&amp;id=urn:contentItem:5F8T-N3S1-JBDT-B0FR-00000-00&amp;context=" TargetMode="External" /><Relationship Id="rId645" Type="http://schemas.openxmlformats.org/officeDocument/2006/relationships/header" Target="header91.xml" /><Relationship Id="rId646" Type="http://schemas.openxmlformats.org/officeDocument/2006/relationships/header" Target="header92.xml" /><Relationship Id="rId647" Type="http://schemas.openxmlformats.org/officeDocument/2006/relationships/footer" Target="footer91.xml" /><Relationship Id="rId648" Type="http://schemas.openxmlformats.org/officeDocument/2006/relationships/footer" Target="footer92.xml" /><Relationship Id="rId649" Type="http://schemas.openxmlformats.org/officeDocument/2006/relationships/header" Target="header93.xml" /><Relationship Id="rId65" Type="http://schemas.openxmlformats.org/officeDocument/2006/relationships/hyperlink" Target="https://advance.lexis.com/api/document?collection=cases-ca&amp;id=urn:contentItem:5F8T-N3V1-FC1F-M40P-00000-00&amp;context=" TargetMode="External" /><Relationship Id="rId650" Type="http://schemas.openxmlformats.org/officeDocument/2006/relationships/footer" Target="footer93.xml" /><Relationship Id="rId651" Type="http://schemas.openxmlformats.org/officeDocument/2006/relationships/hyperlink" Target="https://advance.lexis.com/api/document?collection=cases-ca&amp;id=urn:contentItem:5F7T-S7C1-F7ND-G02T-00000-00&amp;context=" TargetMode="External" /><Relationship Id="rId652" Type="http://schemas.openxmlformats.org/officeDocument/2006/relationships/hyperlink" Target="https://advance.lexis.com/api/document?collection=cases-ca&amp;id=urn:contentItem:5F8P-SDN1-JJD0-G330-00000-00&amp;context=" TargetMode="External" /><Relationship Id="rId653" Type="http://schemas.openxmlformats.org/officeDocument/2006/relationships/hyperlink" Target="https://advance.lexis.com/api/document?collection=cases-ca&amp;id=urn:contentItem:5F7T-S7B1-FH4C-X3GK-00000-00&amp;context=" TargetMode="External" /><Relationship Id="rId654" Type="http://schemas.openxmlformats.org/officeDocument/2006/relationships/header" Target="header94.xml" /><Relationship Id="rId655" Type="http://schemas.openxmlformats.org/officeDocument/2006/relationships/header" Target="header95.xml" /><Relationship Id="rId656" Type="http://schemas.openxmlformats.org/officeDocument/2006/relationships/footer" Target="footer94.xml" /><Relationship Id="rId657" Type="http://schemas.openxmlformats.org/officeDocument/2006/relationships/footer" Target="footer95.xml" /><Relationship Id="rId658" Type="http://schemas.openxmlformats.org/officeDocument/2006/relationships/header" Target="header96.xml" /><Relationship Id="rId659" Type="http://schemas.openxmlformats.org/officeDocument/2006/relationships/footer" Target="footer96.xml" /><Relationship Id="rId66" Type="http://schemas.openxmlformats.org/officeDocument/2006/relationships/hyperlink" Target="https://advance.lexis.com/api/document?collection=cases-ca&amp;id=urn:contentItem:5F7T-S7G1-JBT7-X4DT-00000-00&amp;context=" TargetMode="External" /><Relationship Id="rId660" Type="http://schemas.openxmlformats.org/officeDocument/2006/relationships/hyperlink" Target="https://advance.lexis.com/api/document?collection=cases-ca&amp;id=urn:contentItem:5F7T-S7K1-JWXF-20W1-00000-00&amp;context=" TargetMode="External" /><Relationship Id="rId661" Type="http://schemas.openxmlformats.org/officeDocument/2006/relationships/hyperlink" Target="https://advance.lexis.com/api/document?collection=cases-ca&amp;id=urn:contentItem:5F7T-S7K1-JSJC-X15J-00000-00&amp;context=" TargetMode="External" /><Relationship Id="rId662" Type="http://schemas.openxmlformats.org/officeDocument/2006/relationships/hyperlink" Target="https://advance.lexis.com/api/document?collection=cases-ca&amp;id=urn:contentItem:5F7T-S7D1-JXG3-X0PB-00000-00&amp;context=" TargetMode="External" /><Relationship Id="rId663" Type="http://schemas.openxmlformats.org/officeDocument/2006/relationships/hyperlink" Target="https://advance.lexis.com/api/document?collection=cases-ca&amp;id=urn:contentItem:5F7T-S6X1-F7ND-G3V4-00000-00&amp;context=" TargetMode="External" /><Relationship Id="rId664" Type="http://schemas.openxmlformats.org/officeDocument/2006/relationships/header" Target="header97.xml" /><Relationship Id="rId665" Type="http://schemas.openxmlformats.org/officeDocument/2006/relationships/header" Target="header98.xml" /><Relationship Id="rId666" Type="http://schemas.openxmlformats.org/officeDocument/2006/relationships/footer" Target="footer97.xml" /><Relationship Id="rId667" Type="http://schemas.openxmlformats.org/officeDocument/2006/relationships/footer" Target="footer98.xml" /><Relationship Id="rId668" Type="http://schemas.openxmlformats.org/officeDocument/2006/relationships/header" Target="header99.xml" /><Relationship Id="rId669" Type="http://schemas.openxmlformats.org/officeDocument/2006/relationships/footer" Target="footer99.xml" /><Relationship Id="rId67" Type="http://schemas.openxmlformats.org/officeDocument/2006/relationships/hyperlink" Target="https://advance.lexis.com/api/document?collection=cases-ca&amp;id=urn:contentItem:5F7T-S721-FG12-61Y9-00000-00&amp;context=" TargetMode="External" /><Relationship Id="rId670" Type="http://schemas.openxmlformats.org/officeDocument/2006/relationships/hyperlink" Target="https://advance.lexis.com/api/document?collection=cases-ca&amp;id=urn:contentItem:5F7T-S7J1-JYYX-62F2-00000-00&amp;context=" TargetMode="External" /><Relationship Id="rId671" Type="http://schemas.openxmlformats.org/officeDocument/2006/relationships/hyperlink" Target="https://advance.lexis.com/api/document?collection=cases-ca&amp;id=urn:contentItem:5F7T-S7G1-JBT7-X40C-00000-00&amp;context=" TargetMode="External" /><Relationship Id="rId672" Type="http://schemas.openxmlformats.org/officeDocument/2006/relationships/hyperlink" Target="https://advance.lexis.com/api/document?collection=cases-ca&amp;id=urn:contentItem:5F7T-S7J1-JNS1-M253-00000-00&amp;context=" TargetMode="External" /><Relationship Id="rId673" Type="http://schemas.openxmlformats.org/officeDocument/2006/relationships/hyperlink" Target="https://advance.lexis.com/api/document?collection=cases-ca&amp;id=urn:contentItem:5F7T-S771-JSJC-X013-00000-00&amp;context=" TargetMode="External" /><Relationship Id="rId674" Type="http://schemas.openxmlformats.org/officeDocument/2006/relationships/hyperlink" Target="https://advance.lexis.com/api/document?collection=cases-ca&amp;id=urn:contentItem:5F8T-N3V1-JF75-M3DT-00000-00&amp;context=" TargetMode="External" /><Relationship Id="rId675" Type="http://schemas.openxmlformats.org/officeDocument/2006/relationships/hyperlink" Target="https://advance.lexis.com/api/document?collection=cases-ca&amp;id=urn:contentItem:5F7T-S7B1-JSRM-608D-00000-00&amp;context=" TargetMode="External" /><Relationship Id="rId676" Type="http://schemas.openxmlformats.org/officeDocument/2006/relationships/header" Target="header100.xml" /><Relationship Id="rId677" Type="http://schemas.openxmlformats.org/officeDocument/2006/relationships/header" Target="header101.xml" /><Relationship Id="rId678" Type="http://schemas.openxmlformats.org/officeDocument/2006/relationships/footer" Target="footer100.xml" /><Relationship Id="rId679" Type="http://schemas.openxmlformats.org/officeDocument/2006/relationships/footer" Target="footer101.xml" /><Relationship Id="rId68" Type="http://schemas.openxmlformats.org/officeDocument/2006/relationships/hyperlink" Target="https://advance.lexis.com/api/document?collection=cases-ca&amp;id=urn:contentItem:5F7T-S761-JCBX-S0XK-00000-00&amp;context=" TargetMode="External" /><Relationship Id="rId680" Type="http://schemas.openxmlformats.org/officeDocument/2006/relationships/header" Target="header102.xml" /><Relationship Id="rId681" Type="http://schemas.openxmlformats.org/officeDocument/2006/relationships/footer" Target="footer102.xml" /><Relationship Id="rId682" Type="http://schemas.openxmlformats.org/officeDocument/2006/relationships/hyperlink" Target="https://advance.lexis.com/api/document?collection=cases-ca&amp;id=urn:contentItem:5F7T-S7C1-JCJ5-20RP-00000-00&amp;context=" TargetMode="External" /><Relationship Id="rId683" Type="http://schemas.openxmlformats.org/officeDocument/2006/relationships/hyperlink" Target="https://advance.lexis.com/api/document?collection=cases-ca&amp;id=urn:contentItem:5F7T-S7H1-JFKM-62NK-00000-00&amp;context=" TargetMode="External" /><Relationship Id="rId684" Type="http://schemas.openxmlformats.org/officeDocument/2006/relationships/hyperlink" Target="https://advance.lexis.com/api/document?collection=cases-ca&amp;id=urn:contentItem:5F7T-S771-F361-M1HH-00000-00&amp;context=" TargetMode="External" /><Relationship Id="rId685" Type="http://schemas.openxmlformats.org/officeDocument/2006/relationships/header" Target="header103.xml" /><Relationship Id="rId686" Type="http://schemas.openxmlformats.org/officeDocument/2006/relationships/header" Target="header104.xml" /><Relationship Id="rId687" Type="http://schemas.openxmlformats.org/officeDocument/2006/relationships/footer" Target="footer103.xml" /><Relationship Id="rId688" Type="http://schemas.openxmlformats.org/officeDocument/2006/relationships/footer" Target="footer104.xml" /><Relationship Id="rId689" Type="http://schemas.openxmlformats.org/officeDocument/2006/relationships/header" Target="header105.xml" /><Relationship Id="rId69" Type="http://schemas.openxmlformats.org/officeDocument/2006/relationships/hyperlink" Target="https://advance.lexis.com/api/document?collection=cases-ca&amp;id=urn:contentItem:5F8T-N3T1-JJSF-23DJ-00000-00&amp;context=" TargetMode="External" /><Relationship Id="rId690" Type="http://schemas.openxmlformats.org/officeDocument/2006/relationships/footer" Target="footer105.xml" /><Relationship Id="rId691" Type="http://schemas.openxmlformats.org/officeDocument/2006/relationships/hyperlink" Target="https://advance.lexis.com/api/document?collection=cases-ca&amp;id=urn:contentItem:5F7T-S7G1-FCYK-20B9-00000-00&amp;context=" TargetMode="External" /><Relationship Id="rId692" Type="http://schemas.openxmlformats.org/officeDocument/2006/relationships/hyperlink" Target="https://advance.lexis.com/api/document?collection=cases-ca&amp;id=urn:contentItem:5F7T-S7G1-F5KY-B1HF-00000-00&amp;context=" TargetMode="External" /><Relationship Id="rId693" Type="http://schemas.openxmlformats.org/officeDocument/2006/relationships/hyperlink" Target="https://advance.lexis.com/api/document?collection=legislation-ca&amp;id=urn:contentItem:5VYK-W9Y1-F528-G2HK-00000-00&amp;context=" TargetMode="External" /><Relationship Id="rId694" Type="http://schemas.openxmlformats.org/officeDocument/2006/relationships/hyperlink" Target="https://advance.lexis.com/api/document?collection=cases-ca&amp;id=urn:contentItem:5F7T-S7B1-FH4C-X3GF-00000-00&amp;context=" TargetMode="External" /><Relationship Id="rId695" Type="http://schemas.openxmlformats.org/officeDocument/2006/relationships/hyperlink" Target="https://advance.lexis.com/api/document?collection=legislation-ca&amp;id=urn:contentItem:5VYK-W9X1-FBFS-S4YB-00000-00&amp;context=" TargetMode="External" /><Relationship Id="rId696" Type="http://schemas.openxmlformats.org/officeDocument/2006/relationships/hyperlink" Target="https://advance.lexis.com/api/document?collection=cases-ca&amp;id=urn:contentItem:5F8T-N3V1-FC1F-M49K-00000-00&amp;context=" TargetMode="External" /><Relationship Id="rId697" Type="http://schemas.openxmlformats.org/officeDocument/2006/relationships/hyperlink" Target="https://advance.lexis.com/api/document?collection=legislation-ca&amp;id=urn:contentItem:5VYK-W9T1-F956-S2G1-00000-00&amp;context=" TargetMode="External" /><Relationship Id="rId698" Type="http://schemas.openxmlformats.org/officeDocument/2006/relationships/hyperlink" Target="https://advance.lexis.com/api/document?collection=cases-ca&amp;id=urn:contentItem:5F16-9371-F27X-61JF-00000-00&amp;context=" TargetMode="External" /><Relationship Id="rId699" Type="http://schemas.openxmlformats.org/officeDocument/2006/relationships/hyperlink" Target="https://advance.lexis.com/api/document?collection=cases-ca&amp;id=urn:contentItem:5F7T-S791-FJTD-G313-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T1-JJSF-2339-00000-00&amp;context=" TargetMode="External" /><Relationship Id="rId700" Type="http://schemas.openxmlformats.org/officeDocument/2006/relationships/hyperlink" Target="https://advance.lexis.com/api/document?collection=cases-ca&amp;id=urn:contentItem:5F7T-S731-JNJT-B1W0-00000-00&amp;context=" TargetMode="External" /><Relationship Id="rId701" Type="http://schemas.openxmlformats.org/officeDocument/2006/relationships/header" Target="header106.xml" /><Relationship Id="rId702" Type="http://schemas.openxmlformats.org/officeDocument/2006/relationships/header" Target="header107.xml" /><Relationship Id="rId703" Type="http://schemas.openxmlformats.org/officeDocument/2006/relationships/footer" Target="footer106.xml" /><Relationship Id="rId704" Type="http://schemas.openxmlformats.org/officeDocument/2006/relationships/footer" Target="footer107.xml" /><Relationship Id="rId705" Type="http://schemas.openxmlformats.org/officeDocument/2006/relationships/header" Target="header108.xml" /><Relationship Id="rId706" Type="http://schemas.openxmlformats.org/officeDocument/2006/relationships/footer" Target="footer108.xml" /><Relationship Id="rId707" Type="http://schemas.openxmlformats.org/officeDocument/2006/relationships/hyperlink" Target="https://advance.lexis.com/api/document?collection=cases-ca&amp;id=urn:contentItem:5F7T-S7C1-JS0R-22F1-00000-00&amp;context=" TargetMode="External" /><Relationship Id="rId708" Type="http://schemas.openxmlformats.org/officeDocument/2006/relationships/hyperlink" Target="https://advance.lexis.com/api/document?collection=cases-ca&amp;id=urn:contentItem:5F7T-S781-F06F-23S4-00000-00&amp;context=" TargetMode="External" /><Relationship Id="rId709" Type="http://schemas.openxmlformats.org/officeDocument/2006/relationships/hyperlink" Target="https://advance.lexis.com/api/document?collection=cases-ca&amp;id=urn:contentItem:5F8T-N3S1-JBDT-B032-00000-00&amp;context=" TargetMode="External" /><Relationship Id="rId71" Type="http://schemas.openxmlformats.org/officeDocument/2006/relationships/hyperlink" Target="https://advance.lexis.com/api/document?collection=cases-ca&amp;id=urn:contentItem:5F7T-S7G1-JX3N-B27H-00000-00&amp;context=" TargetMode="External" /><Relationship Id="rId710" Type="http://schemas.openxmlformats.org/officeDocument/2006/relationships/header" Target="header109.xml" /><Relationship Id="rId711" Type="http://schemas.openxmlformats.org/officeDocument/2006/relationships/header" Target="header110.xml" /><Relationship Id="rId712" Type="http://schemas.openxmlformats.org/officeDocument/2006/relationships/footer" Target="footer109.xml" /><Relationship Id="rId713" Type="http://schemas.openxmlformats.org/officeDocument/2006/relationships/footer" Target="footer110.xml" /><Relationship Id="rId714" Type="http://schemas.openxmlformats.org/officeDocument/2006/relationships/header" Target="header111.xml" /><Relationship Id="rId715" Type="http://schemas.openxmlformats.org/officeDocument/2006/relationships/footer" Target="footer111.xml" /><Relationship Id="rId716" Type="http://schemas.openxmlformats.org/officeDocument/2006/relationships/hyperlink" Target="https://advance.lexis.com/api/document?collection=cases-ca&amp;id=urn:contentItem:5F7T-S7K1-JNY7-X4J5-00000-00&amp;context=" TargetMode="External" /><Relationship Id="rId717" Type="http://schemas.openxmlformats.org/officeDocument/2006/relationships/hyperlink" Target="https://advance.lexis.com/api/document?collection=cases-ca&amp;id=urn:contentItem:5F81-YGK1-JJ1H-X4S9-00000-00&amp;context=" TargetMode="External" /><Relationship Id="rId718" Type="http://schemas.openxmlformats.org/officeDocument/2006/relationships/hyperlink" Target="https://advance.lexis.com/api/document?collection=cases-ca&amp;id=urn:contentItem:5F7T-S7G1-JWR6-S1J1-00000-00&amp;context=" TargetMode="External" /><Relationship Id="rId719" Type="http://schemas.openxmlformats.org/officeDocument/2006/relationships/hyperlink" Target="https://advance.lexis.com/api/document?collection=cases-ca&amp;id=urn:contentItem:5F8T-N3V1-JTGH-B1GJ-00000-00&amp;context=" TargetMode="External" /><Relationship Id="rId72" Type="http://schemas.openxmlformats.org/officeDocument/2006/relationships/hyperlink" Target="https://advance.lexis.com/api/document?collection=cases-ca&amp;id=urn:contentItem:5F7T-S6S1-JX8W-M23F-00000-00&amp;context=" TargetMode="External" /><Relationship Id="rId720" Type="http://schemas.openxmlformats.org/officeDocument/2006/relationships/hyperlink" Target="https://advance.lexis.com/api/document?collection=cases-ca&amp;id=urn:contentItem:5F7H-SCP1-JFDC-X1N3-00000-00&amp;context=" TargetMode="External" /><Relationship Id="rId721" Type="http://schemas.openxmlformats.org/officeDocument/2006/relationships/hyperlink" Target="https://advance.lexis.com/api/document?collection=cases-ca&amp;id=urn:contentItem:5F8T-N3T1-JFKM-651D-00000-00&amp;context=" TargetMode="External" /><Relationship Id="rId722" Type="http://schemas.openxmlformats.org/officeDocument/2006/relationships/hyperlink" Target="https://advance.lexis.com/api/document?collection=cases-ca&amp;id=urn:contentItem:5F8T-N3V1-FC1F-M495-00000-00&amp;context=" TargetMode="External" /><Relationship Id="rId723" Type="http://schemas.openxmlformats.org/officeDocument/2006/relationships/hyperlink" Target="https://advance.lexis.com/api/document?collection=cases-ca&amp;id=urn:contentItem:5F8T-N3V1-FC1F-M4DF-00000-00&amp;context=" TargetMode="External" /><Relationship Id="rId724" Type="http://schemas.openxmlformats.org/officeDocument/2006/relationships/hyperlink" Target="https://advance.lexis.com/api/document?collection=legislation-ca&amp;id=urn:contentItem:5YBS-X1X1-JTGH-B00S-00000-00&amp;context=" TargetMode="External" /><Relationship Id="rId725" Type="http://schemas.openxmlformats.org/officeDocument/2006/relationships/hyperlink" Target="https://advance.lexis.com/api/document?collection=cases-ca&amp;id=urn:contentItem:5F7H-KW51-JP4G-60F6-00000-00&amp;context=" TargetMode="External" /><Relationship Id="rId726" Type="http://schemas.openxmlformats.org/officeDocument/2006/relationships/hyperlink" Target="https://advance.lexis.com/api/document?collection=cases-ca&amp;id=urn:contentItem:5F8N-K6X1-JXNB-62RJ-00000-00&amp;context=" TargetMode="External" /><Relationship Id="rId727" Type="http://schemas.openxmlformats.org/officeDocument/2006/relationships/hyperlink" Target="https://advance.lexis.com/api/document?collection=cases-ca&amp;id=urn:contentItem:5F8T-N3R1-JNS1-M0WF-00000-00&amp;context=" TargetMode="External" /><Relationship Id="rId728" Type="http://schemas.openxmlformats.org/officeDocument/2006/relationships/hyperlink" Target="https://advance.lexis.com/api/document?collection=cases-ca&amp;id=urn:contentItem:5F8P-SD61-JWJ0-G1XR-00000-00&amp;context=" TargetMode="External" /><Relationship Id="rId729" Type="http://schemas.openxmlformats.org/officeDocument/2006/relationships/hyperlink" Target="https://advance.lexis.com/api/document?collection=cases-ca&amp;id=urn:contentItem:5F81-YGM1-F5KY-B557-00000-00&amp;context=" TargetMode="External" /><Relationship Id="rId73" Type="http://schemas.openxmlformats.org/officeDocument/2006/relationships/hyperlink" Target="https://advance.lexis.com/api/document?collection=cases-ca&amp;id=urn:contentItem:5F7T-S6X1-K0BB-S0PV-00000-00&amp;context=" TargetMode="External" /><Relationship Id="rId730" Type="http://schemas.openxmlformats.org/officeDocument/2006/relationships/hyperlink" Target="https://advance.lexis.com/api/document?collection=cases-ca&amp;id=urn:contentItem:5F7T-S781-F27X-61BF-00000-00&amp;context=" TargetMode="External" /><Relationship Id="rId731" Type="http://schemas.openxmlformats.org/officeDocument/2006/relationships/hyperlink" Target="https://advance.lexis.com/api/document?collection=cases-ca&amp;id=urn:contentItem:5F16-9361-FFMK-M0DN-00000-00&amp;context=" TargetMode="External" /><Relationship Id="rId732" Type="http://schemas.openxmlformats.org/officeDocument/2006/relationships/hyperlink" Target="https://advance.lexis.com/api/document?collection=cases-ca&amp;id=urn:contentItem:5F8P-SDG1-F4GK-M25X-00000-00&amp;context=" TargetMode="External" /><Relationship Id="rId733" Type="http://schemas.openxmlformats.org/officeDocument/2006/relationships/hyperlink" Target="https://advance.lexis.com/api/document?collection=cases-ca&amp;id=urn:contentItem:5F7T-S7F1-FJTD-G3JW-00000-00&amp;context=" TargetMode="External" /><Relationship Id="rId734" Type="http://schemas.openxmlformats.org/officeDocument/2006/relationships/hyperlink" Target="https://advance.lexis.com/api/document?collection=cases-ca&amp;id=urn:contentItem:5F7T-S731-JC0G-63F2-00000-00&amp;context=" TargetMode="External" /><Relationship Id="rId735" Type="http://schemas.openxmlformats.org/officeDocument/2006/relationships/hyperlink" Target="https://advance.lexis.com/api/document?collection=cases-ca&amp;id=urn:contentItem:5F7T-S7D1-FFFC-B1F7-00000-00&amp;context=" TargetMode="External" /><Relationship Id="rId736" Type="http://schemas.openxmlformats.org/officeDocument/2006/relationships/hyperlink" Target="https://advance.lexis.com/api/document?collection=cases-ca&amp;id=urn:contentItem:5F7T-XPX1-FCCX-6201-00000-00&amp;context=" TargetMode="External" /><Relationship Id="rId737" Type="http://schemas.openxmlformats.org/officeDocument/2006/relationships/hyperlink" Target="https://advance.lexis.com/api/document?collection=cases-ca&amp;id=urn:contentItem:5F7T-S701-JK4W-M175-00000-00&amp;context=" TargetMode="External" /><Relationship Id="rId738" Type="http://schemas.openxmlformats.org/officeDocument/2006/relationships/hyperlink" Target="https://advance.lexis.com/api/document?collection=cases-ca&amp;id=urn:contentItem:5F8P-SDM1-FBN1-2095-00000-00&amp;context=" TargetMode="External" /><Relationship Id="rId739" Type="http://schemas.openxmlformats.org/officeDocument/2006/relationships/hyperlink" Target="https://advance.lexis.com/api/document?collection=cases-ca&amp;id=urn:contentItem:5F7T-S771-FG68-G0TT-00000-00&amp;context=" TargetMode="External" /><Relationship Id="rId74" Type="http://schemas.openxmlformats.org/officeDocument/2006/relationships/hyperlink" Target="https://advance.lexis.com/api/document?collection=cases-ca&amp;id=urn:contentItem:5F7T-S751-JNS1-M1F9-00000-00&amp;context=" TargetMode="External" /><Relationship Id="rId740" Type="http://schemas.openxmlformats.org/officeDocument/2006/relationships/hyperlink" Target="https://advance.lexis.com/api/document?collection=cases-ca&amp;id=urn:contentItem:5F7T-S701-JJYN-B2W8-00000-00&amp;context=" TargetMode="External" /><Relationship Id="rId741" Type="http://schemas.openxmlformats.org/officeDocument/2006/relationships/header" Target="header112.xml" /><Relationship Id="rId742" Type="http://schemas.openxmlformats.org/officeDocument/2006/relationships/header" Target="header113.xml" /><Relationship Id="rId743" Type="http://schemas.openxmlformats.org/officeDocument/2006/relationships/footer" Target="footer112.xml" /><Relationship Id="rId744" Type="http://schemas.openxmlformats.org/officeDocument/2006/relationships/footer" Target="footer113.xml" /><Relationship Id="rId745" Type="http://schemas.openxmlformats.org/officeDocument/2006/relationships/header" Target="header114.xml" /><Relationship Id="rId746" Type="http://schemas.openxmlformats.org/officeDocument/2006/relationships/footer" Target="footer114.xml" /><Relationship Id="rId747" Type="http://schemas.openxmlformats.org/officeDocument/2006/relationships/hyperlink" Target="https://advance.lexis.com/api/document?collection=cases-ca&amp;id=urn:contentItem:5F7T-S7J1-JNS1-M21V-00000-00&amp;context=" TargetMode="External" /><Relationship Id="rId748" Type="http://schemas.openxmlformats.org/officeDocument/2006/relationships/hyperlink" Target="https://advance.lexis.com/api/document?collection=cases-ca&amp;id=urn:contentItem:5F8T-N3V1-JF75-M3ST-00000-00&amp;context=" TargetMode="External" /><Relationship Id="rId749" Type="http://schemas.openxmlformats.org/officeDocument/2006/relationships/hyperlink" Target="https://advance.lexis.com/api/document?collection=cases-ca&amp;id=urn:contentItem:5F8T-N3V1-JTGH-B1B5-00000-00&amp;context=" TargetMode="External" /><Relationship Id="rId75" Type="http://schemas.openxmlformats.org/officeDocument/2006/relationships/hyperlink" Target="https://advance.lexis.com/api/document?collection=cases-ca&amp;id=urn:contentItem:5F8T-N3T1-JJSF-23BN-00000-00&amp;context=" TargetMode="External" /><Relationship Id="rId750" Type="http://schemas.openxmlformats.org/officeDocument/2006/relationships/hyperlink" Target="https://advance.lexis.com/api/document?collection=cases-ca&amp;id=urn:contentItem:5F7T-S6X1-JTNR-M3JW-00000-00&amp;context=" TargetMode="External" /><Relationship Id="rId751" Type="http://schemas.openxmlformats.org/officeDocument/2006/relationships/hyperlink" Target="https://advance.lexis.com/api/document?collection=cases-ca&amp;id=urn:contentItem:5F7T-S7D1-JS5Y-B2CM-00000-00&amp;context=" TargetMode="External" /><Relationship Id="rId752" Type="http://schemas.openxmlformats.org/officeDocument/2006/relationships/hyperlink" Target="https://advance.lexis.com/api/document?collection=cases-ca&amp;id=urn:contentItem:5F8P-SF11-F8SS-63B6-00000-00&amp;context=" TargetMode="External" /><Relationship Id="rId753" Type="http://schemas.openxmlformats.org/officeDocument/2006/relationships/hyperlink" Target="https://advance.lexis.com/api/document?collection=cases-ca&amp;id=urn:contentItem:5F7T-S701-JF75-M49K-00000-00&amp;context=" TargetMode="External" /><Relationship Id="rId754" Type="http://schemas.openxmlformats.org/officeDocument/2006/relationships/hyperlink" Target="https://advance.lexis.com/api/document?collection=cases-ca&amp;id=urn:contentItem:5F7T-S781-F900-G0TG-00000-00&amp;context=" TargetMode="External" /><Relationship Id="rId755" Type="http://schemas.openxmlformats.org/officeDocument/2006/relationships/hyperlink" Target="https://advance.lexis.com/api/document?collection=cases-ca&amp;id=urn:contentItem:5F7T-S751-JNS1-M1N2-00000-00&amp;context=" TargetMode="External" /><Relationship Id="rId756" Type="http://schemas.openxmlformats.org/officeDocument/2006/relationships/hyperlink" Target="https://advance.lexis.com/api/document?collection=cases-ca&amp;id=urn:contentItem:5F7T-S761-JX8W-M361-00000-00&amp;context=" TargetMode="External" /><Relationship Id="rId757" Type="http://schemas.openxmlformats.org/officeDocument/2006/relationships/hyperlink" Target="https://advance.lexis.com/api/document?collection=cases-ca&amp;id=urn:contentItem:5F7T-S6X1-F06F-22JK-00000-00&amp;context=" TargetMode="External" /><Relationship Id="rId758" Type="http://schemas.openxmlformats.org/officeDocument/2006/relationships/hyperlink" Target="https://advance.lexis.com/api/document?collection=cases-ca&amp;id=urn:contentItem:5F7H-KW91-F06F-20PX-00000-00&amp;context=" TargetMode="External" /><Relationship Id="rId759" Type="http://schemas.openxmlformats.org/officeDocument/2006/relationships/hyperlink" Target="https://advance.lexis.com/api/document?collection=cases-ca&amp;id=urn:contentItem:5F8T-N3V1-JTGH-B1CN-00000-00&amp;context=" TargetMode="External" /><Relationship Id="rId76" Type="http://schemas.openxmlformats.org/officeDocument/2006/relationships/hyperlink" Target="https://advance.lexis.com/api/document?collection=cases-ca&amp;id=urn:contentItem:5F8T-N3V1-FC1F-M41J-00000-00&amp;context=" TargetMode="External" /><Relationship Id="rId760" Type="http://schemas.openxmlformats.org/officeDocument/2006/relationships/header" Target="header115.xml" /><Relationship Id="rId761" Type="http://schemas.openxmlformats.org/officeDocument/2006/relationships/header" Target="header116.xml" /><Relationship Id="rId762" Type="http://schemas.openxmlformats.org/officeDocument/2006/relationships/footer" Target="footer115.xml" /><Relationship Id="rId763" Type="http://schemas.openxmlformats.org/officeDocument/2006/relationships/footer" Target="footer116.xml" /><Relationship Id="rId764" Type="http://schemas.openxmlformats.org/officeDocument/2006/relationships/header" Target="header117.xml" /><Relationship Id="rId765" Type="http://schemas.openxmlformats.org/officeDocument/2006/relationships/footer" Target="footer117.xml" /><Relationship Id="rId766" Type="http://schemas.openxmlformats.org/officeDocument/2006/relationships/hyperlink" Target="https://advance.lexis.com/api/document?collection=cases-ca&amp;id=urn:contentItem:5K6Y-81M1-DXHD-G2D8-00000-00&amp;context=" TargetMode="External" /><Relationship Id="rId767" Type="http://schemas.openxmlformats.org/officeDocument/2006/relationships/hyperlink" Target="https://advance.lexis.com/api/document?collection=cases-ca&amp;id=urn:contentItem:5F7T-S7H1-JFKM-62GD-00000-00&amp;context=" TargetMode="External" /><Relationship Id="rId768" Type="http://schemas.openxmlformats.org/officeDocument/2006/relationships/hyperlink" Target="https://advance.lexis.com/api/document?collection=cases-ca&amp;id=urn:contentItem:5F7T-S7C1-JCJ5-20VB-00000-00&amp;context=" TargetMode="External" /><Relationship Id="rId769" Type="http://schemas.openxmlformats.org/officeDocument/2006/relationships/hyperlink" Target="https://advance.lexis.com/api/document?collection=cases-ca&amp;id=urn:contentItem:5F7T-S7C1-JSRM-6111-00000-00&amp;context=" TargetMode="External" /><Relationship Id="rId77" Type="http://schemas.openxmlformats.org/officeDocument/2006/relationships/hyperlink" Target="https://advance.lexis.com/api/document?collection=cases-ca&amp;id=urn:contentItem:5F7T-S6X1-JXNB-6314-00000-00&amp;context=" TargetMode="External" /><Relationship Id="rId770" Type="http://schemas.openxmlformats.org/officeDocument/2006/relationships/hyperlink" Target="https://advance.lexis.com/api/document?collection=cases-ca&amp;id=urn:contentItem:5F7T-S7D1-JN6B-S107-00000-00&amp;context=" TargetMode="External" /><Relationship Id="rId771" Type="http://schemas.openxmlformats.org/officeDocument/2006/relationships/header" Target="header118.xml" /><Relationship Id="rId772" Type="http://schemas.openxmlformats.org/officeDocument/2006/relationships/header" Target="header119.xml" /><Relationship Id="rId773" Type="http://schemas.openxmlformats.org/officeDocument/2006/relationships/footer" Target="footer118.xml" /><Relationship Id="rId774" Type="http://schemas.openxmlformats.org/officeDocument/2006/relationships/footer" Target="footer119.xml" /><Relationship Id="rId775" Type="http://schemas.openxmlformats.org/officeDocument/2006/relationships/header" Target="header120.xml" /><Relationship Id="rId776" Type="http://schemas.openxmlformats.org/officeDocument/2006/relationships/footer" Target="footer120.xml" /><Relationship Id="rId777" Type="http://schemas.openxmlformats.org/officeDocument/2006/relationships/hyperlink" Target="https://advance.lexis.com/api/document?collection=cases-ca&amp;id=urn:contentItem:5K6Y-81M1-DXHD-G2B3-00000-00&amp;context=" TargetMode="External" /><Relationship Id="rId778" Type="http://schemas.openxmlformats.org/officeDocument/2006/relationships/hyperlink" Target="https://advance.lexis.com/api/document?collection=cases-ca&amp;id=urn:contentItem:5F7T-S7H1-F4GK-M32P-00000-00&amp;context=" TargetMode="External" /><Relationship Id="rId779" Type="http://schemas.openxmlformats.org/officeDocument/2006/relationships/hyperlink" Target="https://advance.lexis.com/api/document?collection=cases-ca&amp;id=urn:contentItem:5F7T-S7H1-JFKM-626F-00000-00&amp;context=" TargetMode="External" /><Relationship Id="rId78" Type="http://schemas.openxmlformats.org/officeDocument/2006/relationships/hyperlink" Target="https://advance.lexis.com/api/document?collection=cases-ca&amp;id=urn:contentItem:5F7T-S6X1-FCCX-60FJ-00000-00&amp;context=" TargetMode="External" /><Relationship Id="rId780" Type="http://schemas.openxmlformats.org/officeDocument/2006/relationships/hyperlink" Target="https://advance.lexis.com/api/document?collection=cases-ca&amp;id=urn:contentItem:5F8T-N3S1-JBDT-B0B8-00000-00&amp;context=" TargetMode="External" /><Relationship Id="rId781" Type="http://schemas.openxmlformats.org/officeDocument/2006/relationships/hyperlink" Target="https://advance.lexis.com/api/document?collection=cases-ca&amp;id=urn:contentItem:5F81-VJV1-FC6N-X2XR-00000-00&amp;context=" TargetMode="External" /><Relationship Id="rId782" Type="http://schemas.openxmlformats.org/officeDocument/2006/relationships/hyperlink" Target="https://advance.lexis.com/api/document?collection=cases-ca&amp;id=urn:contentItem:5F8T-N3S1-JBDT-B060-00000-00&amp;context=" TargetMode="External" /><Relationship Id="rId783" Type="http://schemas.openxmlformats.org/officeDocument/2006/relationships/hyperlink" Target="https://advance.lexis.com/api/document?collection=cases-ca&amp;id=urn:contentItem:5F7T-S6S1-F7G6-61JD-00000-00&amp;context=" TargetMode="External" /><Relationship Id="rId784" Type="http://schemas.openxmlformats.org/officeDocument/2006/relationships/hyperlink" Target="https://advance.lexis.com/api/document?collection=cases-ca&amp;id=urn:contentItem:5F16-93B1-F4GK-M43F-00000-00&amp;context=" TargetMode="External" /><Relationship Id="rId785" Type="http://schemas.openxmlformats.org/officeDocument/2006/relationships/header" Target="header121.xml" /><Relationship Id="rId786" Type="http://schemas.openxmlformats.org/officeDocument/2006/relationships/header" Target="header122.xml" /><Relationship Id="rId787" Type="http://schemas.openxmlformats.org/officeDocument/2006/relationships/footer" Target="footer121.xml" /><Relationship Id="rId788" Type="http://schemas.openxmlformats.org/officeDocument/2006/relationships/footer" Target="footer122.xml" /><Relationship Id="rId789" Type="http://schemas.openxmlformats.org/officeDocument/2006/relationships/header" Target="header123.xml" /><Relationship Id="rId79" Type="http://schemas.openxmlformats.org/officeDocument/2006/relationships/hyperlink" Target="https://advance.lexis.com/api/document?collection=cases-ca&amp;id=urn:contentItem:5F7T-S6Y1-F7G6-62PG-00000-00&amp;context=" TargetMode="External" /><Relationship Id="rId790" Type="http://schemas.openxmlformats.org/officeDocument/2006/relationships/footer" Target="footer123.xml" /><Relationship Id="rId791" Type="http://schemas.openxmlformats.org/officeDocument/2006/relationships/hyperlink" Target="https://advance.lexis.com/api/document?collection=cases-ca&amp;id=urn:contentItem:5F7T-S771-JJD0-G1HS-00000-00&amp;context=" TargetMode="External" /><Relationship Id="rId792" Type="http://schemas.openxmlformats.org/officeDocument/2006/relationships/hyperlink" Target="https://advance.lexis.com/api/document?collection=cases-ca&amp;id=urn:contentItem:5F7T-S781-FH4C-X2KW-00000-00&amp;context=" TargetMode="External" /><Relationship Id="rId793" Type="http://schemas.openxmlformats.org/officeDocument/2006/relationships/header" Target="header124.xml" /><Relationship Id="rId794" Type="http://schemas.openxmlformats.org/officeDocument/2006/relationships/header" Target="header125.xml" /><Relationship Id="rId795" Type="http://schemas.openxmlformats.org/officeDocument/2006/relationships/footer" Target="footer124.xml" /><Relationship Id="rId796" Type="http://schemas.openxmlformats.org/officeDocument/2006/relationships/footer" Target="footer125.xml" /><Relationship Id="rId797" Type="http://schemas.openxmlformats.org/officeDocument/2006/relationships/header" Target="header126.xml" /><Relationship Id="rId798" Type="http://schemas.openxmlformats.org/officeDocument/2006/relationships/footer" Target="footer126.xml" /><Relationship Id="rId799" Type="http://schemas.openxmlformats.org/officeDocument/2006/relationships/hyperlink" Target="https://advance.lexis.com/api/document?collection=cases-ca&amp;id=urn:contentItem:5F7T-S781-F06F-241P-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61-JCBX-S0XF-00000-00&amp;context=" TargetMode="External" /><Relationship Id="rId800" Type="http://schemas.openxmlformats.org/officeDocument/2006/relationships/hyperlink" Target="https://advance.lexis.com/api/document?collection=cases-ca&amp;id=urn:contentItem:5F7T-S781-FH4C-X2NM-00000-00&amp;context=" TargetMode="External" /><Relationship Id="rId801" Type="http://schemas.openxmlformats.org/officeDocument/2006/relationships/hyperlink" Target="https://advance.lexis.com/api/document?collection=cases-ca&amp;id=urn:contentItem:5F7T-S6Y1-JPP5-2196-00000-00&amp;context=" TargetMode="External" /><Relationship Id="rId802" Type="http://schemas.openxmlformats.org/officeDocument/2006/relationships/header" Target="header127.xml" /><Relationship Id="rId803" Type="http://schemas.openxmlformats.org/officeDocument/2006/relationships/header" Target="header128.xml" /><Relationship Id="rId804" Type="http://schemas.openxmlformats.org/officeDocument/2006/relationships/footer" Target="footer127.xml" /><Relationship Id="rId805" Type="http://schemas.openxmlformats.org/officeDocument/2006/relationships/footer" Target="footer128.xml" /><Relationship Id="rId806" Type="http://schemas.openxmlformats.org/officeDocument/2006/relationships/header" Target="header129.xml" /><Relationship Id="rId807" Type="http://schemas.openxmlformats.org/officeDocument/2006/relationships/footer" Target="footer129.xml" /><Relationship Id="rId808" Type="http://schemas.openxmlformats.org/officeDocument/2006/relationships/hyperlink" Target="https://advance.lexis.com/api/document?collection=cases-ca&amp;id=urn:contentItem:5F7T-S7J1-FGCG-S06H-00000-00&amp;context=" TargetMode="External" /><Relationship Id="rId809" Type="http://schemas.openxmlformats.org/officeDocument/2006/relationships/hyperlink" Target="https://advance.lexis.com/api/document?collection=cases-ca&amp;id=urn:contentItem:5F7T-S6T1-F2F4-G1FF-00000-00&amp;context=" TargetMode="External" /><Relationship Id="rId81" Type="http://schemas.openxmlformats.org/officeDocument/2006/relationships/header" Target="header13.xml" /><Relationship Id="rId810" Type="http://schemas.openxmlformats.org/officeDocument/2006/relationships/hyperlink" Target="https://advance.lexis.com/api/document?collection=cases-ca&amp;id=urn:contentItem:5F7T-S6S1-FFTT-X0HH-00000-00&amp;context=" TargetMode="External" /><Relationship Id="rId811" Type="http://schemas.openxmlformats.org/officeDocument/2006/relationships/hyperlink" Target="https://advance.lexis.com/api/document?collection=cases-ca&amp;id=urn:contentItem:5F7T-S6V1-F2TK-22G9-00000-00&amp;context=" TargetMode="External" /><Relationship Id="rId812" Type="http://schemas.openxmlformats.org/officeDocument/2006/relationships/hyperlink" Target="https://advance.lexis.com/api/document?collection=cases-ca&amp;id=urn:contentItem:5F7T-S6Y1-F81W-21DN-00000-00&amp;context=" TargetMode="External" /><Relationship Id="rId813" Type="http://schemas.openxmlformats.org/officeDocument/2006/relationships/hyperlink" Target="https://advance.lexis.com/api/document?collection=cases-ca&amp;id=urn:contentItem:5F7T-S6W1-JB7K-214S-00000-00&amp;context=" TargetMode="External" /><Relationship Id="rId814" Type="http://schemas.openxmlformats.org/officeDocument/2006/relationships/hyperlink" Target="https://advance.lexis.com/api/document?collection=cases-ca&amp;id=urn:contentItem:5F7T-S6X1-JXNB-636G-00000-00&amp;context=" TargetMode="External" /><Relationship Id="rId815" Type="http://schemas.openxmlformats.org/officeDocument/2006/relationships/hyperlink" Target="https://advance.lexis.com/api/document?collection=cases-ca&amp;id=urn:contentItem:5F7T-S7G1-F5KY-B1TX-00000-00&amp;context=" TargetMode="External" /><Relationship Id="rId816" Type="http://schemas.openxmlformats.org/officeDocument/2006/relationships/hyperlink" Target="https://advance.lexis.com/api/document?collection=cases-ca&amp;id=urn:contentItem:5F7T-S6W1-F7ND-G2N1-00000-00&amp;context=" TargetMode="External" /><Relationship Id="rId817" Type="http://schemas.openxmlformats.org/officeDocument/2006/relationships/hyperlink" Target="https://advance.lexis.com/api/document?collection=cases-ca&amp;id=urn:contentItem:5F7T-S6T1-DY89-M2WT-00000-00&amp;context=" TargetMode="External" /><Relationship Id="rId818" Type="http://schemas.openxmlformats.org/officeDocument/2006/relationships/hyperlink" Target="https://advance.lexis.com/api/document?collection=cases-ca&amp;id=urn:contentItem:5F7T-S6R1-DXWW-234C-00000-00&amp;context=" TargetMode="External" /><Relationship Id="rId819" Type="http://schemas.openxmlformats.org/officeDocument/2006/relationships/hyperlink" Target="https://advance.lexis.com/api/document?collection=cases-ca&amp;id=urn:contentItem:5F81-VJV1-F60C-X397-00000-00&amp;context=" TargetMode="External" /><Relationship Id="rId82" Type="http://schemas.openxmlformats.org/officeDocument/2006/relationships/header" Target="header14.xml" /><Relationship Id="rId820" Type="http://schemas.openxmlformats.org/officeDocument/2006/relationships/header" Target="header130.xml" /><Relationship Id="rId821" Type="http://schemas.openxmlformats.org/officeDocument/2006/relationships/header" Target="header131.xml" /><Relationship Id="rId822" Type="http://schemas.openxmlformats.org/officeDocument/2006/relationships/footer" Target="footer130.xml" /><Relationship Id="rId823" Type="http://schemas.openxmlformats.org/officeDocument/2006/relationships/footer" Target="footer131.xml" /><Relationship Id="rId824" Type="http://schemas.openxmlformats.org/officeDocument/2006/relationships/header" Target="header132.xml" /><Relationship Id="rId825" Type="http://schemas.openxmlformats.org/officeDocument/2006/relationships/footer" Target="footer132.xml" /><Relationship Id="rId826" Type="http://schemas.openxmlformats.org/officeDocument/2006/relationships/hyperlink" Target="https://advance.lexis.com/api/document?collection=cases-ca&amp;id=urn:contentItem:5F7T-S7K1-F528-G2NW-00000-00&amp;context=" TargetMode="External" /><Relationship Id="rId827" Type="http://schemas.openxmlformats.org/officeDocument/2006/relationships/hyperlink" Target="https://advance.lexis.com/api/document?collection=legislation-ca&amp;id=urn:contentItem:5F41-1FP1-JXNB-60KG-00000-00&amp;context=" TargetMode="External" /><Relationship Id="rId828" Type="http://schemas.openxmlformats.org/officeDocument/2006/relationships/hyperlink" Target="https://advance.lexis.com/api/document?collection=cases-ca&amp;id=urn:contentItem:5F7T-S781-JSC5-M45B-00000-00&amp;context=" TargetMode="External" /><Relationship Id="rId829" Type="http://schemas.openxmlformats.org/officeDocument/2006/relationships/hyperlink" Target="https://advance.lexis.com/api/document?collection=cases-ca&amp;id=urn:contentItem:5F7T-S7K1-F1H1-22F0-00000-00&amp;context=" TargetMode="External" /><Relationship Id="rId83" Type="http://schemas.openxmlformats.org/officeDocument/2006/relationships/footer" Target="footer13.xml" /><Relationship Id="rId830" Type="http://schemas.openxmlformats.org/officeDocument/2006/relationships/hyperlink" Target="https://advance.lexis.com/api/document?collection=cases-ca&amp;id=urn:contentItem:5F8T-N3V1-JTGH-B0Y8-00000-00&amp;context=" TargetMode="External" /><Relationship Id="rId831" Type="http://schemas.openxmlformats.org/officeDocument/2006/relationships/hyperlink" Target="https://advance.lexis.com/api/document?collection=cases-ca&amp;id=urn:contentItem:5F7T-S7K1-JX3N-B318-00000-00&amp;context=" TargetMode="External" /><Relationship Id="rId832" Type="http://schemas.openxmlformats.org/officeDocument/2006/relationships/header" Target="header133.xml" /><Relationship Id="rId833" Type="http://schemas.openxmlformats.org/officeDocument/2006/relationships/header" Target="header134.xml" /><Relationship Id="rId834" Type="http://schemas.openxmlformats.org/officeDocument/2006/relationships/footer" Target="footer133.xml" /><Relationship Id="rId835" Type="http://schemas.openxmlformats.org/officeDocument/2006/relationships/footer" Target="footer134.xml" /><Relationship Id="rId836" Type="http://schemas.openxmlformats.org/officeDocument/2006/relationships/header" Target="header135.xml" /><Relationship Id="rId837" Type="http://schemas.openxmlformats.org/officeDocument/2006/relationships/footer" Target="footer135.xml" /><Relationship Id="rId838" Type="http://schemas.openxmlformats.org/officeDocument/2006/relationships/hyperlink" Target="https://advance.lexis.com/api/document?collection=cases-ca&amp;id=urn:contentItem:5SJM-4CD1-JJ1H-X4SC-00000-00&amp;context=" TargetMode="External" /><Relationship Id="rId839" Type="http://schemas.openxmlformats.org/officeDocument/2006/relationships/hyperlink" Target="https://advance.lexis.com/api/document?collection=cases-ca&amp;id=urn:contentItem:5TRG-C6H1-JTNR-M0GR-00000-00&amp;context=" TargetMode="External" /><Relationship Id="rId84" Type="http://schemas.openxmlformats.org/officeDocument/2006/relationships/footer" Target="footer14.xml" /><Relationship Id="rId840" Type="http://schemas.openxmlformats.org/officeDocument/2006/relationships/hyperlink" Target="https://advance.lexis.com/api/document?collection=cases-ca&amp;id=urn:contentItem:5F8T-N3T1-JFKM-652N-00000-00&amp;context=" TargetMode="External" /><Relationship Id="rId841" Type="http://schemas.openxmlformats.org/officeDocument/2006/relationships/hyperlink" Target="https://advance.lexis.com/api/document?collection=cases-ca&amp;id=urn:contentItem:5F7T-S7K1-JSJC-X0XR-00000-00&amp;context=" TargetMode="External" /><Relationship Id="rId842" Type="http://schemas.openxmlformats.org/officeDocument/2006/relationships/hyperlink" Target="https://advance.lexis.com/api/document?collection=cases-ca&amp;id=urn:contentItem:5F8T-N3V1-JF75-M3CF-00000-00&amp;context=" TargetMode="External" /><Relationship Id="rId843" Type="http://schemas.openxmlformats.org/officeDocument/2006/relationships/hyperlink" Target="https://advance.lexis.com/api/document?collection=cases-ca&amp;id=urn:contentItem:5F7T-S741-DY89-M3J2-00000-00&amp;context=" TargetMode="External" /><Relationship Id="rId844" Type="http://schemas.openxmlformats.org/officeDocument/2006/relationships/hyperlink" Target="https://advance.lexis.com/api/document?collection=cases-ca&amp;id=urn:contentItem:5F7T-S701-JGPY-X1SR-00000-00&amp;context=" TargetMode="External" /><Relationship Id="rId845" Type="http://schemas.openxmlformats.org/officeDocument/2006/relationships/hyperlink" Target="https://advance.lexis.com/api/document?collection=cases-ca&amp;id=urn:contentItem:5F7T-S7M1-F4W2-624C-00000-00&amp;context=" TargetMode="External" /><Relationship Id="rId846" Type="http://schemas.openxmlformats.org/officeDocument/2006/relationships/hyperlink" Target="https://advance.lexis.com/api/document?collection=cases-ca&amp;id=urn:contentItem:5F7T-S721-FG12-621Y-00000-00&amp;context=" TargetMode="External" /><Relationship Id="rId847" Type="http://schemas.openxmlformats.org/officeDocument/2006/relationships/hyperlink" Target="https://advance.lexis.com/api/document?collection=cases-ca&amp;id=urn:contentItem:5F82-1SD1-F1H1-21M9-00000-00&amp;context=" TargetMode="External" /><Relationship Id="rId848" Type="http://schemas.openxmlformats.org/officeDocument/2006/relationships/hyperlink" Target="https://advance.lexis.com/api/document?collection=cases-ca&amp;id=urn:contentItem:5F8P-SCP1-JWJ0-G1MS-00000-00&amp;context=" TargetMode="External" /><Relationship Id="rId849" Type="http://schemas.openxmlformats.org/officeDocument/2006/relationships/hyperlink" Target="https://advance.lexis.com/api/document?collection=cases-ca&amp;id=urn:contentItem:5F81-VJX1-JX3N-B1SD-00000-00&amp;context=" TargetMode="External" /><Relationship Id="rId85" Type="http://schemas.openxmlformats.org/officeDocument/2006/relationships/header" Target="header15.xml" /><Relationship Id="rId850" Type="http://schemas.openxmlformats.org/officeDocument/2006/relationships/hyperlink" Target="https://advance.lexis.com/api/document?collection=cases-ca&amp;id=urn:contentItem:5F81-VJX1-JJYN-B4XG-00000-00&amp;context=" TargetMode="External" /><Relationship Id="rId851" Type="http://schemas.openxmlformats.org/officeDocument/2006/relationships/hyperlink" Target="https://advance.lexis.com/api/document?collection=cases-ca&amp;id=urn:contentItem:5F7T-S711-F27X-60R5-00000-00&amp;context=" TargetMode="External" /><Relationship Id="rId852" Type="http://schemas.openxmlformats.org/officeDocument/2006/relationships/hyperlink" Target="https://advance.lexis.com/api/document?collection=cases-ca&amp;id=urn:contentItem:5F7T-S751-JP4G-61HR-00000-00&amp;context=" TargetMode="External" /><Relationship Id="rId853" Type="http://schemas.openxmlformats.org/officeDocument/2006/relationships/hyperlink" Target="https://advance.lexis.com/api/document?collection=cases-ca&amp;id=urn:contentItem:5F8T-N3R1-FJDY-X38P-00000-00&amp;context=" TargetMode="External" /><Relationship Id="rId854" Type="http://schemas.openxmlformats.org/officeDocument/2006/relationships/header" Target="header136.xml" /><Relationship Id="rId855" Type="http://schemas.openxmlformats.org/officeDocument/2006/relationships/header" Target="header137.xml" /><Relationship Id="rId856" Type="http://schemas.openxmlformats.org/officeDocument/2006/relationships/footer" Target="footer136.xml" /><Relationship Id="rId857" Type="http://schemas.openxmlformats.org/officeDocument/2006/relationships/footer" Target="footer137.xml" /><Relationship Id="rId858" Type="http://schemas.openxmlformats.org/officeDocument/2006/relationships/header" Target="header138.xml" /><Relationship Id="rId859" Type="http://schemas.openxmlformats.org/officeDocument/2006/relationships/footer" Target="footer138.xml" /><Relationship Id="rId86" Type="http://schemas.openxmlformats.org/officeDocument/2006/relationships/footer" Target="footer15.xml" /><Relationship Id="rId860" Type="http://schemas.openxmlformats.org/officeDocument/2006/relationships/hyperlink" Target="https://advance.lexis.com/api/document?collection=cases-ca&amp;id=urn:contentItem:5F7T-S7B1-JCJ5-2014-00000-00&amp;context=" TargetMode="External" /><Relationship Id="rId861" Type="http://schemas.openxmlformats.org/officeDocument/2006/relationships/hyperlink" Target="https://advance.lexis.com/api/document?collection=cases-ca&amp;id=urn:contentItem:5F7T-S781-F900-G126-00000-00&amp;context=" TargetMode="External" /><Relationship Id="rId862" Type="http://schemas.openxmlformats.org/officeDocument/2006/relationships/hyperlink" Target="https://advance.lexis.com/api/document?collection=cases-ca&amp;id=urn:contentItem:5F7T-S6R1-JW09-M09C-00000-00&amp;context=" TargetMode="External" /><Relationship Id="rId863" Type="http://schemas.openxmlformats.org/officeDocument/2006/relationships/hyperlink" Target="https://advance.lexis.com/api/document?collection=cases-ca&amp;id=urn:contentItem:5F7T-S741-F8D9-M18P-00000-00&amp;context=" TargetMode="External" /><Relationship Id="rId864" Type="http://schemas.openxmlformats.org/officeDocument/2006/relationships/header" Target="header139.xml" /><Relationship Id="rId865" Type="http://schemas.openxmlformats.org/officeDocument/2006/relationships/header" Target="header140.xml" /><Relationship Id="rId866" Type="http://schemas.openxmlformats.org/officeDocument/2006/relationships/footer" Target="footer139.xml" /><Relationship Id="rId867" Type="http://schemas.openxmlformats.org/officeDocument/2006/relationships/footer" Target="footer140.xml" /><Relationship Id="rId868" Type="http://schemas.openxmlformats.org/officeDocument/2006/relationships/header" Target="header141.xml" /><Relationship Id="rId869" Type="http://schemas.openxmlformats.org/officeDocument/2006/relationships/footer" Target="footer141.xml" /><Relationship Id="rId87" Type="http://schemas.openxmlformats.org/officeDocument/2006/relationships/hyperlink" Target="https://advance.lexis.com/api/document?collection=cases-ca&amp;id=urn:contentItem:5F7T-S7N1-F57G-S2J3-00000-00&amp;context=" TargetMode="External" /><Relationship Id="rId870" Type="http://schemas.openxmlformats.org/officeDocument/2006/relationships/hyperlink" Target="https://advance.lexis.com/api/document?collection=cases-ca&amp;id=urn:contentItem:5K6Y-81M1-JN6B-S18J-00000-00&amp;context=" TargetMode="External" /><Relationship Id="rId871" Type="http://schemas.openxmlformats.org/officeDocument/2006/relationships/hyperlink" Target="https://advance.lexis.com/api/document?collection=cases-ca&amp;id=urn:contentItem:5F7T-S6S1-F60C-X0S6-00000-00&amp;context=" TargetMode="External" /><Relationship Id="rId872" Type="http://schemas.openxmlformats.org/officeDocument/2006/relationships/hyperlink" Target="https://advance.lexis.com/api/document?collection=cases-ca&amp;id=urn:contentItem:5F7T-S6T1-F2F4-G206-00000-00&amp;context=" TargetMode="External" /><Relationship Id="rId873" Type="http://schemas.openxmlformats.org/officeDocument/2006/relationships/hyperlink" Target="https://advance.lexis.com/api/document?collection=cases-ca&amp;id=urn:contentItem:5F7T-S6V1-F956-S054-00000-00&amp;context=" TargetMode="External" /><Relationship Id="rId874" Type="http://schemas.openxmlformats.org/officeDocument/2006/relationships/hyperlink" Target="https://advance.lexis.com/api/document?collection=cases-ca&amp;id=urn:contentItem:5F7T-S711-F5KY-B0XT-00000-00&amp;context=" TargetMode="External" /><Relationship Id="rId875" Type="http://schemas.openxmlformats.org/officeDocument/2006/relationships/header" Target="header142.xml" /><Relationship Id="rId876" Type="http://schemas.openxmlformats.org/officeDocument/2006/relationships/header" Target="header143.xml" /><Relationship Id="rId877" Type="http://schemas.openxmlformats.org/officeDocument/2006/relationships/footer" Target="footer142.xml" /><Relationship Id="rId878" Type="http://schemas.openxmlformats.org/officeDocument/2006/relationships/footer" Target="footer143.xml" /><Relationship Id="rId879" Type="http://schemas.openxmlformats.org/officeDocument/2006/relationships/header" Target="header144.xml" /><Relationship Id="rId88" Type="http://schemas.openxmlformats.org/officeDocument/2006/relationships/hyperlink" Target="https://advance.lexis.com/api/document?collection=cases-ca&amp;id=urn:contentItem:5K6Y-81N1-JN14-G21D-00000-00&amp;context=" TargetMode="External" /><Relationship Id="rId880" Type="http://schemas.openxmlformats.org/officeDocument/2006/relationships/footer" Target="footer144.xml" /><Relationship Id="rId881" Type="http://schemas.openxmlformats.org/officeDocument/2006/relationships/hyperlink" Target="https://advance.lexis.com/api/document?collection=cases-ca&amp;id=urn:contentItem:5F7T-S7M1-DYMS-62DC-00000-00&amp;context=" TargetMode="External" /><Relationship Id="rId882" Type="http://schemas.openxmlformats.org/officeDocument/2006/relationships/hyperlink" Target="https://advance.lexis.com/api/document?collection=cases-ca&amp;id=urn:contentItem:5K6Y-81N1-JN14-G1NN-00000-00&amp;context=" TargetMode="External" /><Relationship Id="rId883" Type="http://schemas.openxmlformats.org/officeDocument/2006/relationships/hyperlink" Target="https://advance.lexis.com/api/document?collection=cases-ca&amp;id=urn:contentItem:5F8T-N3V1-JTGH-B16R-00000-00&amp;context=" TargetMode="External" /><Relationship Id="rId884" Type="http://schemas.openxmlformats.org/officeDocument/2006/relationships/hyperlink" Target="https://advance.lexis.com/api/document?collection=cases-ca&amp;id=urn:contentItem:5F8P-SDG1-JGPY-X2PP-00000-00&amp;context=" TargetMode="External" /><Relationship Id="rId885" Type="http://schemas.openxmlformats.org/officeDocument/2006/relationships/hyperlink" Target="https://advance.lexis.com/api/document?collection=cases-ca&amp;id=urn:contentItem:5F8P-SGC1-JG02-S271-00000-00&amp;context=" TargetMode="External" /><Relationship Id="rId886" Type="http://schemas.openxmlformats.org/officeDocument/2006/relationships/hyperlink" Target="https://advance.lexis.com/api/document?collection=cases-ca&amp;id=urn:contentItem:5F8T-N3V1-JTGH-B0YX-00000-00&amp;context=" TargetMode="External" /><Relationship Id="rId887" Type="http://schemas.openxmlformats.org/officeDocument/2006/relationships/header" Target="header145.xml" /><Relationship Id="rId888" Type="http://schemas.openxmlformats.org/officeDocument/2006/relationships/header" Target="header146.xml" /><Relationship Id="rId889" Type="http://schemas.openxmlformats.org/officeDocument/2006/relationships/footer" Target="footer145.xml" /><Relationship Id="rId89" Type="http://schemas.openxmlformats.org/officeDocument/2006/relationships/hyperlink" Target="https://advance.lexis.com/api/document?collection=legislation-ca&amp;id=urn:contentItem:5GBY-CM31-JYYX-633F-00000-00&amp;context=" TargetMode="External" /><Relationship Id="rId890" Type="http://schemas.openxmlformats.org/officeDocument/2006/relationships/footer" Target="footer146.xml" /><Relationship Id="rId891" Type="http://schemas.openxmlformats.org/officeDocument/2006/relationships/header" Target="header147.xml" /><Relationship Id="rId892" Type="http://schemas.openxmlformats.org/officeDocument/2006/relationships/footer" Target="footer147.xml" /><Relationship Id="rId893" Type="http://schemas.openxmlformats.org/officeDocument/2006/relationships/hyperlink" Target="https://advance.lexis.com/api/document?collection=cases-ca&amp;id=urn:contentItem:5K6Y-81M1-F81W-23T5-00000-00&amp;context=" TargetMode="External" /><Relationship Id="rId894" Type="http://schemas.openxmlformats.org/officeDocument/2006/relationships/hyperlink" Target="https://advance.lexis.com/api/document?collection=cases-ca&amp;id=urn:contentItem:5F7T-S7K1-JX3N-B2YD-00000-00&amp;context=" TargetMode="External" /><Relationship Id="rId895" Type="http://schemas.openxmlformats.org/officeDocument/2006/relationships/hyperlink" Target="https://advance.lexis.com/api/document?collection=cases-ca&amp;id=urn:contentItem:5F7T-S6W1-JF75-M3FR-00000-00&amp;context=" TargetMode="External" /><Relationship Id="rId896" Type="http://schemas.openxmlformats.org/officeDocument/2006/relationships/hyperlink" Target="https://advance.lexis.com/api/document?collection=cases-ca&amp;id=urn:contentItem:5F7T-S7J1-FGCG-S0M6-00000-00&amp;context=" TargetMode="External" /><Relationship Id="rId897" Type="http://schemas.openxmlformats.org/officeDocument/2006/relationships/hyperlink" Target="https://advance.lexis.com/api/document?collection=cases-ca&amp;id=urn:contentItem:5F7T-S6Y1-JPP5-213T-00000-00&amp;context=" TargetMode="External" /><Relationship Id="rId898" Type="http://schemas.openxmlformats.org/officeDocument/2006/relationships/hyperlink" Target="https://advance.lexis.com/api/document?collection=cases-ca&amp;id=urn:contentItem:5F7T-S781-DYMS-61N0-00000-00&amp;context=" TargetMode="External" /><Relationship Id="rId899" Type="http://schemas.openxmlformats.org/officeDocument/2006/relationships/hyperlink" Target="https://advance.lexis.com/api/document?collection=cases-ca&amp;id=urn:contentItem:5F7T-S771-F2TK-22Y5-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61-JGHR-M2JJ-00000-00&amp;context=" TargetMode="External" /><Relationship Id="rId900" Type="http://schemas.openxmlformats.org/officeDocument/2006/relationships/hyperlink" Target="https://advance.lexis.com/api/document?collection=cases-ca&amp;id=urn:contentItem:5F7T-S6X1-K054-G1NS-00000-00&amp;context=" TargetMode="External" /><Relationship Id="rId901" Type="http://schemas.openxmlformats.org/officeDocument/2006/relationships/hyperlink" Target="https://advance.lexis.com/api/document?collection=cases-ca&amp;id=urn:contentItem:5F2P-NNM1-JCRC-B52T-00000-00&amp;context=" TargetMode="External" /><Relationship Id="rId902" Type="http://schemas.openxmlformats.org/officeDocument/2006/relationships/hyperlink" Target="https://advance.lexis.com/api/document?collection=cases-ca&amp;id=urn:contentItem:5F8T-N3T1-JJSF-23P9-00000-00&amp;context=" TargetMode="External" /><Relationship Id="rId903" Type="http://schemas.openxmlformats.org/officeDocument/2006/relationships/hyperlink" Target="https://advance.lexis.com/api/document?collection=cases-ca&amp;id=urn:contentItem:5F8T-N3V1-FC1F-M4BS-00000-00&amp;context=" TargetMode="External" /><Relationship Id="rId904" Type="http://schemas.openxmlformats.org/officeDocument/2006/relationships/hyperlink" Target="https://advance.lexis.com/api/document?collection=cases-ca&amp;id=urn:contentItem:5F8T-N3V1-FC1F-M4BT-00000-00&amp;context=" TargetMode="External" /><Relationship Id="rId905" Type="http://schemas.openxmlformats.org/officeDocument/2006/relationships/header" Target="header148.xml" /><Relationship Id="rId906" Type="http://schemas.openxmlformats.org/officeDocument/2006/relationships/header" Target="header149.xml" /><Relationship Id="rId907" Type="http://schemas.openxmlformats.org/officeDocument/2006/relationships/footer" Target="footer148.xml" /><Relationship Id="rId908" Type="http://schemas.openxmlformats.org/officeDocument/2006/relationships/footer" Target="footer149.xml" /><Relationship Id="rId909" Type="http://schemas.openxmlformats.org/officeDocument/2006/relationships/header" Target="header150.xml" /><Relationship Id="rId91" Type="http://schemas.openxmlformats.org/officeDocument/2006/relationships/hyperlink" Target="https://advance.lexis.com/api/document?collection=cases-ca&amp;id=urn:contentItem:5F7T-S711-JB2B-S185-00000-00&amp;context=" TargetMode="External" /><Relationship Id="rId910" Type="http://schemas.openxmlformats.org/officeDocument/2006/relationships/footer" Target="footer150.xml" /><Relationship Id="rId911" Type="http://schemas.openxmlformats.org/officeDocument/2006/relationships/hyperlink" Target="https://advance.lexis.com/api/document?collection=cases-ca&amp;id=urn:contentItem:5F7T-S7G1-JWR6-S1RS-00000-00&amp;context=" TargetMode="External" /><Relationship Id="rId912" Type="http://schemas.openxmlformats.org/officeDocument/2006/relationships/hyperlink" Target="https://advance.lexis.com/api/document?collection=cases-ca&amp;id=urn:contentItem:5F7T-S7F1-F7VM-S40D-00000-00&amp;context=" TargetMode="External" /><Relationship Id="rId913" Type="http://schemas.openxmlformats.org/officeDocument/2006/relationships/hyperlink" Target="https://advance.lexis.com/api/document?collection=cases-ca&amp;id=urn:contentItem:5F7T-S731-F016-S319-00000-00&amp;context=" TargetMode="External" /><Relationship Id="rId914" Type="http://schemas.openxmlformats.org/officeDocument/2006/relationships/hyperlink" Target="https://advance.lexis.com/api/document?collection=cases-ca&amp;id=urn:contentItem:5F7T-S7F1-FJTD-G3D8-00000-00&amp;context=" TargetMode="External" /><Relationship Id="rId915" Type="http://schemas.openxmlformats.org/officeDocument/2006/relationships/hyperlink" Target="https://advance.lexis.com/api/document?collection=cases-ca&amp;id=urn:contentItem:5F7T-S7C1-JS0R-22GW-00000-00&amp;context=" TargetMode="External" /><Relationship Id="rId916" Type="http://schemas.openxmlformats.org/officeDocument/2006/relationships/hyperlink" Target="https://advance.lexis.com/api/document?collection=cases-ca&amp;id=urn:contentItem:5F7T-S7H1-K054-G1YH-00000-00&amp;context=" TargetMode="External" /><Relationship Id="rId917" Type="http://schemas.openxmlformats.org/officeDocument/2006/relationships/hyperlink" Target="https://advance.lexis.com/api/document?collection=cases-ca&amp;id=urn:contentItem:5F8T-N3R1-JJSF-22XR-00000-00&amp;context=" TargetMode="External" /><Relationship Id="rId918" Type="http://schemas.openxmlformats.org/officeDocument/2006/relationships/hyperlink" Target="https://advance.lexis.com/api/document?collection=cases-ca&amp;id=urn:contentItem:5F81-VJX1-F5T5-M43N-00000-00&amp;context=" TargetMode="External" /><Relationship Id="rId919" Type="http://schemas.openxmlformats.org/officeDocument/2006/relationships/hyperlink" Target="https://advance.lexis.com/api/document?collection=cases-ca&amp;id=urn:contentItem:5F81-VJW1-FGY5-M307-00000-00&amp;context=" TargetMode="External" /><Relationship Id="rId92" Type="http://schemas.openxmlformats.org/officeDocument/2006/relationships/hyperlink" Target="https://advance.lexis.com/api/document?collection=cases-ca&amp;id=urn:contentItem:5F7T-S7K1-JX3N-B32B-00000-00&amp;context=" TargetMode="External" /><Relationship Id="rId920" Type="http://schemas.openxmlformats.org/officeDocument/2006/relationships/hyperlink" Target="https://advance.lexis.com/api/document?collection=cases-ca&amp;id=urn:contentItem:5F8P-SCM1-DY33-B4HN-00000-00&amp;context=" TargetMode="External" /><Relationship Id="rId921" Type="http://schemas.openxmlformats.org/officeDocument/2006/relationships/numbering" Target="numbering.xml" /><Relationship Id="rId922" Type="http://schemas.openxmlformats.org/officeDocument/2006/relationships/styles" Target="styles.xml" /><Relationship Id="rId93" Type="http://schemas.openxmlformats.org/officeDocument/2006/relationships/hyperlink" Target="https://advance.lexis.com/api/document?collection=cases-ca&amp;id=urn:contentItem:5F7T-S7J1-JYYX-6229-00000-00&amp;context=" TargetMode="External" /><Relationship Id="rId94" Type="http://schemas.openxmlformats.org/officeDocument/2006/relationships/hyperlink" Target="https://advance.lexis.com/api/document?collection=cases-ca&amp;id=urn:contentItem:5F7T-S6R1-JF75-M28S-00000-00&amp;context=" TargetMode="External" /><Relationship Id="rId95" Type="http://schemas.openxmlformats.org/officeDocument/2006/relationships/hyperlink" Target="https://advance.lexis.com/api/document?collection=cases-ca&amp;id=urn:contentItem:5F7T-S751-JG02-S2HX-00000-00&amp;context=" TargetMode="External" /><Relationship Id="rId96" Type="http://schemas.openxmlformats.org/officeDocument/2006/relationships/hyperlink" Target="https://advance.lexis.com/api/document?collection=cases-ca&amp;id=urn:contentItem:5F7T-S7G1-JPP5-21X8-00000-00&amp;context=" TargetMode="External" /><Relationship Id="rId97" Type="http://schemas.openxmlformats.org/officeDocument/2006/relationships/hyperlink" Target="https://advance.lexis.com/api/document?collection=cases-ca&amp;id=urn:contentItem:5F7T-S7K1-JKHB-62YV-00000-00&amp;context=" TargetMode="External" /><Relationship Id="rId98" Type="http://schemas.openxmlformats.org/officeDocument/2006/relationships/hyperlink" Target="https://advance.lexis.com/api/document?collection=cases-ca&amp;id=urn:contentItem:5F7T-S721-F5T5-M260-00000-00&amp;context=" TargetMode="External" /><Relationship Id="rId99" Type="http://schemas.openxmlformats.org/officeDocument/2006/relationships/hyperlink" Target="https://advance.lexis.com/api/document?collection=cases-ca&amp;id=urn:contentItem:5F7T-S741-DY89-M3BS-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Taylor v. Liong, [2008] B.C.J. No. 330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115044189</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