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10.xml" ContentType="application/vnd.openxmlformats-officedocument.wordprocessingml.footer+xml"/>
  <Override PartName="/word/footer100.xml" ContentType="application/vnd.openxmlformats-officedocument.wordprocessingml.footer+xml"/>
  <Override PartName="/word/footer101.xml" ContentType="application/vnd.openxmlformats-officedocument.wordprocessingml.footer+xml"/>
  <Override PartName="/word/footer102.xml" ContentType="application/vnd.openxmlformats-officedocument.wordprocessingml.footer+xml"/>
  <Override PartName="/word/footer103.xml" ContentType="application/vnd.openxmlformats-officedocument.wordprocessingml.footer+xml"/>
  <Override PartName="/word/footer104.xml" ContentType="application/vnd.openxmlformats-officedocument.wordprocessingml.footer+xml"/>
  <Override PartName="/word/footer105.xml" ContentType="application/vnd.openxmlformats-officedocument.wordprocessingml.footer+xml"/>
  <Override PartName="/word/footer106.xml" ContentType="application/vnd.openxmlformats-officedocument.wordprocessingml.footer+xml"/>
  <Override PartName="/word/footer107.xml" ContentType="application/vnd.openxmlformats-officedocument.wordprocessingml.footer+xml"/>
  <Override PartName="/word/footer108.xml" ContentType="application/vnd.openxmlformats-officedocument.wordprocessingml.footer+xml"/>
  <Override PartName="/word/footer109.xml" ContentType="application/vnd.openxmlformats-officedocument.wordprocessingml.footer+xml"/>
  <Override PartName="/word/footer11.xml" ContentType="application/vnd.openxmlformats-officedocument.wordprocessingml.footer+xml"/>
  <Override PartName="/word/footer110.xml" ContentType="application/vnd.openxmlformats-officedocument.wordprocessingml.footer+xml"/>
  <Override PartName="/word/footer111.xml" ContentType="application/vnd.openxmlformats-officedocument.wordprocessingml.footer+xml"/>
  <Override PartName="/word/footer112.xml" ContentType="application/vnd.openxmlformats-officedocument.wordprocessingml.footer+xml"/>
  <Override PartName="/word/footer113.xml" ContentType="application/vnd.openxmlformats-officedocument.wordprocessingml.footer+xml"/>
  <Override PartName="/word/footer114.xml" ContentType="application/vnd.openxmlformats-officedocument.wordprocessingml.footer+xml"/>
  <Override PartName="/word/footer115.xml" ContentType="application/vnd.openxmlformats-officedocument.wordprocessingml.footer+xml"/>
  <Override PartName="/word/footer116.xml" ContentType="application/vnd.openxmlformats-officedocument.wordprocessingml.footer+xml"/>
  <Override PartName="/word/footer117.xml" ContentType="application/vnd.openxmlformats-officedocument.wordprocessingml.footer+xml"/>
  <Override PartName="/word/footer118.xml" ContentType="application/vnd.openxmlformats-officedocument.wordprocessingml.footer+xml"/>
  <Override PartName="/word/footer119.xml" ContentType="application/vnd.openxmlformats-officedocument.wordprocessingml.footer+xml"/>
  <Override PartName="/word/footer12.xml" ContentType="application/vnd.openxmlformats-officedocument.wordprocessingml.footer+xml"/>
  <Override PartName="/word/footer120.xml" ContentType="application/vnd.openxmlformats-officedocument.wordprocessingml.footer+xml"/>
  <Override PartName="/word/footer121.xml" ContentType="application/vnd.openxmlformats-officedocument.wordprocessingml.footer+xml"/>
  <Override PartName="/word/footer122.xml" ContentType="application/vnd.openxmlformats-officedocument.wordprocessingml.footer+xml"/>
  <Override PartName="/word/footer123.xml" ContentType="application/vnd.openxmlformats-officedocument.wordprocessingml.footer+xml"/>
  <Override PartName="/word/footer124.xml" ContentType="application/vnd.openxmlformats-officedocument.wordprocessingml.footer+xml"/>
  <Override PartName="/word/footer125.xml" ContentType="application/vnd.openxmlformats-officedocument.wordprocessingml.footer+xml"/>
  <Override PartName="/word/footer126.xml" ContentType="application/vnd.openxmlformats-officedocument.wordprocessingml.footer+xml"/>
  <Override PartName="/word/footer127.xml" ContentType="application/vnd.openxmlformats-officedocument.wordprocessingml.footer+xml"/>
  <Override PartName="/word/footer128.xml" ContentType="application/vnd.openxmlformats-officedocument.wordprocessingml.footer+xml"/>
  <Override PartName="/word/footer129.xml" ContentType="application/vnd.openxmlformats-officedocument.wordprocessingml.footer+xml"/>
  <Override PartName="/word/footer13.xml" ContentType="application/vnd.openxmlformats-officedocument.wordprocessingml.footer+xml"/>
  <Override PartName="/word/footer130.xml" ContentType="application/vnd.openxmlformats-officedocument.wordprocessingml.footer+xml"/>
  <Override PartName="/word/footer131.xml" ContentType="application/vnd.openxmlformats-officedocument.wordprocessingml.footer+xml"/>
  <Override PartName="/word/footer132.xml" ContentType="application/vnd.openxmlformats-officedocument.wordprocessingml.footer+xml"/>
  <Override PartName="/word/footer133.xml" ContentType="application/vnd.openxmlformats-officedocument.wordprocessingml.footer+xml"/>
  <Override PartName="/word/footer134.xml" ContentType="application/vnd.openxmlformats-officedocument.wordprocessingml.footer+xml"/>
  <Override PartName="/word/footer135.xml" ContentType="application/vnd.openxmlformats-officedocument.wordprocessingml.footer+xml"/>
  <Override PartName="/word/footer136.xml" ContentType="application/vnd.openxmlformats-officedocument.wordprocessingml.footer+xml"/>
  <Override PartName="/word/footer137.xml" ContentType="application/vnd.openxmlformats-officedocument.wordprocessingml.footer+xml"/>
  <Override PartName="/word/footer138.xml" ContentType="application/vnd.openxmlformats-officedocument.wordprocessingml.footer+xml"/>
  <Override PartName="/word/footer139.xml" ContentType="application/vnd.openxmlformats-officedocument.wordprocessingml.footer+xml"/>
  <Override PartName="/word/footer14.xml" ContentType="application/vnd.openxmlformats-officedocument.wordprocessingml.footer+xml"/>
  <Override PartName="/word/footer140.xml" ContentType="application/vnd.openxmlformats-officedocument.wordprocessingml.footer+xml"/>
  <Override PartName="/word/footer141.xml" ContentType="application/vnd.openxmlformats-officedocument.wordprocessingml.footer+xml"/>
  <Override PartName="/word/footer142.xml" ContentType="application/vnd.openxmlformats-officedocument.wordprocessingml.footer+xml"/>
  <Override PartName="/word/footer143.xml" ContentType="application/vnd.openxmlformats-officedocument.wordprocessingml.footer+xml"/>
  <Override PartName="/word/footer144.xml" ContentType="application/vnd.openxmlformats-officedocument.wordprocessingml.footer+xml"/>
  <Override PartName="/word/footer145.xml" ContentType="application/vnd.openxmlformats-officedocument.wordprocessingml.footer+xml"/>
  <Override PartName="/word/footer146.xml" ContentType="application/vnd.openxmlformats-officedocument.wordprocessingml.footer+xml"/>
  <Override PartName="/word/footer147.xml" ContentType="application/vnd.openxmlformats-officedocument.wordprocessingml.footer+xml"/>
  <Override PartName="/word/footer148.xml" ContentType="application/vnd.openxmlformats-officedocument.wordprocessingml.footer+xml"/>
  <Override PartName="/word/footer149.xml" ContentType="application/vnd.openxmlformats-officedocument.wordprocessingml.footer+xml"/>
  <Override PartName="/word/footer15.xml" ContentType="application/vnd.openxmlformats-officedocument.wordprocessingml.footer+xml"/>
  <Override PartName="/word/footer150.xml" ContentType="application/vnd.openxmlformats-officedocument.wordprocessingml.footer+xml"/>
  <Override PartName="/word/footer16.xml" ContentType="application/vnd.openxmlformats-officedocument.wordprocessingml.footer+xml"/>
  <Override PartName="/word/footer17.xml" ContentType="application/vnd.openxmlformats-officedocument.wordprocessingml.footer+xml"/>
  <Override PartName="/word/footer18.xml" ContentType="application/vnd.openxmlformats-officedocument.wordprocessingml.footer+xml"/>
  <Override PartName="/word/footer19.xml" ContentType="application/vnd.openxmlformats-officedocument.wordprocessingml.footer+xml"/>
  <Override PartName="/word/footer2.xml" ContentType="application/vnd.openxmlformats-officedocument.wordprocessingml.footer+xml"/>
  <Override PartName="/word/footer20.xml" ContentType="application/vnd.openxmlformats-officedocument.wordprocessingml.footer+xml"/>
  <Override PartName="/word/footer21.xml" ContentType="application/vnd.openxmlformats-officedocument.wordprocessingml.footer+xml"/>
  <Override PartName="/word/footer22.xml" ContentType="application/vnd.openxmlformats-officedocument.wordprocessingml.footer+xml"/>
  <Override PartName="/word/footer23.xml" ContentType="application/vnd.openxmlformats-officedocument.wordprocessingml.footer+xml"/>
  <Override PartName="/word/footer24.xml" ContentType="application/vnd.openxmlformats-officedocument.wordprocessingml.footer+xml"/>
  <Override PartName="/word/footer25.xml" ContentType="application/vnd.openxmlformats-officedocument.wordprocessingml.footer+xml"/>
  <Override PartName="/word/footer26.xml" ContentType="application/vnd.openxmlformats-officedocument.wordprocessingml.footer+xml"/>
  <Override PartName="/word/footer27.xml" ContentType="application/vnd.openxmlformats-officedocument.wordprocessingml.footer+xml"/>
  <Override PartName="/word/footer28.xml" ContentType="application/vnd.openxmlformats-officedocument.wordprocessingml.footer+xml"/>
  <Override PartName="/word/footer29.xml" ContentType="application/vnd.openxmlformats-officedocument.wordprocessingml.footer+xml"/>
  <Override PartName="/word/footer3.xml" ContentType="application/vnd.openxmlformats-officedocument.wordprocessingml.footer+xml"/>
  <Override PartName="/word/footer30.xml" ContentType="application/vnd.openxmlformats-officedocument.wordprocessingml.footer+xml"/>
  <Override PartName="/word/footer31.xml" ContentType="application/vnd.openxmlformats-officedocument.wordprocessingml.footer+xml"/>
  <Override PartName="/word/footer32.xml" ContentType="application/vnd.openxmlformats-officedocument.wordprocessingml.footer+xml"/>
  <Override PartName="/word/footer33.xml" ContentType="application/vnd.openxmlformats-officedocument.wordprocessingml.footer+xml"/>
  <Override PartName="/word/footer34.xml" ContentType="application/vnd.openxmlformats-officedocument.wordprocessingml.footer+xml"/>
  <Override PartName="/word/footer35.xml" ContentType="application/vnd.openxmlformats-officedocument.wordprocessingml.footer+xml"/>
  <Override PartName="/word/footer36.xml" ContentType="application/vnd.openxmlformats-officedocument.wordprocessingml.footer+xml"/>
  <Override PartName="/word/footer37.xml" ContentType="application/vnd.openxmlformats-officedocument.wordprocessingml.footer+xml"/>
  <Override PartName="/word/footer38.xml" ContentType="application/vnd.openxmlformats-officedocument.wordprocessingml.footer+xml"/>
  <Override PartName="/word/footer39.xml" ContentType="application/vnd.openxmlformats-officedocument.wordprocessingml.footer+xml"/>
  <Override PartName="/word/footer4.xml" ContentType="application/vnd.openxmlformats-officedocument.wordprocessingml.footer+xml"/>
  <Override PartName="/word/footer40.xml" ContentType="application/vnd.openxmlformats-officedocument.wordprocessingml.footer+xml"/>
  <Override PartName="/word/footer41.xml" ContentType="application/vnd.openxmlformats-officedocument.wordprocessingml.footer+xml"/>
  <Override PartName="/word/footer42.xml" ContentType="application/vnd.openxmlformats-officedocument.wordprocessingml.footer+xml"/>
  <Override PartName="/word/footer43.xml" ContentType="application/vnd.openxmlformats-officedocument.wordprocessingml.footer+xml"/>
  <Override PartName="/word/footer44.xml" ContentType="application/vnd.openxmlformats-officedocument.wordprocessingml.footer+xml"/>
  <Override PartName="/word/footer45.xml" ContentType="application/vnd.openxmlformats-officedocument.wordprocessingml.footer+xml"/>
  <Override PartName="/word/footer46.xml" ContentType="application/vnd.openxmlformats-officedocument.wordprocessingml.footer+xml"/>
  <Override PartName="/word/footer47.xml" ContentType="application/vnd.openxmlformats-officedocument.wordprocessingml.footer+xml"/>
  <Override PartName="/word/footer48.xml" ContentType="application/vnd.openxmlformats-officedocument.wordprocessingml.footer+xml"/>
  <Override PartName="/word/footer49.xml" ContentType="application/vnd.openxmlformats-officedocument.wordprocessingml.footer+xml"/>
  <Override PartName="/word/footer5.xml" ContentType="application/vnd.openxmlformats-officedocument.wordprocessingml.footer+xml"/>
  <Override PartName="/word/footer50.xml" ContentType="application/vnd.openxmlformats-officedocument.wordprocessingml.footer+xml"/>
  <Override PartName="/word/footer51.xml" ContentType="application/vnd.openxmlformats-officedocument.wordprocessingml.footer+xml"/>
  <Override PartName="/word/footer52.xml" ContentType="application/vnd.openxmlformats-officedocument.wordprocessingml.footer+xml"/>
  <Override PartName="/word/footer53.xml" ContentType="application/vnd.openxmlformats-officedocument.wordprocessingml.footer+xml"/>
  <Override PartName="/word/footer54.xml" ContentType="application/vnd.openxmlformats-officedocument.wordprocessingml.footer+xml"/>
  <Override PartName="/word/footer55.xml" ContentType="application/vnd.openxmlformats-officedocument.wordprocessingml.footer+xml"/>
  <Override PartName="/word/footer56.xml" ContentType="application/vnd.openxmlformats-officedocument.wordprocessingml.footer+xml"/>
  <Override PartName="/word/footer57.xml" ContentType="application/vnd.openxmlformats-officedocument.wordprocessingml.footer+xml"/>
  <Override PartName="/word/footer58.xml" ContentType="application/vnd.openxmlformats-officedocument.wordprocessingml.footer+xml"/>
  <Override PartName="/word/footer59.xml" ContentType="application/vnd.openxmlformats-officedocument.wordprocessingml.footer+xml"/>
  <Override PartName="/word/footer6.xml" ContentType="application/vnd.openxmlformats-officedocument.wordprocessingml.footer+xml"/>
  <Override PartName="/word/footer60.xml" ContentType="application/vnd.openxmlformats-officedocument.wordprocessingml.footer+xml"/>
  <Override PartName="/word/footer61.xml" ContentType="application/vnd.openxmlformats-officedocument.wordprocessingml.footer+xml"/>
  <Override PartName="/word/footer62.xml" ContentType="application/vnd.openxmlformats-officedocument.wordprocessingml.footer+xml"/>
  <Override PartName="/word/footer63.xml" ContentType="application/vnd.openxmlformats-officedocument.wordprocessingml.footer+xml"/>
  <Override PartName="/word/footer64.xml" ContentType="application/vnd.openxmlformats-officedocument.wordprocessingml.footer+xml"/>
  <Override PartName="/word/footer65.xml" ContentType="application/vnd.openxmlformats-officedocument.wordprocessingml.footer+xml"/>
  <Override PartName="/word/footer66.xml" ContentType="application/vnd.openxmlformats-officedocument.wordprocessingml.footer+xml"/>
  <Override PartName="/word/footer67.xml" ContentType="application/vnd.openxmlformats-officedocument.wordprocessingml.footer+xml"/>
  <Override PartName="/word/footer68.xml" ContentType="application/vnd.openxmlformats-officedocument.wordprocessingml.footer+xml"/>
  <Override PartName="/word/footer69.xml" ContentType="application/vnd.openxmlformats-officedocument.wordprocessingml.footer+xml"/>
  <Override PartName="/word/footer7.xml" ContentType="application/vnd.openxmlformats-officedocument.wordprocessingml.footer+xml"/>
  <Override PartName="/word/footer70.xml" ContentType="application/vnd.openxmlformats-officedocument.wordprocessingml.footer+xml"/>
  <Override PartName="/word/footer71.xml" ContentType="application/vnd.openxmlformats-officedocument.wordprocessingml.footer+xml"/>
  <Override PartName="/word/footer72.xml" ContentType="application/vnd.openxmlformats-officedocument.wordprocessingml.footer+xml"/>
  <Override PartName="/word/footer73.xml" ContentType="application/vnd.openxmlformats-officedocument.wordprocessingml.footer+xml"/>
  <Override PartName="/word/footer74.xml" ContentType="application/vnd.openxmlformats-officedocument.wordprocessingml.footer+xml"/>
  <Override PartName="/word/footer75.xml" ContentType="application/vnd.openxmlformats-officedocument.wordprocessingml.footer+xml"/>
  <Override PartName="/word/footer76.xml" ContentType="application/vnd.openxmlformats-officedocument.wordprocessingml.footer+xml"/>
  <Override PartName="/word/footer77.xml" ContentType="application/vnd.openxmlformats-officedocument.wordprocessingml.footer+xml"/>
  <Override PartName="/word/footer78.xml" ContentType="application/vnd.openxmlformats-officedocument.wordprocessingml.footer+xml"/>
  <Override PartName="/word/footer79.xml" ContentType="application/vnd.openxmlformats-officedocument.wordprocessingml.footer+xml"/>
  <Override PartName="/word/footer8.xml" ContentType="application/vnd.openxmlformats-officedocument.wordprocessingml.footer+xml"/>
  <Override PartName="/word/footer80.xml" ContentType="application/vnd.openxmlformats-officedocument.wordprocessingml.footer+xml"/>
  <Override PartName="/word/footer81.xml" ContentType="application/vnd.openxmlformats-officedocument.wordprocessingml.footer+xml"/>
  <Override PartName="/word/footer82.xml" ContentType="application/vnd.openxmlformats-officedocument.wordprocessingml.footer+xml"/>
  <Override PartName="/word/footer83.xml" ContentType="application/vnd.openxmlformats-officedocument.wordprocessingml.footer+xml"/>
  <Override PartName="/word/footer84.xml" ContentType="application/vnd.openxmlformats-officedocument.wordprocessingml.footer+xml"/>
  <Override PartName="/word/footer85.xml" ContentType="application/vnd.openxmlformats-officedocument.wordprocessingml.footer+xml"/>
  <Override PartName="/word/footer86.xml" ContentType="application/vnd.openxmlformats-officedocument.wordprocessingml.footer+xml"/>
  <Override PartName="/word/footer87.xml" ContentType="application/vnd.openxmlformats-officedocument.wordprocessingml.footer+xml"/>
  <Override PartName="/word/footer88.xml" ContentType="application/vnd.openxmlformats-officedocument.wordprocessingml.footer+xml"/>
  <Override PartName="/word/footer89.xml" ContentType="application/vnd.openxmlformats-officedocument.wordprocessingml.footer+xml"/>
  <Override PartName="/word/footer9.xml" ContentType="application/vnd.openxmlformats-officedocument.wordprocessingml.footer+xml"/>
  <Override PartName="/word/footer90.xml" ContentType="application/vnd.openxmlformats-officedocument.wordprocessingml.footer+xml"/>
  <Override PartName="/word/footer91.xml" ContentType="application/vnd.openxmlformats-officedocument.wordprocessingml.footer+xml"/>
  <Override PartName="/word/footer92.xml" ContentType="application/vnd.openxmlformats-officedocument.wordprocessingml.footer+xml"/>
  <Override PartName="/word/footer93.xml" ContentType="application/vnd.openxmlformats-officedocument.wordprocessingml.footer+xml"/>
  <Override PartName="/word/footer94.xml" ContentType="application/vnd.openxmlformats-officedocument.wordprocessingml.footer+xml"/>
  <Override PartName="/word/footer95.xml" ContentType="application/vnd.openxmlformats-officedocument.wordprocessingml.footer+xml"/>
  <Override PartName="/word/footer96.xml" ContentType="application/vnd.openxmlformats-officedocument.wordprocessingml.footer+xml"/>
  <Override PartName="/word/footer97.xml" ContentType="application/vnd.openxmlformats-officedocument.wordprocessingml.footer+xml"/>
  <Override PartName="/word/footer98.xml" ContentType="application/vnd.openxmlformats-officedocument.wordprocessingml.footer+xml"/>
  <Override PartName="/word/footer99.xml" ContentType="application/vnd.openxmlformats-officedocument.wordprocessingml.footer+xml"/>
  <Override PartName="/word/header1.xml" ContentType="application/vnd.openxmlformats-officedocument.wordprocessingml.header+xml"/>
  <Override PartName="/word/header10.xml" ContentType="application/vnd.openxmlformats-officedocument.wordprocessingml.header+xml"/>
  <Override PartName="/word/header100.xml" ContentType="application/vnd.openxmlformats-officedocument.wordprocessingml.header+xml"/>
  <Override PartName="/word/header101.xml" ContentType="application/vnd.openxmlformats-officedocument.wordprocessingml.header+xml"/>
  <Override PartName="/word/header102.xml" ContentType="application/vnd.openxmlformats-officedocument.wordprocessingml.header+xml"/>
  <Override PartName="/word/header103.xml" ContentType="application/vnd.openxmlformats-officedocument.wordprocessingml.header+xml"/>
  <Override PartName="/word/header104.xml" ContentType="application/vnd.openxmlformats-officedocument.wordprocessingml.header+xml"/>
  <Override PartName="/word/header105.xml" ContentType="application/vnd.openxmlformats-officedocument.wordprocessingml.header+xml"/>
  <Override PartName="/word/header106.xml" ContentType="application/vnd.openxmlformats-officedocument.wordprocessingml.header+xml"/>
  <Override PartName="/word/header107.xml" ContentType="application/vnd.openxmlformats-officedocument.wordprocessingml.header+xml"/>
  <Override PartName="/word/header108.xml" ContentType="application/vnd.openxmlformats-officedocument.wordprocessingml.header+xml"/>
  <Override PartName="/word/header109.xml" ContentType="application/vnd.openxmlformats-officedocument.wordprocessingml.header+xml"/>
  <Override PartName="/word/header11.xml" ContentType="application/vnd.openxmlformats-officedocument.wordprocessingml.header+xml"/>
  <Override PartName="/word/header110.xml" ContentType="application/vnd.openxmlformats-officedocument.wordprocessingml.header+xml"/>
  <Override PartName="/word/header111.xml" ContentType="application/vnd.openxmlformats-officedocument.wordprocessingml.header+xml"/>
  <Override PartName="/word/header112.xml" ContentType="application/vnd.openxmlformats-officedocument.wordprocessingml.header+xml"/>
  <Override PartName="/word/header113.xml" ContentType="application/vnd.openxmlformats-officedocument.wordprocessingml.header+xml"/>
  <Override PartName="/word/header114.xml" ContentType="application/vnd.openxmlformats-officedocument.wordprocessingml.header+xml"/>
  <Override PartName="/word/header115.xml" ContentType="application/vnd.openxmlformats-officedocument.wordprocessingml.header+xml"/>
  <Override PartName="/word/header116.xml" ContentType="application/vnd.openxmlformats-officedocument.wordprocessingml.header+xml"/>
  <Override PartName="/word/header117.xml" ContentType="application/vnd.openxmlformats-officedocument.wordprocessingml.header+xml"/>
  <Override PartName="/word/header118.xml" ContentType="application/vnd.openxmlformats-officedocument.wordprocessingml.header+xml"/>
  <Override PartName="/word/header119.xml" ContentType="application/vnd.openxmlformats-officedocument.wordprocessingml.header+xml"/>
  <Override PartName="/word/header12.xml" ContentType="application/vnd.openxmlformats-officedocument.wordprocessingml.header+xml"/>
  <Override PartName="/word/header120.xml" ContentType="application/vnd.openxmlformats-officedocument.wordprocessingml.header+xml"/>
  <Override PartName="/word/header121.xml" ContentType="application/vnd.openxmlformats-officedocument.wordprocessingml.header+xml"/>
  <Override PartName="/word/header122.xml" ContentType="application/vnd.openxmlformats-officedocument.wordprocessingml.header+xml"/>
  <Override PartName="/word/header123.xml" ContentType="application/vnd.openxmlformats-officedocument.wordprocessingml.header+xml"/>
  <Override PartName="/word/header124.xml" ContentType="application/vnd.openxmlformats-officedocument.wordprocessingml.header+xml"/>
  <Override PartName="/word/header125.xml" ContentType="application/vnd.openxmlformats-officedocument.wordprocessingml.header+xml"/>
  <Override PartName="/word/header126.xml" ContentType="application/vnd.openxmlformats-officedocument.wordprocessingml.header+xml"/>
  <Override PartName="/word/header127.xml" ContentType="application/vnd.openxmlformats-officedocument.wordprocessingml.header+xml"/>
  <Override PartName="/word/header128.xml" ContentType="application/vnd.openxmlformats-officedocument.wordprocessingml.header+xml"/>
  <Override PartName="/word/header129.xml" ContentType="application/vnd.openxmlformats-officedocument.wordprocessingml.header+xml"/>
  <Override PartName="/word/header13.xml" ContentType="application/vnd.openxmlformats-officedocument.wordprocessingml.header+xml"/>
  <Override PartName="/word/header130.xml" ContentType="application/vnd.openxmlformats-officedocument.wordprocessingml.header+xml"/>
  <Override PartName="/word/header131.xml" ContentType="application/vnd.openxmlformats-officedocument.wordprocessingml.header+xml"/>
  <Override PartName="/word/header132.xml" ContentType="application/vnd.openxmlformats-officedocument.wordprocessingml.header+xml"/>
  <Override PartName="/word/header133.xml" ContentType="application/vnd.openxmlformats-officedocument.wordprocessingml.header+xml"/>
  <Override PartName="/word/header134.xml" ContentType="application/vnd.openxmlformats-officedocument.wordprocessingml.header+xml"/>
  <Override PartName="/word/header135.xml" ContentType="application/vnd.openxmlformats-officedocument.wordprocessingml.header+xml"/>
  <Override PartName="/word/header136.xml" ContentType="application/vnd.openxmlformats-officedocument.wordprocessingml.header+xml"/>
  <Override PartName="/word/header137.xml" ContentType="application/vnd.openxmlformats-officedocument.wordprocessingml.header+xml"/>
  <Override PartName="/word/header138.xml" ContentType="application/vnd.openxmlformats-officedocument.wordprocessingml.header+xml"/>
  <Override PartName="/word/header139.xml" ContentType="application/vnd.openxmlformats-officedocument.wordprocessingml.header+xml"/>
  <Override PartName="/word/header14.xml" ContentType="application/vnd.openxmlformats-officedocument.wordprocessingml.header+xml"/>
  <Override PartName="/word/header140.xml" ContentType="application/vnd.openxmlformats-officedocument.wordprocessingml.header+xml"/>
  <Override PartName="/word/header141.xml" ContentType="application/vnd.openxmlformats-officedocument.wordprocessingml.header+xml"/>
  <Override PartName="/word/header142.xml" ContentType="application/vnd.openxmlformats-officedocument.wordprocessingml.header+xml"/>
  <Override PartName="/word/header143.xml" ContentType="application/vnd.openxmlformats-officedocument.wordprocessingml.header+xml"/>
  <Override PartName="/word/header144.xml" ContentType="application/vnd.openxmlformats-officedocument.wordprocessingml.header+xml"/>
  <Override PartName="/word/header145.xml" ContentType="application/vnd.openxmlformats-officedocument.wordprocessingml.header+xml"/>
  <Override PartName="/word/header146.xml" ContentType="application/vnd.openxmlformats-officedocument.wordprocessingml.header+xml"/>
  <Override PartName="/word/header147.xml" ContentType="application/vnd.openxmlformats-officedocument.wordprocessingml.header+xml"/>
  <Override PartName="/word/header148.xml" ContentType="application/vnd.openxmlformats-officedocument.wordprocessingml.header+xml"/>
  <Override PartName="/word/header149.xml" ContentType="application/vnd.openxmlformats-officedocument.wordprocessingml.header+xml"/>
  <Override PartName="/word/header15.xml" ContentType="application/vnd.openxmlformats-officedocument.wordprocessingml.header+xml"/>
  <Override PartName="/word/header150.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header27.xml" ContentType="application/vnd.openxmlformats-officedocument.wordprocessingml.header+xml"/>
  <Override PartName="/word/header28.xml" ContentType="application/vnd.openxmlformats-officedocument.wordprocessingml.header+xml"/>
  <Override PartName="/word/header29.xml" ContentType="application/vnd.openxmlformats-officedocument.wordprocessingml.header+xml"/>
  <Override PartName="/word/header3.xml" ContentType="application/vnd.openxmlformats-officedocument.wordprocessingml.header+xml"/>
  <Override PartName="/word/header30.xml" ContentType="application/vnd.openxmlformats-officedocument.wordprocessingml.header+xml"/>
  <Override PartName="/word/header31.xml" ContentType="application/vnd.openxmlformats-officedocument.wordprocessingml.header+xml"/>
  <Override PartName="/word/header32.xml" ContentType="application/vnd.openxmlformats-officedocument.wordprocessingml.header+xml"/>
  <Override PartName="/word/header33.xml" ContentType="application/vnd.openxmlformats-officedocument.wordprocessingml.header+xml"/>
  <Override PartName="/word/header34.xml" ContentType="application/vnd.openxmlformats-officedocument.wordprocessingml.header+xml"/>
  <Override PartName="/word/header35.xml" ContentType="application/vnd.openxmlformats-officedocument.wordprocessingml.header+xml"/>
  <Override PartName="/word/header36.xml" ContentType="application/vnd.openxmlformats-officedocument.wordprocessingml.header+xml"/>
  <Override PartName="/word/header37.xml" ContentType="application/vnd.openxmlformats-officedocument.wordprocessingml.header+xml"/>
  <Override PartName="/word/header38.xml" ContentType="application/vnd.openxmlformats-officedocument.wordprocessingml.header+xml"/>
  <Override PartName="/word/header39.xml" ContentType="application/vnd.openxmlformats-officedocument.wordprocessingml.header+xml"/>
  <Override PartName="/word/header4.xml" ContentType="application/vnd.openxmlformats-officedocument.wordprocessingml.header+xml"/>
  <Override PartName="/word/header40.xml" ContentType="application/vnd.openxmlformats-officedocument.wordprocessingml.header+xml"/>
  <Override PartName="/word/header41.xml" ContentType="application/vnd.openxmlformats-officedocument.wordprocessingml.header+xml"/>
  <Override PartName="/word/header42.xml" ContentType="application/vnd.openxmlformats-officedocument.wordprocessingml.header+xml"/>
  <Override PartName="/word/header43.xml" ContentType="application/vnd.openxmlformats-officedocument.wordprocessingml.header+xml"/>
  <Override PartName="/word/header44.xml" ContentType="application/vnd.openxmlformats-officedocument.wordprocessingml.header+xml"/>
  <Override PartName="/word/header45.xml" ContentType="application/vnd.openxmlformats-officedocument.wordprocessingml.header+xml"/>
  <Override PartName="/word/header46.xml" ContentType="application/vnd.openxmlformats-officedocument.wordprocessingml.header+xml"/>
  <Override PartName="/word/header47.xml" ContentType="application/vnd.openxmlformats-officedocument.wordprocessingml.header+xml"/>
  <Override PartName="/word/header48.xml" ContentType="application/vnd.openxmlformats-officedocument.wordprocessingml.header+xml"/>
  <Override PartName="/word/header49.xml" ContentType="application/vnd.openxmlformats-officedocument.wordprocessingml.header+xml"/>
  <Override PartName="/word/header5.xml" ContentType="application/vnd.openxmlformats-officedocument.wordprocessingml.header+xml"/>
  <Override PartName="/word/header50.xml" ContentType="application/vnd.openxmlformats-officedocument.wordprocessingml.header+xml"/>
  <Override PartName="/word/header51.xml" ContentType="application/vnd.openxmlformats-officedocument.wordprocessingml.header+xml"/>
  <Override PartName="/word/header52.xml" ContentType="application/vnd.openxmlformats-officedocument.wordprocessingml.header+xml"/>
  <Override PartName="/word/header53.xml" ContentType="application/vnd.openxmlformats-officedocument.wordprocessingml.header+xml"/>
  <Override PartName="/word/header54.xml" ContentType="application/vnd.openxmlformats-officedocument.wordprocessingml.header+xml"/>
  <Override PartName="/word/header55.xml" ContentType="application/vnd.openxmlformats-officedocument.wordprocessingml.header+xml"/>
  <Override PartName="/word/header56.xml" ContentType="application/vnd.openxmlformats-officedocument.wordprocessingml.header+xml"/>
  <Override PartName="/word/header57.xml" ContentType="application/vnd.openxmlformats-officedocument.wordprocessingml.header+xml"/>
  <Override PartName="/word/header58.xml" ContentType="application/vnd.openxmlformats-officedocument.wordprocessingml.header+xml"/>
  <Override PartName="/word/header59.xml" ContentType="application/vnd.openxmlformats-officedocument.wordprocessingml.header+xml"/>
  <Override PartName="/word/header6.xml" ContentType="application/vnd.openxmlformats-officedocument.wordprocessingml.header+xml"/>
  <Override PartName="/word/header60.xml" ContentType="application/vnd.openxmlformats-officedocument.wordprocessingml.header+xml"/>
  <Override PartName="/word/header61.xml" ContentType="application/vnd.openxmlformats-officedocument.wordprocessingml.header+xml"/>
  <Override PartName="/word/header62.xml" ContentType="application/vnd.openxmlformats-officedocument.wordprocessingml.header+xml"/>
  <Override PartName="/word/header63.xml" ContentType="application/vnd.openxmlformats-officedocument.wordprocessingml.header+xml"/>
  <Override PartName="/word/header64.xml" ContentType="application/vnd.openxmlformats-officedocument.wordprocessingml.header+xml"/>
  <Override PartName="/word/header65.xml" ContentType="application/vnd.openxmlformats-officedocument.wordprocessingml.header+xml"/>
  <Override PartName="/word/header66.xml" ContentType="application/vnd.openxmlformats-officedocument.wordprocessingml.header+xml"/>
  <Override PartName="/word/header67.xml" ContentType="application/vnd.openxmlformats-officedocument.wordprocessingml.header+xml"/>
  <Override PartName="/word/header68.xml" ContentType="application/vnd.openxmlformats-officedocument.wordprocessingml.header+xml"/>
  <Override PartName="/word/header69.xml" ContentType="application/vnd.openxmlformats-officedocument.wordprocessingml.header+xml"/>
  <Override PartName="/word/header7.xml" ContentType="application/vnd.openxmlformats-officedocument.wordprocessingml.header+xml"/>
  <Override PartName="/word/header70.xml" ContentType="application/vnd.openxmlformats-officedocument.wordprocessingml.header+xml"/>
  <Override PartName="/word/header71.xml" ContentType="application/vnd.openxmlformats-officedocument.wordprocessingml.header+xml"/>
  <Override PartName="/word/header72.xml" ContentType="application/vnd.openxmlformats-officedocument.wordprocessingml.header+xml"/>
  <Override PartName="/word/header73.xml" ContentType="application/vnd.openxmlformats-officedocument.wordprocessingml.header+xml"/>
  <Override PartName="/word/header74.xml" ContentType="application/vnd.openxmlformats-officedocument.wordprocessingml.header+xml"/>
  <Override PartName="/word/header75.xml" ContentType="application/vnd.openxmlformats-officedocument.wordprocessingml.header+xml"/>
  <Override PartName="/word/header76.xml" ContentType="application/vnd.openxmlformats-officedocument.wordprocessingml.header+xml"/>
  <Override PartName="/word/header77.xml" ContentType="application/vnd.openxmlformats-officedocument.wordprocessingml.header+xml"/>
  <Override PartName="/word/header78.xml" ContentType="application/vnd.openxmlformats-officedocument.wordprocessingml.header+xml"/>
  <Override PartName="/word/header79.xml" ContentType="application/vnd.openxmlformats-officedocument.wordprocessingml.header+xml"/>
  <Override PartName="/word/header8.xml" ContentType="application/vnd.openxmlformats-officedocument.wordprocessingml.header+xml"/>
  <Override PartName="/word/header80.xml" ContentType="application/vnd.openxmlformats-officedocument.wordprocessingml.header+xml"/>
  <Override PartName="/word/header81.xml" ContentType="application/vnd.openxmlformats-officedocument.wordprocessingml.header+xml"/>
  <Override PartName="/word/header82.xml" ContentType="application/vnd.openxmlformats-officedocument.wordprocessingml.header+xml"/>
  <Override PartName="/word/header83.xml" ContentType="application/vnd.openxmlformats-officedocument.wordprocessingml.header+xml"/>
  <Override PartName="/word/header84.xml" ContentType="application/vnd.openxmlformats-officedocument.wordprocessingml.header+xml"/>
  <Override PartName="/word/header85.xml" ContentType="application/vnd.openxmlformats-officedocument.wordprocessingml.header+xml"/>
  <Override PartName="/word/header86.xml" ContentType="application/vnd.openxmlformats-officedocument.wordprocessingml.header+xml"/>
  <Override PartName="/word/header87.xml" ContentType="application/vnd.openxmlformats-officedocument.wordprocessingml.header+xml"/>
  <Override PartName="/word/header88.xml" ContentType="application/vnd.openxmlformats-officedocument.wordprocessingml.header+xml"/>
  <Override PartName="/word/header89.xml" ContentType="application/vnd.openxmlformats-officedocument.wordprocessingml.header+xml"/>
  <Override PartName="/word/header9.xml" ContentType="application/vnd.openxmlformats-officedocument.wordprocessingml.header+xml"/>
  <Override PartName="/word/header90.xml" ContentType="application/vnd.openxmlformats-officedocument.wordprocessingml.header+xml"/>
  <Override PartName="/word/header91.xml" ContentType="application/vnd.openxmlformats-officedocument.wordprocessingml.header+xml"/>
  <Override PartName="/word/header92.xml" ContentType="application/vnd.openxmlformats-officedocument.wordprocessingml.header+xml"/>
  <Override PartName="/word/header93.xml" ContentType="application/vnd.openxmlformats-officedocument.wordprocessingml.header+xml"/>
  <Override PartName="/word/header94.xml" ContentType="application/vnd.openxmlformats-officedocument.wordprocessingml.header+xml"/>
  <Override PartName="/word/header95.xml" ContentType="application/vnd.openxmlformats-officedocument.wordprocessingml.header+xml"/>
  <Override PartName="/word/header96.xml" ContentType="application/vnd.openxmlformats-officedocument.wordprocessingml.header+xml"/>
  <Override PartName="/word/header97.xml" ContentType="application/vnd.openxmlformats-officedocument.wordprocessingml.header+xml"/>
  <Override PartName="/word/header98.xml" ContentType="application/vnd.openxmlformats-officedocument.wordprocessingml.header+xml"/>
  <Override PartName="/word/header99.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19.7 -->
  <w:body>
    <w:p>
      <w:pPr>
        <w:rPr>
          <w:rFonts w:ascii="arial" w:eastAsia="arial" w:hAnsi="arial" w:cs="arial"/>
          <w:sz w:val="20"/>
          <w:lang w:val="en-US" w:eastAsia="en-US" w:bidi="ar-SA"/>
        </w:rPr>
        <w:sectPr>
          <w:headerReference w:type="even" r:id="rId4"/>
          <w:headerReference w:type="default" r:id="rId5"/>
          <w:footerReference w:type="even" r:id="rId6"/>
          <w:footerReference w:type="default" r:id="rId7"/>
          <w:headerReference w:type="first" r:id="rId8"/>
          <w:footerReference w:type="first" r:id="rId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 w:history="1">
        <w:r>
          <w:rPr>
            <w:rFonts w:ascii="arial" w:eastAsia="arial" w:hAnsi="arial" w:cs="arial"/>
            <w:b/>
            <w:bCs/>
            <w:i/>
            <w:color w:val="0077CC"/>
            <w:kern w:val="32"/>
            <w:sz w:val="28"/>
            <w:szCs w:val="32"/>
            <w:u w:val="single"/>
            <w:shd w:val="clear" w:color="auto" w:fill="FFFFFF"/>
            <w:lang w:val="en-US" w:eastAsia="en-US" w:bidi="ar-SA"/>
          </w:rPr>
          <w:t>Thiessen v. Mutual Life Assurance Co. of Canada, [2001] B.C.J. No. 1849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Chilliwack,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Ross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28 - June 1,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12,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Chilliwack Registry No. S7336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1849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1117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8 C.C.L.T. (3d) 134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107 A.C.W.S. (3d) 929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Henry Thiessen and Edna Thiessen, plaintiffs, and The Mutual Life Assurance Company of Canada, Mutual Investco Inc. and Carey Dennis, carrying on business under the firm, name and style of Dennis Financial Services, and Carey Dennis,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5" style="position:absolute;z-index:2516582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0" w:name="Keywords"/>
      <w:bookmarkEnd w:id="0"/>
      <w:r>
        <w:rPr>
          <w:rFonts w:ascii="arial" w:eastAsia="arial" w:hAnsi="arial" w:cs="arial"/>
          <w:b/>
          <w:color w:val="000000"/>
          <w:sz w:val="20"/>
          <w:lang w:val="en-US" w:eastAsia="en-US" w:bidi="ar-SA"/>
        </w:rPr>
        <w:t>Agency — Relations between principal and third parties — Principal's liability for torts by agent — Fraud by agent — Torts — Vicarious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 w:name="Case Summary"/>
            <w:bookmarkEnd w:id="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Henry and Edna Thiessen to recover funds paid to a sales representative of Mutual. The Thiessens intended the funds to be invested with Mutual, but the sales agent invested them elsewhere and they were lost. The sales representative was a sales agent, not a broker, and was under a contractual duty to advance Mutual's interests in the marketplace. Mutual assigned the sales representative, introduced him to the Thiessens, and controlled the price of the product and the amount of the commission. Mutual exercised considerable control over the sales representative through its selection process, training, and scrutiny of his performance. The sales representative was intended by Mutual to be a trusted financial advisor to its clients.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 w:name="Holdings of Court"/>
            <w:bookmarkEnd w:id="2"/>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Judgment was awarded to the Thiessens for the full amount of their loss. It was foreseeable that some sales representatives would violate clients' trust and defraud them. As Mutual had introduced this risk as part of its business in making a profit, it was just and practical to hold it vicariously liable. Where a sales representative, not a broker, was involved, there was a close and immediate connection between the creation of the risk and the wrong which ensued. Further, Mutual was in the best position to spread the loss through its control of price and commission. Although Mutual was not negligent in its hiring or supervision of the sales representative, vicarious liability served as a deterrent in encouraging Mutual to reduce the risk of future harm.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 w:name="Counsel"/>
      <w:bookmarkEnd w:id="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26" style="position:absolute;z-index:25170944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G.J. Dykstra, for the plaintiffs. B.G. Baynham, Q.C., and K.P. Serné,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 w:name="Judgment"/>
      <w:bookmarkEnd w:id="4"/>
      <w:r>
        <w:pict>
          <v:line id="_x0000_s1027" style="position:absolute;z-index:25176064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4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 w:name="ROSS J."/>
            <w:bookmarkEnd w:id="5"/>
            <w:r>
              <w:rPr>
                <w:rFonts w:ascii="arial" w:eastAsia="arial" w:hAnsi="arial" w:cs="arial"/>
                <w:b/>
                <w:color w:val="000000"/>
                <w:sz w:val="30"/>
                <w:lang w:val="en-US" w:eastAsia="en-US" w:bidi="ar-SA"/>
              </w:rPr>
              <w:t>ROSS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facts of this matter are straightforward and essentially not in dispute. The plaintiffs, Henry and Edna Thiessen, after a lifetime of hard work and service, entrusted the proceeds of the sale of their family home to the defendant, Carey Dennis ("Dennis"), a sales representative for the defendant Mutual Life Assurance Company of Canada ("Mutual"). They intended the funds to be invested in an accumulating annuity offered by Mutual. Dennis instructed them to write the cheque out in favour of Dennis Financial Services. Dennis never invested with Mutual. He used it for his own purposes. The plaintiffs have been unable to recover their funds from Dennis and seek, in this action, to recover from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Henry Thiessen, was born in 1929. He has been a pastor since 1952 and is presently the pastor of the Boundary Community Church. The plaintiff, Edna Thiessen, met her future husband in Bible College. She has worked alongside her husband in their pastoral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Thiessens spent 24 years as missionaries in Borneo. The area was remote. Mr. Thiessen stated, for example, that it could take six months for mail to reach their mission. Telegrams were somewhat faster, arriving in 17 days. The work was varied; in addition to the mission work they helped build airstrips, assisted with medical care and education. Mrs. Thiessen worked with the women and the youth, taught in the government school and home schooled their three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organization that supported the missions paid a modest salary to the Thiessens. In addition, starting in 1963, the group made contributions to retirement plans started for the Thiessens. The plans were taken out with Mutual. Those plans were eventually converted to RRIF accounts, still held by the plaintiffs with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term of duty in the missions was from three to five years with a year long furlough taken at home. During their furloughs, the Thiessens invested a small inheritance in a house which they fixed up and sold. This was repeated each furlough so that, eventually, through this process, they built up enough funds to purchase a home for themselves when they returned to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Thiessens returned to live in British Columbia in 1983. Mrs. Thiessen had arthritis and could no longer live in Borneo. They went to live in Pemberton where they worked to establish a church. Mr. Thiessen informed Mutual of their new address. Mutual then transferred their accounts from Waterloo, Ont. to Squamish, B.C. and advised the Thiessens that their Mutual agent would be Linda Patrick.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late 1991, the Thiessens moved from Pemberton. They went to work with the Gardom Lake Bible Camp which is near Salmon Arm, B.C. They sold their home for $139,000. In January 1992, they invested $110,000 of the proceeds from the sale of their home in an accumulating annuity with Mutual. Shortly before, Mutual had written to the Thiessens to advise them that their new Mutual agent would be Dennis and that their accounts would be transferred to him in Salmon Arm. Dennis advised the Thiessens to invest in the annuity, telling them that Mutual would provide a better rate of interest than the bank. They understood from Dennis that the investment was insured and available on demand.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transaction took place in the Mutual office at 290 Alexander Street in Salmon Arm. Several witnesses gave evidence concerning the signage at those premises. A number of different businesses were housed in the building. There was a Mutual Group sign on the outside of the building and another on the front door. The office was on the second floor. There was a Mutual Group sign on the office door. There were, as well, Mutual Group logos on the door and on the wall inside the reception area. The Mutual Group logo and firm name were displayed on Dennis' business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Some months later, the Thiessens purchased a house in Armstrong, B.C. In March 1992, Mr. Thiessen called Dennis and requested $105,000 of the $110,000. The annuity was cashed out. Mr. Thiessen picked up the cheque at the Alexander Street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Thiessens developed a relationship of trust with Dennis. He looked after their RRIF accounts and they looked to him for financial advice. In 1994, they were moving to start a new church in Sayward, B.C. Mr. Thiessen asked Dennis whether they should sell their home. He advised that it was a good time to sell. They sold their home for $145,000 and deposited the proceeds in the Evergreen Credit Union. The Thiessens then sought Dennis' advice about what to do with the proceeds.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meeting took place in the Alexander Street Mutual office. Mr. Thiessen instructed Dennis to invest the money in an accumulating annuity with Mutual as he had done before. Dennis looked up the Thiessens' holdings with Mutual on his computer and told them that, because they would have nearly $200,000 invested with Mutual, he could give them a rate of interest of 9 1/2 percent.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Next Dennis advised the plaintiffs to make the cheque out to Dennis Financial Service. Mrs. Thiessen questioned this. Dennis responded that he couldn't invest it for them otherwise. The Thiessens trusted him. They made out the cheque as requested. They believed it was just a change in office procedure and that the money would be invested with Mutual. They took comfort from the fact that they were in a Mutual office. They also were comforted by Dennis' statement when he was quoting the interest rate, that they would have $200,000 invested with "us", meaning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Shortly thereafter, they received an account statement from Dennis Financial Services showing a $145,000 investment. The statement did not refer to investments with Mutual. The statements which the Thiessens received from Mutual likewise made no reference to the $145,000 investment. The statements issued by Dennis Financial Services stipulated an interest rate of 8.50 percent. The plaintiffs noted the discrepancy but were not concerned by the lower 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July 1995, Mr. Thiessen sold his pickup truck and deposited the $8,000 proceeds with Dennis. Again, he believed the funds were to be used to purchase an accumulating annuity with Mutual. This time he sent the cheque through the mail. It was again not made out to Mutual but to Dennis Financial.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about July 1996, the Thiessens were moving to Abbotsford, B.C. and wanted to buy a home. They requested Dennis to provide the funds from the annuity but the funds were not forthcoming. Numerous calls were placed by the Thiessens to Dennis. By now the Thiessens were alarmed. They met with Dennis in Salmon Arm in August 1996. At that time, Dennis revealed that the funds had not been invested with Mutual. The Thiessens were told that the funds had been invested in a mortgage. Mr. Thiessen told Dennis that he was going to "go legal". Dennis responded with the threat that if he did so "he would not get another cent from me". Mr. Thiessen was afraid.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Dennis did repay some of the funds over the next few months: $20,000 on August 8, 1996; $15,000 on November 1, 1996; $10,000 on December 19, 1996; and $11,000 about four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Thiessens did not immediately seek legal advice or contact Mutual for a number of reasons. They believed Dennis' threat. In addition, they had viewed Dennis as a trusted friend. They knew he had a family and a challenged child. They did not want to jeopardize his whole family. They knew that Dennis was active in his church and they believed that a Christian should avoid taking another Christian to court. They hoped that he had learned his lesson and that he would repay the funds.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Eventually, the payments stopped. The plaintiffs' children were told about the situation and persuaded the plaintiffs to seek legal advice. Then they were informed by letter dated July 15, 1997 from Mutual that Dennis was no longer with Mutual and they would be assigned a new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Dennis had a number of other victims in addition to the plaintiffs. Charges were laid against him. The Thiessens obtained a default judgment against Dennis in these proceedings, but have been unable to make any further recovery from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r>
        <w:rPr>
          <w:rFonts w:ascii="arial" w:eastAsia="arial" w:hAnsi="arial" w:cs="arial"/>
          <w:sz w:val="20"/>
          <w:lang w:val="en-US" w:eastAsia="en-US" w:bidi="ar-SA"/>
        </w:rPr>
        <w:cr/>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One basis upon which the claim was advanced was that Mutual was negligent or that it "failed to carry out its fiduciary duty" in first engaging Dennis, and later in supervising him. Counsel submits that the information on Dennis' application forms should have aroused suspicion; that he never should have been hired and that once hired there was insufficient follow-up of suspicious circumstances which, had they been investigated, would have brought the frauds to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process by which one becomes a life insurance agent with Mutual was described in evidence. It is a 14-step process which includes several interviews, testing and reference checks. A variety of standardized tests are employed. The tests are intended by Mutual to measure factors such as: the applicant's motivations in seeking to become an agent; whether the applicant fits the profile of an agent; the probability of success; likely retention of the applicant in the business; the style of the applicant and how to develop that person. The approval process takes five to six months or more. Of perhaps 300 applicants interviewed by the manager in any given year only three will successfully complete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Michael Christianson, an agency manager in the Kamloops office, testified that approximately 50 percent of his time as a manager is spent with the recruitment and selection process. In addition, the applications are reviewed and screened by a selection committee at head office. There is, in addition to the selection process with Mutual, a licensing requirement which entails further screening and examinations. Mutual provided coaching and assistance in preparation for these licensing examinations to applicants whose licences it was sponsoring.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Mutual spends an estimated $110,000 for each agent over the first 3 years of their association on training and development.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process is, of course, fallible but by no stretch of the imagination can it be termed negligent or careless. It is perhaps a mark of the fallibility of any testing that the mild caution raised in the standardized test results about Dennis was that his primary motivation was one of service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directed me to several entries in Dennis' application form which he argues raise suspicions such that Dennis should not have been engaged. No entries have been shown to be false. The most that can be said is that the entries are consistent with Dennis having suffered financial reverses earlier in his career. It is only with hindsight that the entries appear ominous. I do not find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selection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"failure to fulfil a fiduciary duty" has also been alleged in relation to the supervision of Dennis.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Mutual monitored the performances of its representatives in several ways. There were sales quotas to be met. Agents made up annual plans that Mutual tracked to monitor performance. Customer complaints were investigated by the manager and the customer service department. Each branch was subject to an audit every three years conducted by the quality business team to identify any problem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was an incident in 1994 in relation to Dennis in which a customer's payment for a premium was forwarded to Mutual drawn on an account of Dennis Financial Services. While it was not the preferred way, it was nonetheless accepted practice for agents to forward payments for premiums by way of a cheque drawn on their own account. Mr. Christianson initiated an investigation in connection with this matter because he was concerned about how Dennis was holding himself out. Agents were permitted to have trade names but, if it they chose to do so, the name must be properly documented and recorded.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find that Mr. Christianson's inquiry was adequate and appropriate in the circumstances. Moreover, there was nothing in the situation which suggested or which ought to have suggested that Dennis was depositing funds which were intended for Mutual into the Dennis Financial Services account and failing to forward those funds to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Plaintiffs' counsel introduced a calculation of estimated commissions earned by Dennis. The purpose was to suggest that Dennis' earnings were so low as to constitute a suspicious circumstance, warranting investigation. The calculation is such a crude approximation as to be of little value. For example, the author was not aware of whether or not the calculation included any sales of individual disability insurance or mutual fund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was that, for at least the first few years of his association with Mutual, Dennis was a strong performer, winning several sales competitions. It was apparently not unusual for there to be peaks and valleys in a sales representative's performance. Ultimately, when his production did fall below the company's targets, he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was a further incident in 1997 in which a customer who had loaned money to Dennis in connection with an unrelated joint venture called to Mutual complain that he had not been repaid. I find that the response was prompt and the investigation diligent. Again, nothing in this incident ought to have aroused suspicion that Dennis was engaged in the kind of conduct at issue in these proceedings. It was, in any event, too late to assist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It is only with the benefit of hindsight that Dennis' conduct takes on a sinister cast. Once the wrongdoing surfaces, it is part of human nature to look back and to re-interpret the past in light of the knowledge of the present. Such retrospective re-interpretation must not, however, form the basis for findings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breach of fiduciary duty. Rather, the conduct must be reviewed from the perspective of what was known or should have been known at the time. From that perspective, Dennis was a hard worker, a family man, active in his church and in community organizations, who put in long hours and had a modest lifestyle. Neither his supervisor nor his colleagues had any suspicion that he was engaged in systematic fraud. Nor was there evidence which should reasonably have led to that conclusion or prompted further investigation by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Plaintiffs' counsel relied upon an Ontario decision Druiven v. Warrington </w:t>
      </w:r>
      <w:hyperlink r:id="rId11" w:history="1">
        <w:r>
          <w:rPr>
            <w:rFonts w:ascii="arial" w:eastAsia="arial" w:hAnsi="arial" w:cs="arial"/>
            <w:i/>
            <w:color w:val="0077CC"/>
            <w:sz w:val="20"/>
            <w:u w:val="single"/>
            <w:shd w:val="clear" w:color="auto" w:fill="FFFFFF"/>
            <w:lang w:val="en-US" w:eastAsia="en-US" w:bidi="ar-SA"/>
          </w:rPr>
          <w:t>(1998), 38 B.L.R. (2d) 12</w:t>
        </w:r>
      </w:hyperlink>
      <w:r>
        <w:rPr>
          <w:rFonts w:ascii="arial" w:eastAsia="arial" w:hAnsi="arial" w:cs="arial"/>
          <w:color w:val="000000"/>
          <w:sz w:val="20"/>
          <w:lang w:val="en-US" w:eastAsia="en-US" w:bidi="ar-SA"/>
        </w:rPr>
        <w:t xml:space="preserve"> (Ont. Ct. Justice); affirmed </w:t>
      </w:r>
      <w:hyperlink r:id="rId12" w:history="1">
        <w:r>
          <w:rPr>
            <w:rFonts w:ascii="arial" w:eastAsia="arial" w:hAnsi="arial" w:cs="arial"/>
            <w:i/>
            <w:color w:val="0077CC"/>
            <w:sz w:val="20"/>
            <w:u w:val="single"/>
            <w:shd w:val="clear" w:color="auto" w:fill="FFFFFF"/>
            <w:lang w:val="en-US" w:eastAsia="en-US" w:bidi="ar-SA"/>
          </w:rPr>
          <w:t>(1999), 118 O.A.C. 353</w:t>
        </w:r>
      </w:hyperlink>
      <w:r>
        <w:rPr>
          <w:rFonts w:ascii="arial" w:eastAsia="arial" w:hAnsi="arial" w:cs="arial"/>
          <w:color w:val="000000"/>
          <w:sz w:val="20"/>
          <w:lang w:val="en-US" w:eastAsia="en-US" w:bidi="ar-SA"/>
        </w:rPr>
        <w:t xml:space="preserve"> (Ont. C.A.), in support of the submission with respect to fiduciary duty. In that case, the court held that both the company and the representative owed customers both a fiduciary duty and a duty of care. The court found that the agent was in breach of fiduciary duty but did not find the company to be vicariously liable for that breach. The breach of duty which was found to have been committed by the company was of the duty of care in relation to supervision, not of the fiduciary duty. This case is not support for the proposition that a failure to supervise can amount to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this province, the decision of our Court of Appeal in the case of C.A. v. Critchley </w:t>
      </w:r>
      <w:hyperlink r:id="rId13" w:history="1">
        <w:r>
          <w:rPr>
            <w:rFonts w:ascii="arial" w:eastAsia="arial" w:hAnsi="arial" w:cs="arial"/>
            <w:i/>
            <w:color w:val="0077CC"/>
            <w:sz w:val="20"/>
            <w:u w:val="single"/>
            <w:shd w:val="clear" w:color="auto" w:fill="FFFFFF"/>
            <w:lang w:val="en-US" w:eastAsia="en-US" w:bidi="ar-SA"/>
          </w:rPr>
          <w:t>(1998), 60 B.C.L.R. (3d) 92</w:t>
        </w:r>
      </w:hyperlink>
      <w:r>
        <w:rPr>
          <w:rFonts w:ascii="arial" w:eastAsia="arial" w:hAnsi="arial" w:cs="arial"/>
          <w:color w:val="000000"/>
          <w:sz w:val="20"/>
          <w:lang w:val="en-US" w:eastAsia="en-US" w:bidi="ar-SA"/>
        </w:rPr>
        <w:t>, appears to stand as contrary authority to counsel's submissions. In that decision, McEachern C.J.B.C., Donald J.A. concurring, stated at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Applying this approach, I conclude that it would be a principled approach to confine recovery based upon fiduciary duties to cases of the kind where, in addition to other usual requirements such as vulnerability and the exercise of a discretion, the defendant personally takes advantage of a relationship of trust or confidence for his or her direct or indirect personal advantage. This excludes from the reach of fiduciary duties many cases that can be resolved upon a tort or contract analysis, has the advantage of greater certainty, and also protects honest persons doing their best in difficult circumstances from the shame and stigma of disloyalty or dishonesty. In effect, this redirects fiduciary law back towards where it was before this experiment began but with much broader remedies, such as damages, when fiduciary duties are actually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Ryan J.A. concurred in separate reasons, limiting breach of fiduciary duty to situations in which there had been a breach of the duty of loyalty and distinguishing such conduct from conduct which is simply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summary, I find that, assuming that a duty of care was owed by Mutual to the Thiessens, there was no breach of duty and no "failure to discharge a fiduciary duty". I find that the allegations made by the plaintiffs in these proceedings against Mutual could not, even if made out, amount to a breach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question of the vicarious liability of Mutual for the acts of Dennis under traditional analysis must be considered from the overlapping but distinct issues of agency and status as servant or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Mutual can be held vicariously liable for the acts of Dennis under traditional agency principles if he had either actual or ostensible authority to bind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It is clear that Dennis had no actual authority to bind Mutual. Actual authority arises from the contract between the principal and the agent: See Keddie v. Canada Life Assurance Co. </w:t>
      </w:r>
      <w:hyperlink r:id="rId14" w:history="1">
        <w:r>
          <w:rPr>
            <w:rFonts w:ascii="arial" w:eastAsia="arial" w:hAnsi="arial" w:cs="arial"/>
            <w:i/>
            <w:color w:val="0077CC"/>
            <w:sz w:val="20"/>
            <w:u w:val="single"/>
            <w:shd w:val="clear" w:color="auto" w:fill="FFFFFF"/>
            <w:lang w:val="en-US" w:eastAsia="en-US" w:bidi="ar-SA"/>
          </w:rPr>
          <w:t>(1999), 70 B.C.L.R. (3d) 270</w:t>
        </w:r>
      </w:hyperlink>
      <w:r>
        <w:rPr>
          <w:rFonts w:ascii="arial" w:eastAsia="arial" w:hAnsi="arial" w:cs="arial"/>
          <w:color w:val="000000"/>
          <w:sz w:val="20"/>
          <w:lang w:val="en-US" w:eastAsia="en-US" w:bidi="ar-SA"/>
        </w:rPr>
        <w:t xml:space="preserve">; </w:t>
      </w:r>
      <w:hyperlink r:id="rId14" w:history="1">
        <w:r>
          <w:rPr>
            <w:rFonts w:ascii="arial" w:eastAsia="arial" w:hAnsi="arial" w:cs="arial"/>
            <w:i/>
            <w:color w:val="0077CC"/>
            <w:sz w:val="20"/>
            <w:u w:val="single"/>
            <w:shd w:val="clear" w:color="auto" w:fill="FFFFFF"/>
            <w:lang w:val="en-US" w:eastAsia="en-US" w:bidi="ar-SA"/>
          </w:rPr>
          <w:t>1999 BCCA 541</w:t>
        </w:r>
      </w:hyperlink>
      <w:r>
        <w:rPr>
          <w:rFonts w:ascii="arial" w:eastAsia="arial" w:hAnsi="arial" w:cs="arial"/>
          <w:color w:val="000000"/>
          <w:sz w:val="20"/>
          <w:lang w:val="en-US" w:eastAsia="en-US" w:bidi="ar-SA"/>
        </w:rPr>
        <w:t>. In this case, the contract contained a term specifically restricting the individual in Dennis' position from binding the company: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Limitation of Agent's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authority of the Agent is limited to that expressly granted herein. The Agent is not authorized to and will not: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make or alter any Policy, quote Premium rates, other than those published by the Company, or any Affiliate, or otherwise bind the Company or any Affiliate, in any way not expressly authorized in writing by the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Dennis' role was restricted to forwarding applications and funds to Mutual. He could not enter into contracts on behalf of Mutual with the clients. As such, I find no actual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Apparent or ostensible authority requires some conduct or representation from the principal which would suggest that Dennis was acting as Mutual's agent. Without such representation from the principal, no ostensible authority can be found, see Keddie, supra, at pp. 277-79 and LeRuyet v. Stenner et al </w:t>
      </w:r>
      <w:hyperlink r:id="rId15" w:history="1">
        <w:r>
          <w:rPr>
            <w:rFonts w:ascii="arial" w:eastAsia="arial" w:hAnsi="arial" w:cs="arial"/>
            <w:i/>
            <w:color w:val="0077CC"/>
            <w:sz w:val="20"/>
            <w:u w:val="single"/>
            <w:shd w:val="clear" w:color="auto" w:fill="FFFFFF"/>
            <w:lang w:val="en-US" w:eastAsia="en-US" w:bidi="ar-SA"/>
          </w:rPr>
          <w:t>2001 BCSC 1129</w:t>
        </w:r>
      </w:hyperlink>
      <w:r>
        <w:rPr>
          <w:rFonts w:ascii="arial" w:eastAsia="arial" w:hAnsi="arial" w:cs="arial"/>
          <w:color w:val="000000"/>
          <w:sz w:val="20"/>
          <w:lang w:val="en-US" w:eastAsia="en-US" w:bidi="ar-SA"/>
        </w:rPr>
        <w:t xml:space="preserve">, </w:t>
      </w:r>
      <w:hyperlink r:id="rId15" w:history="1">
        <w:r>
          <w:rPr>
            <w:rFonts w:ascii="arial" w:eastAsia="arial" w:hAnsi="arial" w:cs="arial"/>
            <w:i/>
            <w:color w:val="0077CC"/>
            <w:sz w:val="20"/>
            <w:u w:val="single"/>
            <w:shd w:val="clear" w:color="auto" w:fill="FFFFFF"/>
            <w:lang w:val="en-US" w:eastAsia="en-US" w:bidi="ar-SA"/>
          </w:rPr>
          <w:t>[2001] B.C.J. No. 1669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Keddie, supra, is a case involving a similar fraud. In that case, no ostensible authority was found. The fact that Canada Life supplied the representative Horne with application forms, rate books, brochures, prospectuses and other promotional materials and described Horne as a "representative" in communications with the customer was held not to be sufficient to create ostensible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Keddie, supra, Horne was an insurance broker who sold insurance for a number of different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Canada Life distinguished in its method of selling between individuals employed to sell Canada Life products, which it termed "agents" and individuals who contracted to sell Canada Life products and who sold for a number of companies, termed "brokers". Brokers, in that scheme, did not work out of Canada Life offices, were not educated by Canada Life, did not have performance reviews conducted by Canada Life and were not authorized to hold themselves out as Canada Life agents; see Keddie v. Horne </w:t>
      </w:r>
      <w:r>
        <w:rPr>
          <w:rFonts w:ascii="arial" w:eastAsia="arial" w:hAnsi="arial" w:cs="arial"/>
          <w:i/>
          <w:color w:val="000000"/>
          <w:sz w:val="20"/>
          <w:lang w:val="en-US" w:eastAsia="en-US" w:bidi="ar-SA"/>
        </w:rPr>
        <w:t>(1998), 6 C.C.L.I. (3d) 307</w:t>
      </w:r>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case at bar, Dennis, except for limited products not offered by Mutual, sold only Mutual products. His business card stated that he was licensed with Mutual Life of Canada and bore the Mutual Group logo and name. While he did not work out of an office supplied or paid for by Mutual, it bore signs describing it to the public as a Mutual office. He had been selected by Mutual. Mutual assisted him in his training. Mutual did review his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Keddie, supra, was followed by the Ontario Court of Appeal in Monachino v. Liberty Mutual Fire Insurance Co. </w:t>
      </w:r>
      <w:hyperlink r:id="rId16" w:history="1">
        <w:r>
          <w:rPr>
            <w:rFonts w:ascii="arial" w:eastAsia="arial" w:hAnsi="arial" w:cs="arial"/>
            <w:i/>
            <w:color w:val="0077CC"/>
            <w:sz w:val="20"/>
            <w:u w:val="single"/>
            <w:shd w:val="clear" w:color="auto" w:fill="FFFFFF"/>
            <w:lang w:val="en-US" w:eastAsia="en-US" w:bidi="ar-SA"/>
          </w:rPr>
          <w:t>(2000), 47 O.R. (3d) 481</w:t>
        </w:r>
      </w:hyperlink>
      <w:r>
        <w:rPr>
          <w:rFonts w:ascii="arial" w:eastAsia="arial" w:hAnsi="arial" w:cs="arial"/>
          <w:color w:val="000000"/>
          <w:sz w:val="20"/>
          <w:lang w:val="en-US" w:eastAsia="en-US" w:bidi="ar-SA"/>
        </w:rPr>
        <w:t>. In that case, as in the case at bar, the contract with the insurance company limited the authority of the representative to writing up applications and submitting them to the company. The court focused on the absence of a representation by the company that the broker was entitled to issue a policy. No such representation was made in that case or in the case at bar. However, in Monachino, supra, the court found that no representations at all were made by the company of any relation with the broker. The same, clearly, cannot be said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Keddie, supra, has also been followed in this province in the case LeRuyet v. Stenner et al, supra, yet another case in which the plaintiff was defrauded in the course of attempting to purchase an annuity. In LeRuyet, as in Keddie, the defrauding representative was a broker who dealt with a number of different insurance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this case, despite the features which distinguish the circumstances from those in Keddie, supra, and LeRuyet, supra, I conclude that there was no representation by Mutual to the plaintiffs that Dennis was an agent able to bind Mutual. At the most, there was a representation that Dennis was authorized to forward applications to Mutual. There was no representation that writing a cheque to Dennis or, in this case, Dennis Financial Services, would bind Mutual. There was no representation by Mutual that Dennis was entitled to issue a policy. Therefore, I conclude that the plaintiffs cannot succeed on the basis of traditional agency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STATUS AS AN EMPLOYEE OR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question of vicarious liability arising from agency principles overlaps with the application of the doctrine in relation to the acts of employees and independent contractors. Under traditional principles, a master is vicariously liable for the acts of a servant acting within the scope of his employment, but not for the acts of an independent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this case, it is clear that Dennis was an independent contractor. First, the agreement with Mutual specifically provided as much: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Company and the Agent are independent contractors. None of the terms of this Agreement will be construed as constituting the Company and the Agent as employer and employee or master and servant.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Second, the essential features of the relationship were characteristic of an independent contractor arrangement in that Dennis:</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Hired his own employees;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Paid all his expenses for office and supplies;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at liberty to work from any premises of his choice;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not work from Mutual Life offices, but rather worked from his own office space in his own office building (although the distinction would not be apparent to the public because of the office signage);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Provided his own office furnishings and office equipment;</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Could take vacations whenever he wanted;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Managed his own time and set his own hours of work;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Decided what work was to be done from day to day including the clients to see and where and how to see them;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free to choose his method of marketing;</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Remitted his own income tax contributions to Revenue Canada - Mutual Life did not deduct contributions to Revenue Canada from his commission payments;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Was paid was on the basis of a sales commission (The development commission was not guaranteed. If his sales activities were unproductive, the loss was his to bear); and,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Had to maintain his own licence and his own liability insurance.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This conclusion is reinforced by the finding of Hamlyn J.T.C.C. in Mutual Life Assurance Co. of Canada v. Canada (Minister of National Revenue), </w:t>
      </w:r>
      <w:hyperlink r:id="rId17" w:history="1">
        <w:r>
          <w:rPr>
            <w:rFonts w:ascii="arial" w:eastAsia="arial" w:hAnsi="arial" w:cs="arial"/>
            <w:i/>
            <w:color w:val="0077CC"/>
            <w:sz w:val="20"/>
            <w:u w:val="single"/>
            <w:shd w:val="clear" w:color="auto" w:fill="FFFFFF"/>
            <w:lang w:val="en-US" w:eastAsia="en-US" w:bidi="ar-SA"/>
          </w:rPr>
          <w:t>[1996] T.C.J. No. 668</w:t>
        </w:r>
      </w:hyperlink>
      <w:r>
        <w:rPr>
          <w:rFonts w:ascii="arial" w:eastAsia="arial" w:hAnsi="arial" w:cs="arial"/>
          <w:color w:val="000000"/>
          <w:sz w:val="20"/>
          <w:lang w:val="en-US" w:eastAsia="en-US" w:bidi="ar-SA"/>
        </w:rPr>
        <w:t xml:space="preserve"> (Tax Court of Canada) that the relationship between Mutual and its sales representatives was one of a contract for services and not one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Under a traditional analysis, my finding that Dennis was an independent contractor ends the inquiry with respect to the question of vicarious liability: see Fridman, G.H.L. The Law of Torts in Canada, vol. 2 (Toronto: Carswell, 1990) pp. 338-339; Fleming, John G. The Law of Torts 9th ed. (Sydney: LBC Information Services, 1998) p. 360.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It is equally clear, in my view, if I had concluded that Dennis was an employee, Mutual would have been vicariously liable for his fraudulent conduct because it was committed within the scope of his employment: see Canada v. Levy Brothers Co., </w:t>
      </w:r>
      <w:hyperlink r:id="rId18" w:history="1">
        <w:r>
          <w:rPr>
            <w:rFonts w:ascii="arial" w:eastAsia="arial" w:hAnsi="arial" w:cs="arial"/>
            <w:i/>
            <w:color w:val="0077CC"/>
            <w:sz w:val="20"/>
            <w:u w:val="single"/>
            <w:shd w:val="clear" w:color="auto" w:fill="FFFFFF"/>
            <w:lang w:val="en-US" w:eastAsia="en-US" w:bidi="ar-SA"/>
          </w:rPr>
          <w:t>[1961] S.C.R. 189</w:t>
        </w:r>
      </w:hyperlink>
      <w:r>
        <w:rPr>
          <w:rFonts w:ascii="arial" w:eastAsia="arial" w:hAnsi="arial" w:cs="arial"/>
          <w:color w:val="000000"/>
          <w:sz w:val="20"/>
          <w:lang w:val="en-US" w:eastAsia="en-US" w:bidi="ar-SA"/>
        </w:rPr>
        <w:t xml:space="preserve">; United Services Funds v. Richardson Greenshields of Canada Ltd. </w:t>
      </w:r>
      <w:hyperlink r:id="rId19" w:history="1">
        <w:r>
          <w:rPr>
            <w:rFonts w:ascii="arial" w:eastAsia="arial" w:hAnsi="arial" w:cs="arial"/>
            <w:i/>
            <w:color w:val="0077CC"/>
            <w:sz w:val="20"/>
            <w:u w:val="single"/>
            <w:shd w:val="clear" w:color="auto" w:fill="FFFFFF"/>
            <w:lang w:val="en-US" w:eastAsia="en-US" w:bidi="ar-SA"/>
          </w:rPr>
          <w:t>(1988), 22 B.C.L.R. (2d) 322</w:t>
        </w:r>
      </w:hyperlink>
      <w:r>
        <w:rPr>
          <w:rFonts w:ascii="arial" w:eastAsia="arial" w:hAnsi="arial" w:cs="arial"/>
          <w:color w:val="000000"/>
          <w:sz w:val="20"/>
          <w:lang w:val="en-US" w:eastAsia="en-US" w:bidi="ar-SA"/>
        </w:rPr>
        <w:t xml:space="preserve"> (B.C.S.C.) per Southin J., as she then was, at pp. 336-342.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However, the determination that Dennis was an independent contractor no longer marks the conclusion of the analysis with respect to vicarious liability. There has been a fundamental shift in focus articulated in a series of decisions which arose from the difficult question of vicarious liability for sexual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 judgment of our Court of Appeal in B.(P.A.) v. Curry </w:t>
      </w:r>
      <w:hyperlink r:id="rId20" w:history="1">
        <w:r>
          <w:rPr>
            <w:rFonts w:ascii="arial" w:eastAsia="arial" w:hAnsi="arial" w:cs="arial"/>
            <w:i/>
            <w:color w:val="0077CC"/>
            <w:sz w:val="20"/>
            <w:u w:val="single"/>
            <w:shd w:val="clear" w:color="auto" w:fill="FFFFFF"/>
            <w:lang w:val="en-US" w:eastAsia="en-US" w:bidi="ar-SA"/>
          </w:rPr>
          <w:t>(1997), 146 D.L.R. (4th) 72</w:t>
        </w:r>
      </w:hyperlink>
      <w:r>
        <w:rPr>
          <w:rFonts w:ascii="arial" w:eastAsia="arial" w:hAnsi="arial" w:cs="arial"/>
          <w:color w:val="000000"/>
          <w:sz w:val="20"/>
          <w:lang w:val="en-US" w:eastAsia="en-US" w:bidi="ar-SA"/>
        </w:rPr>
        <w:t>, addressed the question of the vicarious liability of a non-profit foundation which operated a group home for children for the sexual assaults committed against residents by an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That decision resulted in no clear ratio. All members of the five-member panel, however, found the employer vicariously liable. One common principle which did emerge was that the focus of the analysis with respect to the liability of the principal should be on the true nature of the relationship and not upon traditional classifications.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subsequent case, Critchley, supra, considered, inter alia, the question of vicarious liability of the Crown for the intentional torts and crimes committed against children by a person who was an independent contractor, and not an employee of the Crown. The court found against the Crown on the basis of vicarious liability. Thus, this case is clearly authority for the proposition that a conclusion that Dennis is an independent contractor no longer means that Mutual can necessarily escape a finding of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In Bazley v. Curry, </w:t>
      </w:r>
      <w:hyperlink r:id="rId21"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 the Supreme Court heard the appeal of the decision in B.(P.A.) v. Curry, supra, and in the decision of that appeal, the modern approach to the analysis of vicarious liability was articulated and clarified.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McLachlin J.(as she then was) delivered the judgment of the court. She held that there was a two-stage process in considering vicarious liability claims at p. 545: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a court should determine whether there are precedents which unambiguously determine on which side of the line between vicarious liability and no liability the case falls. If prior cases do not clearly suggest a solution, the next step is to determine whether vicarious liability should be imposed in light of the broader policy rationales behind strict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this case, counsel for Mutual has urged me to conclude that the precedents determine the issue in favour of Mutual. With respect, I am of the view that the precedents do not "unambiguously determine" the issue in this case. They do not because they are based, in every case cited to me, upon the very traditional analysis which Bazley, supra, and Critchley, supra, have directed no longer governs. Where, under traditional analysis, the conduct would found vicarious liability in the case of an employee but not in the case of an independent contractor, it cannot be said that precedents unambiguously determine the issue. This is particularly the case where I am instructed to focus not on the "traditional classifications, but rather on the true nature of the relationship": Critchley, supra, per McEachern C.J.B.C. at p.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this case, therefore, I conclude that I must go to the next step and consider whether vicarious liability should be imposed in light of the broader policy rationales.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background to the policy analysis was summarized by McLachlin J. as follows at pp. 548-58: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heart of the dishonest employee decisions is consideration of fairness and policy....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Looking at these three general classes of cases in which employers have been held vicariously liable for employees' unauthorized torts, one sees a progression from accidents, to accident-like intentional torts, to torts that bear no relationship to either agency-like conduct or accident. In search of a unifying principle, one asks what the three classes of cases have in common. At first glance, it may seem little. Yet with the benefit of hindsight it is possible to posit one common feature: in each case it can be said that the employer's enterprise had created the risk that produced the tortious act. The language of "furtherance of the employer's aims" and the employer's creation of "a situation of friction" may be seen as limited formulations of the concept of enterprise risk that underlies the dishonest employee cases. The common theme resides in the idea that where the employee's conduct is closely tied to a risk that the employer's enterprise has placed in the community, the employer may justly be held vicariously liable for the employee's wrong.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Fleming has identified similar policies lying at the heart of vicarious liability. In his view, two fundamental concerns underlie the imposition of vicarious liability: (1) provision of a just and practical remedy for the harm; and (2) deterrence of future harm. While different formulations of the policy interests at stake may be made (for example, loss internalization is a hybrid of the two), I believe that these two ideas usefully embrace the main policy considerations that have been advanced.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First and foremost is the concern to provide a just and practical remedy to people who suffer as a consequence of wrongs perpetrated by an employee. Fleming expresses this succinctly (at p. 410): "a person who employs others to advance his own economic interest should in fairness be placed under a corresponding liability for losses incurred in the course of the enterprise". The idea that the person who introduces a risk incurs a duty to those who may be injured lies at the heart of tort law.... This principle of fairness applies to the employment enterprise and hence to the issue of vicarious liability.... This policy interest embraces a number of subsidiary goals. The first is the goal of effective compensation. "One of the most important social goals served by vicarious liability is victim compensation. Vicarious liability improves the chances that the victim can recover the judgment from a solvent defendant." (B. Feldthusen, "Vicarious Liability for Sexual Torts", in Torts Tomorrow (1998), 221, at p. 224.) Or to quote Fleming, the master is "a more promising source of recompense than his servant who is apt to be a man of straw" (p. 410).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However, effective compensation must also be fair, in the sense that it must seem just to place liability for the wrong on the employer. Vicarious liability is arguably fair in this sense. The employer puts in the community an enterprise which carries with it certain risks. When those risks materialize and cause injury to a member of the public despite the employer's reasonable efforts, it is fair that the person or organization that creates the enterprise and hence the risk should bear the loss. This accords with the notion that it is right and just that the person who creates a risk bear the loss when the risk ripens into harm. While the fairness of this proposition is capable of standing alone, it is buttressed by the fact that the employer is often in the best position to spread the losses through mechanisms like insurance and higher prices, thus minimizing the dislocative effect of the tort within society. "Vicarious liability has the broader function of transferring to the enterprise itself the risks created by the activity performed by its agents" (London Drugs, per La Forest J., at p. 339).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second major policy consideration underlying vicarious liability is deterrence of future harm. Fixing the employer with responsibility for the employee's wrongful act, even where the employer is not negligent, may have a deterrent effect. Employers are often in a position to reduce accidents and intentional wrongs by efficient organization and supervision. Failure to take such measures may not suffice to establish a case of tortious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directly against the employer. Perhaps the harm cannot be shown to have been foreseeable under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Perhaps the employer can avail itself of the defence of compliance with the industry standard. Or perhaps the employer, while complying with the standard or reasonable care, was not as scrupulously diligent as it might feasibly have been....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agree. Beyond the narrow band of employer conduct that attracts direct liability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lies a vast area where imaginative and efficient administration and supervision can reduce the risk that the employer has introduced into the community. Holding the employer vicariously liable for the wrongs of its employee may encourage the employer to take such steps, and hence, reduce the risk of future harm. A related consideration raised by Fleming is that by holding the employer liable, "the law furnishes an incentive to discipline servants guilty of wrongdoing" (p. 410).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policy grounds supporting the imposition of vicarious liability - fair compensation and deterrence - are related. The policy consideration of deterrence is linked to the policy consideration of fair compensation based on the employer's introduction or enhancement of a risk. The introduction of the enterprise into the community with its attendant risk, in turn, implies the possibility of managing the risk to minimize the costs of the harm that may flow from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conclude that a meaningful articulation of when vicarious liability should follow in new situations ought to be animated by the twin policy goals of fair compensation and deterrence that underlie the doctrine, rather than by artificial or semantic distinctions.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From Precedent and Policy to Principle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Underlying the cases holding employers vicariously liable for the unauthorized acts of employees is the idea that employers may justly be held liable where the act falls within the ambit of the risk that the employer's enterprise creates or exacerbates. Similarly, the policy purposes underlying the imposition of vicarious liability on employers are served only where the wrong is so connected with the employment that it can be said that the employer has introduced the risk of the wrong (and is thereby fairly and usefully charged with its management and minimization). The question in each case is whether there is a connection or nexus between the employment enterprise and that wrong that justifies imposition of vicarious liability on the employer for the wrong, in terms of fair allocation of the consequences of the risk and/or deterrence.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risk is closely associated with the wrong that occurred, it seems just that the entity that engages in the enterprise (and in many cases profits from it) should internalize the full cost of operation, including potential torts.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She concludes as follows at pp. 559-60: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Reviewing the jurisprudence, and considering the policy issues involved, I conclude that in determining whether an employer is vicariously liable for an employee's unauthorized, intentional wrong in cases where precedent is inconclusive, courts should be guided by the following principles.</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should openly confront the question of whether liability should lie against the employer, rather than obscuring the decision beneath semantic discussions of "scope of employment" and "mode of conduct".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fundamental question is whether the wrongful act is sufficiently related to conduct authorized by the employer to justify the imposition of vicarious liability. Vicarious liability is generally appropriate where there is a significant connection between the creation or enhancement of a risk and the wrong that accrues therefrom, even if unrelated to the employer's desires. Where this is so vicarious liability will serve the policy considerations of provision of an adequate and just remedy and deterrence. Incidental connections to the employment enterprise, like time and place (without more), will not suffice. Once engaged in a particular business, it is fair that an employer be made to pay the generally foreseeable costs of that business. In contrast, to impose liability for costs unrelated to the risk would effectively make the employer an involuntary insurer.</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the sufficiency of the connection between the employer's creation or enhancement of the risk and the wrong complained of, subsidiary factors may be considered. These may vary with the nature of the case. When related to intentional torts, the relevant factors may include, but are not limited to, the following:</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opportunity that the enterprise afforded the employee to abuse his or her power;</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may have furthered the employer's aims (and hence be more likely to have been committed by the employee);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the wrongful act was related to friction, confrontation or intimacy inherent in the employer's enterprise;</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of power conferred on the employee in relation to the victim;</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vulnerability of potential victims to wrongful exercise of the employee's power.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the case at bar, there is no doubt in my mind that the risk which materialized was an eminently foreseeable risk of this kind of enterprise. There is a close and immediate connection between the creation of the risk and the wrong that ensued. The sales representative is placed by Mutual in a position of trust, intended by the company to serve as a financial adviser to members of the public. It is sad but true that it is foreseeable that some of these representatives will abuse their trust and defraud clients. The enterprise here clearly affords the sales representative with the opportunity to do so. Clients wishing to deal with Mutual were required to go through a representative such as Dennis. In this case, in fact, Mutual directed the plaintiffs to Dennis and transferred their accounts to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It is clear that Dennis' acts in no way furthered Mutual's aims. Not only were funds which the plaintiffs intended to be invested with Mutual diverted instead to Dennis, but Mutual suffered a blow to its reputation when Dennis' frauds came to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wrongful act was, however, directly related to the trust which Mutual sought to foster and to the power conferred upon Dennis by Mutual. Mutual wanted its representatives to be the trusted advisers of persons in the situation of the Thiessens. Yet the greater the trust, the greater the vulnerability to wrongful acts arising from the breach of that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Moreover, the relation of Dennis to Mutual differs in several significant aspects from that in the case of Keddie, supra and LeRuyet,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Keddie, the wrongdoer was a broker and not an agent or sales representative of Canada Life and known to be such by the plaintiff. This distinction was important to Rowles J.A., speaking for the Court, in the decision not to find vicarious liability, at pp. 281-82.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an extensive body of American jurisprudence on the question of agency which is of some assistance in considering the issue of vicarious liability in the present context. In relation to agency in the insurance context, the U.S. cases draw a critical distinction between "insurance broker" and "insurance agent". In Travelers Indemnity Co. v. National Indemnity Co., 292 F.2d 214 (8th Cir. Minn. 1961) Matthes J., at 219-20, succinctly stated the distinction: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may be stated as a general proposition that an insurance agent is a person expressly or impliedly authorized to represent an insurance company in dealing with third persons in matters relating to insurance ... An insurance broker is one who acts as a middleman between the insured and insurer and who solicits insurance from the public under no employment from any special company and who either places an order for insurance with a company selected by the insured, or, in the absence of such a selection, with a company the broker selects ... There is no ironclad rule or standard for determining whether an insurance broker represents the insurer or insured. The question cannot be answered absolutely and resolution thereof depends upon the circumstances of each case ... Sound authority supports the proposition, however, that a broker is primarily the agent of the person who first employs him, and where he is employed to procure insurance, he is the agent of the person for whom the insurance is procured insofar as matters connected with the procurement are concerned. Unless there are special conditions or circumstances in the case, he is not the agent of the insurer, and he may not be converted into an agent for the insurance company without some action on the part of the company or the existence of some facts from which his authority to represent it as an agent may be fairly inferred.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Galiher v. Spates, 262 N.E.2d 626 at 628 (Ill. Ct. App. 4th Dist. 1970) at 628 puts the distinction in these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insurance broker is one who procures insurance and acts as middleman between the insured and the insurer, and solicits insurance business from the public under no employment from any special company, but, having secured an order, places the insurance with the company selected by the insured, or, in the absence of any selection by him, with the company selected by the broker... Insurance agents have a fixed and permanent relation to the companies they represent and have certain duties and allegiances to such companies. Whether a person is an agent or a broker is determined by his acts or what he does.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me that the distinction made between a broker and an agent corresponds to the way in which insurance is sold. Insurance brokers market themselves to the public explicitly on the basis that they are independent and beholden to no particular insurance company. Insurance brokers, by the nature of their business, appeal to the public, in part, by denying an agency relationship and the loyalty to an insurance company which such a relationship implies. In taking that stance, a broker would reduce the appearance to persons such as the appellant of acting as an agent for any particular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As stated earlier, the fraudulent defendant Stenner in LeRuyet was a broker, known to be such by the plaintiff. His business card and trade names made were not those of the defendant Great West List Assurance Company ("GWL"). The signs in his office bore no reference to GWL. The plaintiff had sought out the defendant Stenner and did not seek him out by virtue of any pertinent connection with GWL.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the case at bar, Dennis was clearly, in that parlance, an agent and not a broker. He had a fixed and permanent allegiance to Mutual. He was entitled, by virtue of his contract, to sell the products of other companies only with Mutual's consent and that consent was given only with respect to those products which Mutual did not offer. Persons in the position of the Thiessens did not deal with him on the basis that he was independent, beholden to no particular company, but on the basis that he was the agent for Mutual Life. In Keddie, supra, Madam Justice Rowles stated at pp. 280-81: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policy matter, the defendant insurance company has arguably created an arrangement whereby it can freely promote and sell its product in the market while at the same time carefully avoiding responsibility for any misconduct that accompanies that activity. In other words, such an arrangement allows insurance companies to reap all the benefits of selling their products to the public while bearing none of the risks associated with that economic activity. The evidence suggests that Canada Life gives "independent brokers" the means to market and promote a company's products through a range of materials as well as the incentive and motivation to do so vigorously, through the commission structure in the broker's remuneration contract, invitations to participate in Canada Life sales seminars, and contact by Canada Life employees to follow up and encourage sales.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Canada Life is correct in stating that the contract between the insurance company and the customer is technically made directly between the parties, and not through the broker in any official capacity. However, when one examines how customers actually buy insurance through brokers, which is described in the affidavit of Canada Life's representative, Ms. Dietrich, and referred to in the trial judge's reasons at p. 15, it becomes clear that the customer interacts with the insurance company only through the broker. While there is nothing wrong with such a procedure per se, it is at least arguable that the law should not allow an insurance company to enjoy the gains from this economic activity without bearing some responsibility for misconduct committed in the course of carrying it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It is my conclusion that the decisions in Critchley, supra, and Bazley, supra, mandate a different result, at least in the case of a representative such as Dennis who was acting not as an independent broker, but as a sales representative for Mutual.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finding of vicarious liability in this case conforms with the policy consideration summarized in Bazley, supra. It provides a "just and practical remedy". Given that Mutual had contracted with Dennis for him to advance Mutual's interest, thereby introducing the risk into the community, it is fair that Mutual should bear the risk of this loss. In fact, in this case, Mutual introduced Dennis to the plaintiffs; assigning him to them to be their Mutual agent. Mutual controls both the price of the product and the amount of the commission. In this respect, Mutual is in the best position to spread the loss. Mutual profits from the economic activity. It should bear responsibility for misconduct committed in the course of the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Moreover, Mutual exercised considerable control over Dennis through the selection process, the training it provided, and through its ongoing scrutiny of its representative's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Finally, although I have found Mutual was not negligent in relation to either its hiring of or its supervision of Dennis, a finding of liability will serve a deterrent function, consistent with the policy articulated in Bazley,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find Mutual to be vicariously liable for the Thiessens' loss of $145,000.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defence alleged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its pleadings. However, it conceded, properly so in my view, at trial, that the defence was not available in light of the decision of Southin J., as she then was, in United Services Funds,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plaintiffs submit that they are entitled to interest at 8 1/2 percent on the contract interest. They rely upon Huff v. Price </w:t>
      </w:r>
      <w:hyperlink r:id="rId22" w:history="1">
        <w:r>
          <w:rPr>
            <w:rFonts w:ascii="arial" w:eastAsia="arial" w:hAnsi="arial" w:cs="arial"/>
            <w:i/>
            <w:color w:val="0077CC"/>
            <w:sz w:val="20"/>
            <w:u w:val="single"/>
            <w:shd w:val="clear" w:color="auto" w:fill="FFFFFF"/>
            <w:lang w:val="en-US" w:eastAsia="en-US" w:bidi="ar-SA"/>
          </w:rPr>
          <w:t>(1988), 25 B.C.L.R. (2d) 364</w:t>
        </w:r>
      </w:hyperlink>
      <w:r>
        <w:rPr>
          <w:rFonts w:ascii="arial" w:eastAsia="arial" w:hAnsi="arial" w:cs="arial"/>
          <w:color w:val="000000"/>
          <w:sz w:val="20"/>
          <w:lang w:val="en-US" w:eastAsia="en-US" w:bidi="ar-SA"/>
        </w:rPr>
        <w:t xml:space="preserve"> (S.C.) per Taylor J. at 369. On the basis of that case and the decision in Schwartz v. Maritime Life Assurance Co. </w:t>
      </w:r>
      <w:hyperlink r:id="rId23" w:history="1">
        <w:r>
          <w:rPr>
            <w:rFonts w:ascii="arial" w:eastAsia="arial" w:hAnsi="arial" w:cs="arial"/>
            <w:i/>
            <w:color w:val="0077CC"/>
            <w:sz w:val="20"/>
            <w:u w:val="single"/>
            <w:shd w:val="clear" w:color="auto" w:fill="FFFFFF"/>
            <w:lang w:val="en-US" w:eastAsia="en-US" w:bidi="ar-SA"/>
          </w:rPr>
          <w:t>(1997), 149 Nfld. &amp; P.E.I.R. 234</w:t>
        </w:r>
      </w:hyperlink>
      <w:r>
        <w:rPr>
          <w:rFonts w:ascii="arial" w:eastAsia="arial" w:hAnsi="arial" w:cs="arial"/>
          <w:color w:val="000000"/>
          <w:sz w:val="20"/>
          <w:lang w:val="en-US" w:eastAsia="en-US" w:bidi="ar-SA"/>
        </w:rPr>
        <w:t xml:space="preserve"> (Nfld. C.A.), I find that the Thiessens are entitled to interest at 8 1/2 percent compounded annually from August 2, 1994 on $145,000; and from July 12, 1995, on an additional $8,000 until July 12, 1996, that being the approximate date at which the Thiessens began attempts to withdraw their funds. Thereafter, they are entitled to simple interest on this sum, less repayments, at the registrar's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ROSS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28" style="position:absolute;z-index:2518118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4"/>
          <w:headerReference w:type="default" r:id="rId25"/>
          <w:footerReference w:type="even" r:id="rId26"/>
          <w:footerReference w:type="default" r:id="rId27"/>
          <w:headerReference w:type="first" r:id="rId28"/>
          <w:footerReference w:type="first" r:id="rId2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30" w:history="1">
        <w:r>
          <w:rPr>
            <w:rFonts w:ascii="arial" w:eastAsia="arial" w:hAnsi="arial" w:cs="arial"/>
            <w:b/>
            <w:bCs/>
            <w:i/>
            <w:color w:val="0077CC"/>
            <w:kern w:val="32"/>
            <w:sz w:val="28"/>
            <w:szCs w:val="32"/>
            <w:u w:val="single"/>
            <w:shd w:val="clear" w:color="auto" w:fill="FFFFFF"/>
            <w:lang w:val="en-US" w:eastAsia="en-US" w:bidi="ar-SA"/>
          </w:rPr>
          <w:t>Watts v. Klaemt, [2007] B.C.J. No. 980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Bruce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18-20,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10,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S047163</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980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662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11 W.W.R. 146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71 B.C.L.R. (4th) 362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61 C.C.E.L. (3d) 115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157 A.C.W.S. (3d) 871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1000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Arlene Watts, Plaintiff, and Joerg Klaemt,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29" style="position:absolute;z-index:2516592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 w:name="Keywords_0"/>
      <w:bookmarkEnd w:id="6"/>
      <w:r>
        <w:rPr>
          <w:rFonts w:ascii="arial" w:eastAsia="arial" w:hAnsi="arial" w:cs="arial"/>
          <w:b/>
          <w:color w:val="000000"/>
          <w:sz w:val="20"/>
          <w:lang w:val="en-US" w:eastAsia="en-US" w:bidi="ar-SA"/>
        </w:rPr>
        <w:t>Damages — For torts — Affecting the person — Invasion of privacy — The plaintiff was awarded $30,000 in damages plus $1,000 in expenses and a further $5,000 in punitive damages as against the defendant, who had unlawfully invaded her privacy by intercepting and recording cordless telephone conversations, and by presenting the incriminating recordings to the plaintiff's employer, which resulted in her termination.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Tort law — Invasion of privacy — Interception of private communications — The plaintiff was awarded $30,000 in damages plus $1,000 in expenses and a further $5,000 in punitive damages as against the defendant, who had unlawfully invaded her privacy by intercepting and recording cordless telephone conversations, and by presenting the incriminating recordings to the plaintiff's employer, which resulted in her termination.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 w:name="Case Summary_0"/>
            <w:bookmarkEnd w:id="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sued the defendant, who was her daughter's neighbour, for allegedly breaching s. 1 of the Privacy Act, interfering with her economic relations, invasion of privacy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The plaintiff's son-in-law had been involved in various disputes with the defendant neighbour, and the defendant, feeling threatened, began to use a scanner and a tape recorder to monitor the conversations going on within the plaintiff's house on a cordless telephone -- When he intercepted a conversation where the plaintiff was overheard counselling her daughter and son-in-law on ways to avoid detection and prosecution by for welfare fraud, he reported the contents of the conversations to the plaintiff's employer, and she was terminated for breach of trust -- HELD: The plaintiff was awarded $30,000 in damages based on the substantial degree of suffering she experienced , her loss of enjoyment of life, the loss of her reputation and public humiliation, and her own misconduct as a contributing factor -- The plaintiff was granted $1,000 for out-of-pocket expenses, plus a further $5,000 in punitive damages were awarded to reflect society's abhorrence of the defendant's actions and to act as a deterrent -- The plaintiff was not entitled to recover her costs for the criminal prosecution -- The defendant had violated s. 1 of the Privacy Act when he intercepted the telephone conversations, listened to them without consent, made a permanent recording, and published them to the Ministry of Social Services -- He had committed intentional acts which he knew or ought to have known violated the plaintiff's privacy, and the eavesdropping continued for a year -- Such behaviour went well beyond what could be regarded as incidental to the exercise of a lawful right of defence of person or property, as defined in s. 2 of the Act, despite the plaintiff's son's prior threats and threatening behaviour -- The doctrine of ex turpi causa did not apply, as although the plaintiff's actions were highly immoral, her claim was not designed to obtain a reward for her wrongdoing, but for compensatory damages arising out of the breach of privacy -- Moreover, it was not in the public interest or the interests of justice to deny relief based on the defence of ex turpi causa, as it would absolve the defendant of liability for a serious and deliberate invasion of privacy -- That said, the plaintiff, by her own conduct, was to assume responsibility for any damages arising out of her dismissal.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 w:name="Legislation Cited"/>
      <w:bookmarkEnd w:id="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30" style="position:absolute;z-index:2517104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9, s. 183, s. 184.5(1), s. 193.1(1)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Limitations Act, R.S.B.C. 1996, c. 266, s. 3(2)(f)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Privacy Act, </w:t>
      </w:r>
      <w:hyperlink r:id="rId31" w:history="1">
        <w:r>
          <w:rPr>
            <w:rFonts w:ascii="arial" w:eastAsia="arial" w:hAnsi="arial" w:cs="arial"/>
            <w:i/>
            <w:color w:val="0077CC"/>
            <w:sz w:val="20"/>
            <w:u w:val="single"/>
            <w:shd w:val="clear" w:color="auto" w:fill="FFFFFF"/>
            <w:lang w:val="en-US" w:eastAsia="en-US" w:bidi="ar-SA"/>
          </w:rPr>
          <w:t>R.S.B.C. 1996, c. 373, s. 1</w:t>
        </w:r>
      </w:hyperlink>
      <w:r>
        <w:rPr>
          <w:rFonts w:ascii="arial" w:eastAsia="arial" w:hAnsi="arial" w:cs="arial"/>
          <w:color w:val="000000"/>
          <w:sz w:val="20"/>
          <w:lang w:val="en-US" w:eastAsia="en-US" w:bidi="ar-SA"/>
        </w:rPr>
        <w:t>, s.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Radiocommunication Act, </w:t>
      </w:r>
      <w:hyperlink r:id="rId32" w:history="1">
        <w:r>
          <w:rPr>
            <w:rFonts w:ascii="arial" w:eastAsia="arial" w:hAnsi="arial" w:cs="arial"/>
            <w:i/>
            <w:color w:val="0077CC"/>
            <w:sz w:val="20"/>
            <w:u w:val="single"/>
            <w:shd w:val="clear" w:color="auto" w:fill="FFFFFF"/>
            <w:lang w:val="en-US" w:eastAsia="en-US" w:bidi="ar-SA"/>
          </w:rPr>
          <w:t>R.S.C. 1985, c. R-2, s. 9.1</w:t>
        </w:r>
      </w:hyperlink>
      <w:r>
        <w:rPr>
          <w:rFonts w:ascii="arial" w:eastAsia="arial" w:hAnsi="arial" w:cs="arial"/>
          <w:color w:val="000000"/>
          <w:sz w:val="20"/>
          <w:lang w:val="en-US" w:eastAsia="en-US" w:bidi="ar-SA"/>
        </w:rPr>
        <w:t>(1), s. 9(2)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 w:name="Counsel_0"/>
      <w:bookmarkEnd w:id="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1" style="position:absolute;z-index:25176166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J. Roberts.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In Person.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 w:name="Judgment_0"/>
      <w:bookmarkEnd w:id="10"/>
      <w:r>
        <w:pict>
          <v:line id="_x0000_s1032" style="position:absolute;z-index:25181286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 w:name="BRUCE J."/>
            <w:bookmarkEnd w:id="11"/>
            <w:r>
              <w:rPr>
                <w:rFonts w:ascii="arial" w:eastAsia="arial" w:hAnsi="arial" w:cs="arial"/>
                <w:b/>
                <w:color w:val="000000"/>
                <w:sz w:val="30"/>
                <w:lang w:val="en-US" w:eastAsia="en-US" w:bidi="ar-SA"/>
              </w:rPr>
              <w:t>BRUCE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and counterclaim arise out of very unfortunate circumstances that occurred in or about June 1996 when the plaintiff, Ms. Watts, was employed by the Ministry of Social Services as an eligibility officer in the Coquitlam branch of the Prevention and Compliance Enforcement Unit. At this time Ms. Watts' daughter and son-in-law resided in Sorrento, BC, and they were involved in an on-going dispute with the defendant, Mr. Klaemt, who was their next door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It was not disputed that in the years leading up to June 1996, Ms. Watt's son-in-law, David Imeson (D.I.) was a loud, offensive, verbally and physically abusive alcoholic. He was variously described, but most accurately as "a neighbour from hell" by a provincial court judge in a judgment that will be discussed in detail below. Mr. Klaemt was threatened by D.I. and subjected to verbal taunts and insults. Ultimately, D.I. was convicted of threatening and indecent exposure and placed on a lengthy probation order that prohibited any contact with Mr. Klaemt and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Klaemt continued to feel threatened by D.I.'s behaviour and, as result, he decided to use a scanner and a tape recorder to monitor and record all of the conversations going on inside D.I.'s home on their cordless telephone. Mr. Klaemt's interception of these telephone conversations had been going on for about a year when he intercepted two conversations that Ms. Watts had with her daughter and D.I. on June 11,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Klaemt recorded these conversations and reported the contents of them to Ms. Watts' employer. After an investigation into the matter, Ms. Watts was terminated from her employment for breach of trust. During the June 11th telephone conversations Ms. Watts disclosed confidential information from the Ministry's files concerning an investigation into an alleged welfare fraud by Ms. Watts' daughter and D.I. Further, Ms. Watts' counselled her daughter and son-in-law on ways to avoid detection and prosecution by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Ms. Watts' action against Mr. Klaemt is for damages as a result of a breach of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373</w:t>
      </w:r>
      <w:r>
        <w:rPr>
          <w:rFonts w:ascii="arial" w:eastAsia="arial" w:hAnsi="arial" w:cs="arial"/>
          <w:color w:val="000000"/>
          <w:sz w:val="20"/>
          <w:lang w:val="en-US" w:eastAsia="en-US" w:bidi="ar-SA"/>
        </w:rPr>
        <w:t xml:space="preserve">, interference with economic relations, invasion of privacy,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Klaemt's counterclaim against Ms. Watts is for damages arising out of her breach of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on the ground that the confidential information disclosed to D.I. and Ms. Watts' daughter in the telephone conversation came from a letter of complaint forwarded to the Ministry by Mr. Klaemt. In that letter, Mr. Klaemt informed the Ministry that D.I. was illegally collecting social assistance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issues arise out of the plaintiff's action:</w:t>
      </w:r>
      <w:r>
        <w:rPr>
          <w:rFonts w:ascii="arial" w:eastAsia="arial" w:hAnsi="arial" w:cs="arial"/>
          <w:sz w:val="20"/>
          <w:lang w:val="en-US" w:eastAsia="en-US" w:bidi="ar-SA"/>
        </w:rPr>
        <w:cr/>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Did the defendant's actions constitute a breach of privacy at common law or were they contrary to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so, does the defendant have a defence to the plaintiff's action based upon the exception described in s. 2(2)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colour of right, the lack any intention to harm the plaintiff, or the doctrine of </w:t>
      </w:r>
      <w:r>
        <w:rPr>
          <w:rFonts w:ascii="arial" w:eastAsia="arial" w:hAnsi="arial" w:cs="arial"/>
          <w:i/>
          <w:color w:val="000000"/>
          <w:sz w:val="20"/>
          <w:lang w:val="en-US" w:eastAsia="en-US" w:bidi="ar-SA"/>
        </w:rPr>
        <w:t>ex turpi causa non oritur actio</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Has the plaintiff proven on the balance of probabilities the tort of intentional interference with economic relations 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plaintiff has proven the Defendant's conduct constitutes an actionable tort or a breach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what are her damages and has she properly mitigated?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following represent the issues arising out of the defendant's counter-claim:</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defendant's counterclaim statute barred?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Should the defendant's action be dismissed as an abuse of process or because of the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doctrine?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defendant proven a breach of privacy by the plaintiff?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what are the damages for the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Although the defendant has pled the </w:t>
      </w:r>
      <w:r>
        <w:rPr>
          <w:rFonts w:ascii="arial" w:eastAsia="arial" w:hAnsi="arial" w:cs="arial"/>
          <w:b/>
          <w:i/>
          <w:color w:val="000000"/>
          <w:sz w:val="20"/>
          <w:lang w:val="en-US" w:eastAsia="en-US" w:bidi="ar-SA"/>
        </w:rPr>
        <w:t>Limitations Act,</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he did not argue the matter at trial. Further, I find that on its face the writ was filed within the two year limitations period for commencing an action in tort under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See, s. 3(2)(f) of the </w:t>
      </w:r>
      <w:r>
        <w:rPr>
          <w:rFonts w:ascii="arial" w:eastAsia="arial" w:hAnsi="arial" w:cs="arial"/>
          <w:b/>
          <w:i/>
          <w:color w:val="000000"/>
          <w:sz w:val="20"/>
          <w:lang w:val="en-US" w:eastAsia="en-US" w:bidi="ar-SA"/>
        </w:rPr>
        <w:t>Limitations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 DID THE DEFENDANT'S ACTIONS CONSTITUTE A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The defendant argues that a conversation on a cordless telephone of the second generation is not a private communication. Cordless telephones of this vintage are not secure telephone lines and anyone with a scanner can listen to a person speaking to another on such a telephone. The defendant says that a cordless telephone conversation does not meet the definition of a private communication in s. 183 of the </w:t>
      </w:r>
      <w:r>
        <w:rPr>
          <w:rFonts w:ascii="arial" w:eastAsia="arial" w:hAnsi="arial" w:cs="arial"/>
          <w:b/>
          <w:i/>
          <w:color w:val="000000"/>
          <w:sz w:val="20"/>
          <w:lang w:val="en-US" w:eastAsia="en-US" w:bidi="ar-SA"/>
        </w:rPr>
        <w:t>Criminal Code: Regina v. Penna,</w:t>
      </w:r>
      <w:r>
        <w:rPr>
          <w:rFonts w:ascii="arial" w:eastAsia="arial" w:hAnsi="arial" w:cs="arial"/>
          <w:color w:val="000000"/>
          <w:sz w:val="20"/>
          <w:lang w:val="en-US" w:eastAsia="en-US" w:bidi="ar-SA"/>
        </w:rPr>
        <w:t xml:space="preserve"> </w:t>
      </w:r>
      <w:hyperlink r:id="rId34" w:history="1">
        <w:r>
          <w:rPr>
            <w:rFonts w:ascii="arial" w:eastAsia="arial" w:hAnsi="arial" w:cs="arial"/>
            <w:i/>
            <w:color w:val="0077CC"/>
            <w:sz w:val="20"/>
            <w:u w:val="single"/>
            <w:shd w:val="clear" w:color="auto" w:fill="FFFFFF"/>
            <w:lang w:val="en-US" w:eastAsia="en-US" w:bidi="ar-SA"/>
          </w:rPr>
          <w:t>[1997] B.C.J. No. 3014</w:t>
        </w:r>
      </w:hyperlink>
      <w:r>
        <w:rPr>
          <w:rFonts w:ascii="arial" w:eastAsia="arial" w:hAnsi="arial" w:cs="arial"/>
          <w:color w:val="000000"/>
          <w:sz w:val="20"/>
          <w:lang w:val="en-US" w:eastAsia="en-US" w:bidi="ar-SA"/>
        </w:rPr>
        <w:t xml:space="preserve"> (S.C.) (QL), and </w:t>
      </w:r>
      <w:r>
        <w:rPr>
          <w:rFonts w:ascii="arial" w:eastAsia="arial" w:hAnsi="arial" w:cs="arial"/>
          <w:b/>
          <w:i/>
          <w:color w:val="000000"/>
          <w:sz w:val="20"/>
          <w:lang w:val="en-US" w:eastAsia="en-US" w:bidi="ar-SA"/>
        </w:rPr>
        <w:t>R. v. Cheung</w:t>
      </w:r>
      <w:r>
        <w:rPr>
          <w:rFonts w:ascii="arial" w:eastAsia="arial" w:hAnsi="arial" w:cs="arial"/>
          <w:color w:val="000000"/>
          <w:sz w:val="20"/>
          <w:lang w:val="en-US" w:eastAsia="en-US" w:bidi="ar-SA"/>
        </w:rPr>
        <w:t xml:space="preserve"> </w:t>
      </w:r>
      <w:hyperlink r:id="rId35" w:history="1">
        <w:r>
          <w:rPr>
            <w:rFonts w:ascii="arial" w:eastAsia="arial" w:hAnsi="arial" w:cs="arial"/>
            <w:i/>
            <w:color w:val="0077CC"/>
            <w:sz w:val="20"/>
            <w:u w:val="single"/>
            <w:shd w:val="clear" w:color="auto" w:fill="FFFFFF"/>
            <w:lang w:val="en-US" w:eastAsia="en-US" w:bidi="ar-SA"/>
          </w:rPr>
          <w:t>(1995), 100 C.C.C. (3d) 441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argues the defendant's conduct in deliberately listening to her telephone conversations, recording those conversations, and publishing them to her employer constitutes an invasion of privacy at common law and a breach of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While a cordless telephone conversation may not technically meet the definition of a private communication in s. 184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the standards of privacy in a civil context are based upon the reasonable expectations of the parties to the communication: </w:t>
      </w:r>
      <w:r>
        <w:rPr>
          <w:rFonts w:ascii="arial" w:eastAsia="arial" w:hAnsi="arial" w:cs="arial"/>
          <w:b/>
          <w:i/>
          <w:color w:val="000000"/>
          <w:sz w:val="20"/>
          <w:lang w:val="en-US" w:eastAsia="en-US" w:bidi="ar-SA"/>
        </w:rPr>
        <w:t>Davis v. McArthur</w:t>
      </w:r>
      <w:r>
        <w:rPr>
          <w:rFonts w:ascii="arial" w:eastAsia="arial" w:hAnsi="arial" w:cs="arial"/>
          <w:color w:val="000000"/>
          <w:sz w:val="20"/>
          <w:lang w:val="en-US" w:eastAsia="en-US" w:bidi="ar-SA"/>
        </w:rPr>
        <w:t xml:space="preserve"> </w:t>
      </w:r>
      <w:hyperlink r:id="rId36" w:history="1">
        <w:r>
          <w:rPr>
            <w:rFonts w:ascii="arial" w:eastAsia="arial" w:hAnsi="arial" w:cs="arial"/>
            <w:i/>
            <w:color w:val="0077CC"/>
            <w:sz w:val="20"/>
            <w:u w:val="single"/>
            <w:shd w:val="clear" w:color="auto" w:fill="FFFFFF"/>
            <w:lang w:val="en-US" w:eastAsia="en-US" w:bidi="ar-SA"/>
          </w:rPr>
          <w:t>(1970), 17 D.L.R. (3d) 760</w:t>
        </w:r>
      </w:hyperlink>
      <w:r>
        <w:rPr>
          <w:rFonts w:ascii="arial" w:eastAsia="arial" w:hAnsi="arial" w:cs="arial"/>
          <w:color w:val="000000"/>
          <w:sz w:val="20"/>
          <w:lang w:val="en-US" w:eastAsia="en-US" w:bidi="ar-SA"/>
        </w:rPr>
        <w:t xml:space="preserve"> (B.C.C.A.), </w:t>
      </w:r>
      <w:r>
        <w:rPr>
          <w:rFonts w:ascii="arial" w:eastAsia="arial" w:hAnsi="arial" w:cs="arial"/>
          <w:b/>
          <w:i/>
          <w:color w:val="000000"/>
          <w:sz w:val="20"/>
          <w:lang w:val="en-US" w:eastAsia="en-US" w:bidi="ar-SA"/>
        </w:rPr>
        <w:t>Regina v. Simm</w:t>
      </w:r>
      <w:r>
        <w:rPr>
          <w:rFonts w:ascii="arial" w:eastAsia="arial" w:hAnsi="arial" w:cs="arial"/>
          <w:color w:val="000000"/>
          <w:sz w:val="20"/>
          <w:lang w:val="en-US" w:eastAsia="en-US" w:bidi="ar-SA"/>
        </w:rPr>
        <w:t xml:space="preserve"> </w:t>
      </w:r>
      <w:hyperlink r:id="rId37" w:history="1">
        <w:r>
          <w:rPr>
            <w:rFonts w:ascii="arial" w:eastAsia="arial" w:hAnsi="arial" w:cs="arial"/>
            <w:i/>
            <w:color w:val="0077CC"/>
            <w:sz w:val="20"/>
            <w:u w:val="single"/>
            <w:shd w:val="clear" w:color="auto" w:fill="FFFFFF"/>
            <w:lang w:val="en-US" w:eastAsia="en-US" w:bidi="ar-SA"/>
          </w:rPr>
          <w:t>(1976), 31 C.C.C. (2d) 322</w:t>
        </w:r>
      </w:hyperlink>
      <w:r>
        <w:rPr>
          <w:rFonts w:ascii="arial" w:eastAsia="arial" w:hAnsi="arial" w:cs="arial"/>
          <w:color w:val="000000"/>
          <w:sz w:val="20"/>
          <w:lang w:val="en-US" w:eastAsia="en-US" w:bidi="ar-SA"/>
        </w:rPr>
        <w:t xml:space="preserve"> (Alta. S.C.), and </w:t>
      </w:r>
      <w:r>
        <w:rPr>
          <w:rFonts w:ascii="arial" w:eastAsia="arial" w:hAnsi="arial" w:cs="arial"/>
          <w:b/>
          <w:i/>
          <w:color w:val="000000"/>
          <w:sz w:val="20"/>
          <w:lang w:val="en-US" w:eastAsia="en-US" w:bidi="ar-SA"/>
        </w:rPr>
        <w:t>Regina v. Watts</w:t>
      </w:r>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[2000] B.C.J. No. 2721</w:t>
        </w:r>
      </w:hyperlink>
      <w:r>
        <w:rPr>
          <w:rFonts w:ascii="arial" w:eastAsia="arial" w:hAnsi="arial" w:cs="arial"/>
          <w:color w:val="000000"/>
          <w:sz w:val="20"/>
          <w:lang w:val="en-US" w:eastAsia="en-US" w:bidi="ar-SA"/>
        </w:rPr>
        <w:t xml:space="preserve">, </w:t>
      </w:r>
      <w:hyperlink r:id="rId38" w:history="1">
        <w:r>
          <w:rPr>
            <w:rFonts w:ascii="arial" w:eastAsia="arial" w:hAnsi="arial" w:cs="arial"/>
            <w:i/>
            <w:color w:val="0077CC"/>
            <w:sz w:val="20"/>
            <w:u w:val="single"/>
            <w:shd w:val="clear" w:color="auto" w:fill="FFFFFF"/>
            <w:lang w:val="en-US" w:eastAsia="en-US" w:bidi="ar-SA"/>
          </w:rPr>
          <w:t>2000 BCPC 191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Further, the plaintiff maintains the defendant committed other criminal offences by intercepting, recording, and publishing her radio based telephone communication: s. 184.5(1)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s. 193.1(1)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and ss. 9(1.1), 9(2) and 9.1 of the </w:t>
      </w:r>
      <w:r>
        <w:rPr>
          <w:rFonts w:ascii="arial" w:eastAsia="arial" w:hAnsi="arial" w:cs="arial"/>
          <w:b/>
          <w:i/>
          <w:color w:val="000000"/>
          <w:sz w:val="20"/>
          <w:lang w:val="en-US" w:eastAsia="en-US" w:bidi="ar-SA"/>
        </w:rPr>
        <w:t>Radiocommunication Act,</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R.S.C. 1985, c. R-2</w:t>
        </w:r>
      </w:hyperlink>
      <w:r>
        <w:rPr>
          <w:rFonts w:ascii="arial" w:eastAsia="arial" w:hAnsi="arial" w:cs="arial"/>
          <w:color w:val="000000"/>
          <w:sz w:val="20"/>
          <w:lang w:val="en-US" w:eastAsia="en-US" w:bidi="ar-SA"/>
        </w:rPr>
        <w:t xml:space="preserve">. See, </w:t>
      </w:r>
      <w:r>
        <w:rPr>
          <w:rFonts w:ascii="arial" w:eastAsia="arial" w:hAnsi="arial" w:cs="arial"/>
          <w:b/>
          <w:i/>
          <w:color w:val="000000"/>
          <w:sz w:val="20"/>
          <w:lang w:val="en-US" w:eastAsia="en-US" w:bidi="ar-SA"/>
        </w:rPr>
        <w:t>Watts</w:t>
      </w:r>
      <w:r>
        <w:rPr>
          <w:rFonts w:ascii="arial" w:eastAsia="arial" w:hAnsi="arial" w:cs="arial"/>
          <w:color w:val="000000"/>
          <w:sz w:val="20"/>
          <w:lang w:val="en-US" w:eastAsia="en-US" w:bidi="ar-SA"/>
        </w:rPr>
        <w:t xml:space="preserve"> at paras. 17 and 18. Accordingly, the defendant's conduct constituted an unwarranted violation of the plaintiff's privacy which is actionable without proof of damages under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Alternately, the plaintiff argues the defendant's actions were an invasion of privacy at common law: </w:t>
      </w:r>
      <w:r>
        <w:rPr>
          <w:rFonts w:ascii="arial" w:eastAsia="arial" w:hAnsi="arial" w:cs="arial"/>
          <w:b/>
          <w:i/>
          <w:color w:val="000000"/>
          <w:sz w:val="20"/>
          <w:lang w:val="en-US" w:eastAsia="en-US" w:bidi="ar-SA"/>
        </w:rPr>
        <w:t>Saccone v. Orr</w:t>
      </w:r>
      <w:r>
        <w:rPr>
          <w:rFonts w:ascii="arial" w:eastAsia="arial" w:hAnsi="arial" w:cs="arial"/>
          <w:color w:val="000000"/>
          <w:sz w:val="20"/>
          <w:lang w:val="en-US" w:eastAsia="en-US" w:bidi="ar-SA"/>
        </w:rPr>
        <w:t xml:space="preserve"> </w:t>
      </w:r>
      <w:hyperlink r:id="rId40" w:history="1">
        <w:r>
          <w:rPr>
            <w:rFonts w:ascii="arial" w:eastAsia="arial" w:hAnsi="arial" w:cs="arial"/>
            <w:i/>
            <w:color w:val="0077CC"/>
            <w:sz w:val="20"/>
            <w:u w:val="single"/>
            <w:shd w:val="clear" w:color="auto" w:fill="FFFFFF"/>
            <w:lang w:val="en-US" w:eastAsia="en-US" w:bidi="ar-SA"/>
          </w:rPr>
          <w:t>(1982), 34 O.R. (2d) 317</w:t>
        </w:r>
      </w:hyperlink>
      <w:r>
        <w:rPr>
          <w:rFonts w:ascii="arial" w:eastAsia="arial" w:hAnsi="arial" w:cs="arial"/>
          <w:color w:val="000000"/>
          <w:sz w:val="20"/>
          <w:lang w:val="en-US" w:eastAsia="en-US" w:bidi="ar-SA"/>
        </w:rPr>
        <w:t xml:space="preserve"> (Ont. Co.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codifies the tort of invasion of privacy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 1(1) It is a tort, actionable without proof of damage, for a person to wilfully and without a claim of right, to violate the privacy of another.</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degree of privacy to which a person is entitled in a situation or in relation to a matter is that which is reasonable in the circumstances, giving due regard to the lawful interests of others.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the act or conduct of a person is a violation of another's privacy, regard must be given to the nature, incidence and occasion of the act or conduct and to any domestic or other relationship between the parties.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limiting subsections (1) to (3), privacy may be violated by eavesdropping or surveillance, whether or not accomplished by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 accept the defendant's argument that the interception of a communication on a cordless telephone that is not encrypted to preclude reception by a scanner is likely excluded from the definition of private communication found in s. 183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This was the also the conclusion of Errico J. in </w:t>
      </w:r>
      <w:r>
        <w:rPr>
          <w:rFonts w:ascii="arial" w:eastAsia="arial" w:hAnsi="arial" w:cs="arial"/>
          <w:b/>
          <w:i/>
          <w:color w:val="000000"/>
          <w:sz w:val="20"/>
          <w:lang w:val="en-US" w:eastAsia="en-US" w:bidi="ar-SA"/>
        </w:rPr>
        <w:t>Penna</w:t>
      </w:r>
      <w:r>
        <w:rPr>
          <w:rFonts w:ascii="arial" w:eastAsia="arial" w:hAnsi="arial" w:cs="arial"/>
          <w:color w:val="000000"/>
          <w:sz w:val="20"/>
          <w:lang w:val="en-US" w:eastAsia="en-US" w:bidi="ar-SA"/>
        </w:rPr>
        <w:t xml:space="preserve"> which was followed by Judge Angelomatis in </w:t>
      </w:r>
      <w:r>
        <w:rPr>
          <w:rFonts w:ascii="arial" w:eastAsia="arial" w:hAnsi="arial" w:cs="arial"/>
          <w:b/>
          <w:i/>
          <w:color w:val="000000"/>
          <w:sz w:val="20"/>
          <w:lang w:val="en-US" w:eastAsia="en-US" w:bidi="ar-SA"/>
        </w:rPr>
        <w:t>Watts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criminal definition of private communication is not, however, dispositive of the issue in the civil context. Proof of the tort of invasion of privacy either at common law or pursuant to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requires consideration of a variety of factors and is highly dependent upon the particular circumstances of each case. As Tysoe J.A. says in </w:t>
      </w:r>
      <w:r>
        <w:rPr>
          <w:rFonts w:ascii="arial" w:eastAsia="arial" w:hAnsi="arial" w:cs="arial"/>
          <w:b/>
          <w:i/>
          <w:color w:val="000000"/>
          <w:sz w:val="20"/>
          <w:lang w:val="en-US" w:eastAsia="en-US" w:bidi="ar-SA"/>
        </w:rPr>
        <w:t>Davis</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constitute the tort [of invasion of privacy] the violation must be committed "wilfully and without a claim of right." The nature and degree of privacy to which the person is entitled in any situation or in relation to any matter is fully set out in s-s. (2) [of the </w:t>
      </w:r>
      <w:r>
        <w:rPr>
          <w:rFonts w:ascii="arial" w:eastAsia="arial" w:hAnsi="arial" w:cs="arial"/>
          <w:i/>
          <w:color w:val="000000"/>
          <w:sz w:val="20"/>
          <w:lang w:val="en-US" w:eastAsia="en-US" w:bidi="ar-SA"/>
        </w:rPr>
        <w:t>Privacy Act</w:t>
      </w:r>
      <w:r>
        <w:rPr>
          <w:rFonts w:ascii="arial" w:eastAsia="arial" w:hAnsi="arial" w:cs="arial"/>
          <w:color w:val="000000"/>
          <w:sz w:val="20"/>
          <w:lang w:val="en-US" w:eastAsia="en-US" w:bidi="ar-SA"/>
        </w:rPr>
        <w:t xml:space="preserve">] and, in my opinion, no useful purpose would be served in attempting to elaborate upon the words contained therein. Regard must be had to the provisions of the subsection as a whole. It is plain that whether there has been a violation of privacy of another must be decided on the particular facts of each case. As the learned Judge below said in his reasons for judgment [ </w:t>
      </w:r>
      <w:hyperlink r:id="rId41" w:history="1">
        <w:r>
          <w:rPr>
            <w:rFonts w:ascii="arial" w:eastAsia="arial" w:hAnsi="arial" w:cs="arial"/>
            <w:i/>
            <w:color w:val="0077CC"/>
            <w:sz w:val="20"/>
            <w:u w:val="single"/>
            <w:shd w:val="clear" w:color="auto" w:fill="FFFFFF"/>
            <w:lang w:val="en-US" w:eastAsia="en-US" w:bidi="ar-SA"/>
          </w:rPr>
          <w:t>10 D.L.R. (3d) 250</w:t>
        </w:r>
      </w:hyperlink>
      <w:r>
        <w:rPr>
          <w:rFonts w:ascii="arial" w:eastAsia="arial" w:hAnsi="arial" w:cs="arial"/>
          <w:color w:val="000000"/>
          <w:sz w:val="20"/>
          <w:lang w:val="en-US" w:eastAsia="en-US" w:bidi="ar-SA"/>
        </w:rPr>
        <w:t xml:space="preserve"> at p. 255, </w:t>
      </w:r>
      <w:hyperlink r:id="rId41" w:history="1">
        <w:r>
          <w:rPr>
            <w:rFonts w:ascii="arial" w:eastAsia="arial" w:hAnsi="arial" w:cs="arial"/>
            <w:i/>
            <w:color w:val="0077CC"/>
            <w:sz w:val="20"/>
            <w:u w:val="single"/>
            <w:shd w:val="clear" w:color="auto" w:fill="FFFFFF"/>
            <w:lang w:val="en-US" w:eastAsia="en-US" w:bidi="ar-SA"/>
          </w:rPr>
          <w:t>72 W.W.R. 69</w:t>
        </w:r>
      </w:hyperlink>
      <w:r>
        <w:rPr>
          <w:rFonts w:ascii="arial" w:eastAsia="arial" w:hAnsi="arial" w:cs="arial"/>
          <w:color w:val="000000"/>
          <w:sz w:val="20"/>
          <w:lang w:val="en-US" w:eastAsia="en-US" w:bidi="ar-SA"/>
        </w:rPr>
        <w:t>]: "It is necessary to consider all of the circumstances before determining 'The nature and degree of privacy to which a person is entitled,' s. 2(2)." (at 255)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term "wilfully" as used in s. 1 of the Privacy Act has been interpreted to mean an "intention to do an act which the person doing the act knew or ought to have known would violate the privacy of another person": </w:t>
      </w:r>
      <w:r>
        <w:rPr>
          <w:rFonts w:ascii="arial" w:eastAsia="arial" w:hAnsi="arial" w:cs="arial"/>
          <w:b/>
          <w:i/>
          <w:color w:val="000000"/>
          <w:sz w:val="20"/>
          <w:lang w:val="en-US" w:eastAsia="en-US" w:bidi="ar-SA"/>
        </w:rPr>
        <w:t>Hollingsworth v. BCTV, A Division of Westcom TV. Group Ltd.</w:t>
      </w:r>
      <w:r>
        <w:rPr>
          <w:rFonts w:ascii="arial" w:eastAsia="arial" w:hAnsi="arial" w:cs="arial"/>
          <w:color w:val="000000"/>
          <w:sz w:val="20"/>
          <w:lang w:val="en-US" w:eastAsia="en-US" w:bidi="ar-SA"/>
        </w:rPr>
        <w:t xml:space="preserve"> </w:t>
      </w:r>
      <w:hyperlink r:id="rId42" w:history="1">
        <w:r>
          <w:rPr>
            <w:rFonts w:ascii="arial" w:eastAsia="arial" w:hAnsi="arial" w:cs="arial"/>
            <w:i/>
            <w:color w:val="0077CC"/>
            <w:sz w:val="20"/>
            <w:u w:val="single"/>
            <w:shd w:val="clear" w:color="auto" w:fill="FFFFFF"/>
            <w:lang w:val="en-US" w:eastAsia="en-US" w:bidi="ar-SA"/>
          </w:rPr>
          <w:t>[1998] B.C.J. No. 2451</w:t>
        </w:r>
      </w:hyperlink>
      <w:r>
        <w:rPr>
          <w:rFonts w:ascii="arial" w:eastAsia="arial" w:hAnsi="arial" w:cs="arial"/>
          <w:color w:val="000000"/>
          <w:sz w:val="20"/>
          <w:lang w:val="en-US" w:eastAsia="en-US" w:bidi="ar-SA"/>
        </w:rPr>
        <w:t xml:space="preserve"> (BCCA) at para.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There is no question that Mr. Klaemt acted intentionally; he deliberately set up a system using a scanner and a tape recorder to monitor all of the cordless telephone conversations that occurred within the home of Ms. Watts' daughter. There was no effort made to listen to only those conversations that concerned Mr. Klaemt or his wife. There was no effort made to tape record only those conversations that involved some kind of threat to his personal safety or the security of his property. Mr. Klaemt gave no thought to the fact that he was eavesdropping on telephone conversations that involved persons such as Ms. Watts who were not involved, to the slightest degree, in D.I.'s campaign to make his neighbour's life miserable. Thus in no way can Mr. Klaemt's eavesdropping be regarded as accidental or unintentional.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addition, I find Mr. Klaemt committed these intentional acts in circumstances in which he knew or ought to have known he was violating Ms. Watts' privacy. Indeed, it must have been obvious to Mr. Klaemt that he was intercepting extremely personal conversations between Ms. Watts and her daughter and son-in-law.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Further, leaving aside any defence Mr. Klaemt may have under s. 2(2)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it cannot be said that he had any "claim of right" to eavesdrop and record Ms. Watts' telephone conversations. In </w:t>
      </w:r>
      <w:r>
        <w:rPr>
          <w:rFonts w:ascii="arial" w:eastAsia="arial" w:hAnsi="arial" w:cs="arial"/>
          <w:b/>
          <w:i/>
          <w:color w:val="000000"/>
          <w:sz w:val="20"/>
          <w:lang w:val="en-US" w:eastAsia="en-US" w:bidi="ar-SA"/>
        </w:rPr>
        <w:t>Davis,</w:t>
      </w:r>
      <w:r>
        <w:rPr>
          <w:rFonts w:ascii="arial" w:eastAsia="arial" w:hAnsi="arial" w:cs="arial"/>
          <w:color w:val="000000"/>
          <w:sz w:val="20"/>
          <w:lang w:val="en-US" w:eastAsia="en-US" w:bidi="ar-SA"/>
        </w:rPr>
        <w:t xml:space="preserve"> it was held that a private investigator, although licensed to carry on such a business, was not acting under a claim of right when he purportedly breached the plaintiff's privacy. As a private citizen, who is not acting under any contractual or statutory authorization, Mr. Klaemt is in no better position than a private investigator. Moreover, there is no evidence that Mr. Klaemt was acting under an honest belief in a state of facts that, if true, would have provided him with a legal justification for monitoring and taping Ms. Watts' telephone conversations. This meaning for "claim of right" was adopted by the BC Court of Appeal in </w:t>
      </w:r>
      <w:r>
        <w:rPr>
          <w:rFonts w:ascii="arial" w:eastAsia="arial" w:hAnsi="arial" w:cs="arial"/>
          <w:b/>
          <w:i/>
          <w:color w:val="000000"/>
          <w:sz w:val="20"/>
          <w:lang w:val="en-US" w:eastAsia="en-US" w:bidi="ar-SA"/>
        </w:rPr>
        <w:t>Hollinsworth</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Having regard to the factors set out in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I find that Mr. Klaemt violated Ms. Watts' privacy when he eavesdropped on her telephone conversations with her daughter and D.I., tape recorded those conversations, and published them to a third party. Mr. Klaemt's purpose in listening to telephone conversations going on in D.I.'s home had nothing to do with Ms. Watts. Ms. Watts was not involved in Mr. Klaemt's dispute with D.I. Mr. Klaemt had no legal right to surreptitiously listen to and record Ms. Watts' telephone conversations with her daughter, D.I. or anyone else. Moreover, Mr. Klaemt's eavesdropping occurred for a lengthy period of time and was continuous; he listened and recorded seven days per week, twenty-four hours per day and he disseminated copies of the recordings.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find that Ms. Watts had a reasonable expectation of privacy when she telephoned her daughter's home notwithstanding they may have received the communication over a cordless telephone. Ms. Watts made the calls in the privacy of her own home and while in her office with the door closed; these calls were not made in a public place where they could easily be overheard. Ms. Watts' daughter and D.I. received the communications while inside their home under a corresponding expectation of privacy. While it may be that anyone with a scanner could "pick up" a radio signal coming from the early models of the cordless telephone, the expectation must be that such a person would immediately stop listening once the fact of the interception became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Mr. Klaemt's wrongful actions did not stop at eavesdropping. He tape recorded Ms. Watts' telephone conversations thereby making a permanent record of them and then made them public by disclosing the tapes to Ms. Watts' employer. In doing so Mr. Klaemt committed two criminal offences. He unlawfully intercepted a radio-based communication by means of a mechanical device contrary to s. 184.5(1)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and he wilfully disclosed a radio-based telephone communication without the consent of the parties to the communication contrary to s. 193.1(1) of the </w:t>
      </w:r>
      <w:r>
        <w:rPr>
          <w:rFonts w:ascii="arial" w:eastAsia="arial" w:hAnsi="arial" w:cs="arial"/>
          <w:b/>
          <w:i/>
          <w:color w:val="000000"/>
          <w:sz w:val="20"/>
          <w:lang w:val="en-US" w:eastAsia="en-US" w:bidi="ar-SA"/>
        </w:rPr>
        <w:t>Criminal Code</w:t>
      </w:r>
      <w:r>
        <w:rPr>
          <w:rFonts w:ascii="arial" w:eastAsia="arial" w:hAnsi="arial" w:cs="arial"/>
          <w:color w:val="000000"/>
          <w:sz w:val="20"/>
          <w:lang w:val="en-US" w:eastAsia="en-US" w:bidi="ar-SA"/>
        </w:rPr>
        <w:t xml:space="preserve">. Neither of these provisions depends upon the definition of private communication found in s. 183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My conclusions in this regard are consistent with the findings of Judge Angelomatis in </w:t>
      </w:r>
      <w:r>
        <w:rPr>
          <w:rFonts w:ascii="arial" w:eastAsia="arial" w:hAnsi="arial" w:cs="arial"/>
          <w:b/>
          <w:i/>
          <w:color w:val="000000"/>
          <w:sz w:val="20"/>
          <w:lang w:val="en-US" w:eastAsia="en-US" w:bidi="ar-SA"/>
        </w:rPr>
        <w:t>Watts</w:t>
      </w:r>
      <w:r>
        <w:rPr>
          <w:rFonts w:ascii="arial" w:eastAsia="arial" w:hAnsi="arial" w:cs="arial"/>
          <w:color w:val="000000"/>
          <w:sz w:val="20"/>
          <w:lang w:val="en-US" w:eastAsia="en-US" w:bidi="ar-SA"/>
        </w:rPr>
        <w:t>. In that case, the criminal charge brought against Ms. Watts alleging a criminal breach of trust in regard to her employer was judicially stayed because the only evidence against her stemmed from the unlawful acts of Mr. Klaemt. It is instructive to quote extensively from this judgment: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getting the upper hand, Mr. Klaemt, who had electronic technician expertise, seized upon the possibility of monitoring the activities of his next-door neighbours. I find that he did not do so maliciously to begin with. However, regardless of how he felt, I do find that he did it for his own advantage, his own benefit, for his own gain ... It went to the point where he, in fact, was able to spy on every facet of the Imeson's life that involved telecommunications through a telephone.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his evidence, and the fashion in which he gave it, showed that he was far from a simple passive, frightened member of society. He also took to war with Mr. Imeson. He reported Mr. Imeson when he left his parties driving in a fashion Mr. Klaemt thought would give rise to drunk driving. He reported Mr. Imeson for the threats and the harassment ... He went to the Ministry of Social Services, gave them information relating to the children ... of the Imesons. He went, ultimately, to the Ministry of Social Services and gave them information that resulted in the present charges. These were done in a fashion that, although not malicious, clearly was done so he would get one up on Mr. Imeson; either drive him out of there, get him arrested ...</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[he] Subsequently adapted or utilized the scanner in such a fashion that it became voice activated. ... he had 25 tapes of anywhere from 60 to 90 minutes long.</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happened is he did commit, in my opinion, a criminal offence, and that is that he, contrary to section 184.5(1), intercepted, by way of electro-magnetic, acoustic, mechanical or other device, maliciously or for gain, a radio-based telephone communication. There is no doubt that the telephone calls were radio-based telephone communications, and there is no doubt in my mind that it was for gain.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then, contrary to section 193(1), disseminated or disclosed that information without the express consent of the originator thereof or the person intended by the originator thereof to receive it, and used it in such a manner that, again, he breached the Criminal Code (at paras. 14-18).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While there is an exception for disclosures to peace officers in the offence of publication described in s. 193 of the </w:t>
      </w:r>
      <w:r>
        <w:rPr>
          <w:rFonts w:ascii="arial" w:eastAsia="arial" w:hAnsi="arial" w:cs="arial"/>
          <w:b/>
          <w:i/>
          <w:color w:val="000000"/>
          <w:sz w:val="20"/>
          <w:lang w:val="en-US" w:eastAsia="en-US" w:bidi="ar-SA"/>
        </w:rPr>
        <w:t>Code</w:t>
      </w:r>
      <w:r>
        <w:rPr>
          <w:rFonts w:ascii="arial" w:eastAsia="arial" w:hAnsi="arial" w:cs="arial"/>
          <w:color w:val="000000"/>
          <w:sz w:val="20"/>
          <w:lang w:val="en-US" w:eastAsia="en-US" w:bidi="ar-SA"/>
        </w:rPr>
        <w:t xml:space="preserve">, Mr. Klaemt agreed that he did not think he was giving the tapes over to the police when he deposited them with Ministry representatives. This is also consistent with the findings in </w:t>
      </w:r>
      <w:r>
        <w:rPr>
          <w:rFonts w:ascii="arial" w:eastAsia="arial" w:hAnsi="arial" w:cs="arial"/>
          <w:b/>
          <w:i/>
          <w:color w:val="000000"/>
          <w:sz w:val="20"/>
          <w:lang w:val="en-US" w:eastAsia="en-US" w:bidi="ar-SA"/>
        </w:rPr>
        <w:t>Watts</w:t>
      </w:r>
      <w:r>
        <w:rPr>
          <w:rFonts w:ascii="arial" w:eastAsia="arial" w:hAnsi="arial" w:cs="arial"/>
          <w:color w:val="000000"/>
          <w:sz w:val="20"/>
          <w:lang w:val="en-US" w:eastAsia="en-US" w:bidi="ar-SA"/>
        </w:rPr>
        <w:t xml:space="preserve"> at paras. 19-20 where Judge Angelomatis held that none of the Ministry staff who received the tapes from Mr. Klaemt were peace officers at the relevant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 agree with Judge Angelomatis' conclusions and the evidence before him is essentially the same as the evidence before this Court. Further, I am in agreement with the plaintiff that it would be an abuse of process to re-litigate these issues in this or any subsequent proceedings: </w:t>
      </w:r>
      <w:r>
        <w:rPr>
          <w:rFonts w:ascii="arial" w:eastAsia="arial" w:hAnsi="arial" w:cs="arial"/>
          <w:b/>
          <w:i/>
          <w:color w:val="000000"/>
          <w:sz w:val="20"/>
          <w:lang w:val="en-US" w:eastAsia="en-US" w:bidi="ar-SA"/>
        </w:rPr>
        <w:t>Toronto (City) v. Canadian Union of Public Employees</w:t>
      </w:r>
      <w:r>
        <w:rPr>
          <w:rFonts w:ascii="arial" w:eastAsia="arial" w:hAnsi="arial" w:cs="arial"/>
          <w:color w:val="000000"/>
          <w:sz w:val="20"/>
          <w:lang w:val="en-US" w:eastAsia="en-US" w:bidi="ar-SA"/>
        </w:rPr>
        <w:t xml:space="preserve"> (C.U.P.E.) Local 79, </w:t>
      </w:r>
      <w:hyperlink r:id="rId43" w:history="1">
        <w:r>
          <w:rPr>
            <w:rFonts w:ascii="arial" w:eastAsia="arial" w:hAnsi="arial" w:cs="arial"/>
            <w:i/>
            <w:color w:val="0077CC"/>
            <w:sz w:val="20"/>
            <w:u w:val="single"/>
            <w:shd w:val="clear" w:color="auto" w:fill="FFFFFF"/>
            <w:lang w:val="en-US" w:eastAsia="en-US" w:bidi="ar-SA"/>
          </w:rPr>
          <w:t>[2003] 3 S.C.R. 77</w:t>
        </w:r>
      </w:hyperlink>
      <w:r>
        <w:rPr>
          <w:rFonts w:ascii="arial" w:eastAsia="arial" w:hAnsi="arial" w:cs="arial"/>
          <w:color w:val="000000"/>
          <w:sz w:val="20"/>
          <w:lang w:val="en-US" w:eastAsia="en-US" w:bidi="ar-SA"/>
        </w:rPr>
        <w:t xml:space="preserve">, </w:t>
      </w:r>
      <w:hyperlink r:id="rId43" w:history="1">
        <w:r>
          <w:rPr>
            <w:rFonts w:ascii="arial" w:eastAsia="arial" w:hAnsi="arial" w:cs="arial"/>
            <w:i/>
            <w:color w:val="0077CC"/>
            <w:sz w:val="20"/>
            <w:u w:val="single"/>
            <w:shd w:val="clear" w:color="auto" w:fill="FFFFFF"/>
            <w:lang w:val="en-US" w:eastAsia="en-US" w:bidi="ar-SA"/>
          </w:rPr>
          <w:t>2003 SCC 63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It is also apparent that Mr. Klaemt's actions constituted a violation of the </w:t>
      </w:r>
      <w:r>
        <w:rPr>
          <w:rFonts w:ascii="arial" w:eastAsia="arial" w:hAnsi="arial" w:cs="arial"/>
          <w:b/>
          <w:i/>
          <w:color w:val="000000"/>
          <w:sz w:val="20"/>
          <w:lang w:val="en-US" w:eastAsia="en-US" w:bidi="ar-SA"/>
        </w:rPr>
        <w:t>Radiocommunication Act,</w:t>
      </w:r>
      <w:r>
        <w:rPr>
          <w:rFonts w:ascii="arial" w:eastAsia="arial" w:hAnsi="arial" w:cs="arial"/>
          <w:color w:val="000000"/>
          <w:sz w:val="20"/>
          <w:lang w:val="en-US" w:eastAsia="en-US" w:bidi="ar-SA"/>
        </w:rPr>
        <w:t xml:space="preserve"> </w:t>
      </w:r>
      <w:hyperlink r:id="rId39" w:history="1">
        <w:r>
          <w:rPr>
            <w:rFonts w:ascii="arial" w:eastAsia="arial" w:hAnsi="arial" w:cs="arial"/>
            <w:i/>
            <w:color w:val="0077CC"/>
            <w:sz w:val="20"/>
            <w:u w:val="single"/>
            <w:shd w:val="clear" w:color="auto" w:fill="FFFFFF"/>
            <w:lang w:val="en-US" w:eastAsia="en-US" w:bidi="ar-SA"/>
          </w:rPr>
          <w:t>R.S.C. 1985, c. R-2</w:t>
        </w:r>
      </w:hyperlink>
      <w:r>
        <w:rPr>
          <w:rFonts w:ascii="arial" w:eastAsia="arial" w:hAnsi="arial" w:cs="arial"/>
          <w:color w:val="000000"/>
          <w:sz w:val="20"/>
          <w:lang w:val="en-US" w:eastAsia="en-US" w:bidi="ar-SA"/>
        </w:rPr>
        <w:t xml:space="preserve">. Section 9(1.1)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prohibits the use of or divulging of a radio-based telephone communication unless one party to the conversation consents. Section 9(2)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also makes it an offence to intercept and make use of or divulge any "radiocommunication" without the consent of a party to it. Mr. Klaemt made use of a radio-based communication without consent because the cordless telephone conversations he recorded were made "over an apparatus that is used primarily for connection to a public switched telephone network" as defined by s. 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Further, he wrongfully intercepted such calls in contravention of s. 9(2)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because the cordless telephone is a device that transmits by "electromagnetic waves of frequencies lower than 3000 GHz propagated in space without artificial guide" and thus within the definition of "radiocommunication" found in s. 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Both offences are punishable by summary conviction proceedings with a maximum penalty of one year in jail and a fine of $25,000.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What is even more troubling about Mr. Klaemt's actions is the fact that he is a licensed amateur radio operator and holds a certificate issued pursuant to the </w:t>
      </w:r>
      <w:r>
        <w:rPr>
          <w:rFonts w:ascii="arial" w:eastAsia="arial" w:hAnsi="arial" w:cs="arial"/>
          <w:b/>
          <w:i/>
          <w:color w:val="000000"/>
          <w:sz w:val="20"/>
          <w:lang w:val="en-US" w:eastAsia="en-US" w:bidi="ar-SA"/>
        </w:rPr>
        <w:t>Radiocommunication Act</w:t>
      </w:r>
      <w:r>
        <w:rPr>
          <w:rFonts w:ascii="arial" w:eastAsia="arial" w:hAnsi="arial" w:cs="arial"/>
          <w:color w:val="000000"/>
          <w:sz w:val="20"/>
          <w:lang w:val="en-US" w:eastAsia="en-US" w:bidi="ar-SA"/>
        </w:rPr>
        <w:t xml:space="preserve">. While he feigned any specific knowledge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in cross examination, I found his failure to address the simple questions posed and his denial of any knowledge of the </w:t>
      </w:r>
      <w:r>
        <w:rPr>
          <w:rFonts w:ascii="arial" w:eastAsia="arial" w:hAnsi="arial" w:cs="arial"/>
          <w:b/>
          <w:i/>
          <w:color w:val="000000"/>
          <w:sz w:val="20"/>
          <w:lang w:val="en-US" w:eastAsia="en-US" w:bidi="ar-SA"/>
        </w:rPr>
        <w:t>Act's</w:t>
      </w:r>
      <w:r>
        <w:rPr>
          <w:rFonts w:ascii="arial" w:eastAsia="arial" w:hAnsi="arial" w:cs="arial"/>
          <w:color w:val="000000"/>
          <w:sz w:val="20"/>
          <w:lang w:val="en-US" w:eastAsia="en-US" w:bidi="ar-SA"/>
        </w:rPr>
        <w:t xml:space="preserve"> prohibitions incredible and unworthy of belief. Mr. Klaemt had been an amateur radio operator for many years and had been operating under a certificate issued pursuant to the </w:t>
      </w:r>
      <w:r>
        <w:rPr>
          <w:rFonts w:ascii="arial" w:eastAsia="arial" w:hAnsi="arial" w:cs="arial"/>
          <w:b/>
          <w:i/>
          <w:color w:val="000000"/>
          <w:sz w:val="20"/>
          <w:lang w:val="en-US" w:eastAsia="en-US" w:bidi="ar-SA"/>
        </w:rPr>
        <w:t>Radiocommunication Act.</w:t>
      </w:r>
      <w:r>
        <w:rPr>
          <w:rFonts w:ascii="arial" w:eastAsia="arial" w:hAnsi="arial" w:cs="arial"/>
          <w:color w:val="000000"/>
          <w:sz w:val="20"/>
          <w:lang w:val="en-US" w:eastAsia="en-US" w:bidi="ar-SA"/>
        </w:rPr>
        <w:t xml:space="preserve"> He had a sophisticated knowledge of scanners and other radio wave receivers and he used this expertise to intercept and record Ms. Watts' telephone communications. Thus, I find that he knew or ought to have known that by intercepting and divulging Ms. Watts' communications he was committing a number of offences under the </w:t>
      </w:r>
      <w:r>
        <w:rPr>
          <w:rFonts w:ascii="arial" w:eastAsia="arial" w:hAnsi="arial" w:cs="arial"/>
          <w:b/>
          <w:i/>
          <w:color w:val="000000"/>
          <w:sz w:val="20"/>
          <w:lang w:val="en-US" w:eastAsia="en-US" w:bidi="ar-SA"/>
        </w:rPr>
        <w:t>Radiocommunication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For these reasons I find that Mr. Klaemt violated s. 1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when he intercepted her telephone conversations, listened to the conversations without her consent or the consent of the intended recipient, made a permanent recording of the conversations, and published them to the Ministry of Social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 DOES THE DEFENDANT HAVE A DEFENCE TO THE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Mr. Klaemt raises a number of defences to the plaintiff's action for damages. Mr. Klaemt argues his actions were excused under s. 2(2)(b)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as "incidental to the exercise of a lawful right of defence of person or property". Mr. Klaemt argues that he was entitled to act as he did to protect himself and his property from any further harm by D.I. Mr. Klaemt maintains the past behaviour of D.I., which included physical and emotional threats, indecent exposure, damage to property, and harassment, required him to use all possible means to protect himself. By intercepting D.I.'s conversations Mr. Klaemt would have advance notice of any plans D.I. had to cause him further harm.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Watts argues that Mr. Klaemt's actions were not incidental to a lawful right of defence for two reasons. First, his actions were illegal and no one can use such means to enforce a legal right. Second, while he may have had a right to intercept D.I.'s telephone calls based upon this exception, Mr. Klaemt had no grounds whatsoever to intercept her telephone conversations.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my view, Mr. Klaemt's violation of Ms. Watts' privacy is not protected under s. 2(2)(b)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for several reasons. Regardless of how threatening or frightening D.I.'s conduct was, I find the interception and tape recording of all his telephone calls for a period of over one year went well beyond what could be regarded as "incidental to the exercise of a lawful right of defence of person or property." His actions, in my view, were out of all proportion to the potential danger D.I. represented to either Mr. Klaemt or his property. This is particularly the case when one considers that after D.I. was released on probation there were no further incidents of violence and, indeed, no contact with Mr. Klaemt or his wife. Notwithstanding the lack of any outward signs of aggression, Mr. Klaemt continued to intercept and tape record the telephone conversations for about a year after the probation order was put into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addition, I find that s. 2(2)(b)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does not provide a defence to his actions against Ms. Watts. She was never involved in the feud between Mr. Klaemt and D.I. By indiscriminately intercepting and tape recording all of the telephone communications coming and going from the household, Mr. Klaemt was reckless in regard to the rights of any innocent third parties, and in particular, Ms. Watt's right to have private communications with her daughter and son-in-law.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Finally, s. 2(2)(b) of the </w:t>
      </w:r>
      <w:r>
        <w:rPr>
          <w:rFonts w:ascii="arial" w:eastAsia="arial" w:hAnsi="arial" w:cs="arial"/>
          <w:b/>
          <w:i/>
          <w:color w:val="000000"/>
          <w:sz w:val="20"/>
          <w:lang w:val="en-US" w:eastAsia="en-US" w:bidi="ar-SA"/>
        </w:rPr>
        <w:t>Privacy Act</w:t>
      </w:r>
      <w:r>
        <w:rPr>
          <w:rFonts w:ascii="arial" w:eastAsia="arial" w:hAnsi="arial" w:cs="arial"/>
          <w:color w:val="000000"/>
          <w:sz w:val="20"/>
          <w:lang w:val="en-US" w:eastAsia="en-US" w:bidi="ar-SA"/>
        </w:rPr>
        <w:t xml:space="preserve"> does not provide a defence to the publication of the intercepted telephone communications. This act was clearly not incidental to or necessary for the protection of Mr. Klaemt or his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Klaemt also argues his actions are excused because of the lack of intention to harm Ms. Watts and the fact he acted under a mistaken belief that by disclosing the tapes to the Ministry of Social Services it was the same as taking the tapes to the police. In this regard, Mr. Klaemt maintains he has a defence of "colour of 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If the defence of "colour of right" is applicable to a civil action, I find that Mr. Klaemt was acting under no mistake as to whom he was surrendering the tapes. In cross examination, Mr. Klaemt testified that he brought the tapes to the Ministry because he was furious that someone was giving out information from a confidential letter he had written complaining that D.I. was defrauding the welfare system. Mr. Klaemt felt he had a moral obligation to report to the Ministry the existence of a "spy" in their employ and expected they would act against this person. There was no suggestion in his testimony that he was under any mistaken belief that the Ministry were in essence the same as the RCMP.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Further, I am unable to accept that Mr. Klaemt had no intention to harm Ms. Watts by his disclosure of the tape recorded conversations. The Ministry investigator's report, which Mr. Klaemt agreed was accurate except with regard to the date he purchased the tape recorder, indicates that Mr. Klaemt identified Ms. Watts as the voice on the tape and, further, that he knew she was employed by the Ministry somewhere in the Lower Mainland. In addition, Mr. Klaemt testified that he knew or expected the Ministry would take action against Ms. Watts and that is why he reported the matter to them. Thus, I am unable to accept there was anything but a deliberate and calculated act on the part of Mr. Klaemt.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last defence raised by the defendant is the doctrine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Mr. Klaemt argues that the court will not assist a plaintiff whose action arises out of an illegal or immoral act. In this regard, Mr. Klaemt says Ms. Watts committed a breach of trust in compromising the Ministry's investigation of D.I. and her termination on this ground was upheld by an arbitrator. The revealing of the wrongdoing did not change the fact that she committed this crime or serious employment offence.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support of his position, Mr. Klaemt relies upon </w:t>
      </w:r>
      <w:r>
        <w:rPr>
          <w:rFonts w:ascii="arial" w:eastAsia="arial" w:hAnsi="arial" w:cs="arial"/>
          <w:b/>
          <w:i/>
          <w:color w:val="000000"/>
          <w:sz w:val="20"/>
          <w:lang w:val="en-US" w:eastAsia="en-US" w:bidi="ar-SA"/>
        </w:rPr>
        <w:t>Mack v. Enns</w:t>
      </w:r>
      <w:r>
        <w:rPr>
          <w:rFonts w:ascii="arial" w:eastAsia="arial" w:hAnsi="arial" w:cs="arial"/>
          <w:color w:val="000000"/>
          <w:sz w:val="20"/>
          <w:lang w:val="en-US" w:eastAsia="en-US" w:bidi="ar-SA"/>
        </w:rPr>
        <w:t xml:space="preserve"> </w:t>
      </w:r>
      <w:hyperlink r:id="rId44" w:history="1">
        <w:r>
          <w:rPr>
            <w:rFonts w:ascii="arial" w:eastAsia="arial" w:hAnsi="arial" w:cs="arial"/>
            <w:i/>
            <w:color w:val="0077CC"/>
            <w:sz w:val="20"/>
            <w:u w:val="single"/>
            <w:shd w:val="clear" w:color="auto" w:fill="FFFFFF"/>
            <w:lang w:val="en-US" w:eastAsia="en-US" w:bidi="ar-SA"/>
          </w:rPr>
          <w:t>(1981) 30 B.C.L.R. 337</w:t>
        </w:r>
      </w:hyperlink>
      <w:r>
        <w:rPr>
          <w:rFonts w:ascii="arial" w:eastAsia="arial" w:hAnsi="arial" w:cs="arial"/>
          <w:color w:val="000000"/>
          <w:sz w:val="20"/>
          <w:lang w:val="en-US" w:eastAsia="en-US" w:bidi="ar-SA"/>
        </w:rPr>
        <w:t xml:space="preserve"> at 344, var'd 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w:t>
      </w:r>
      <w:hyperlink r:id="rId45" w:history="1">
        <w:r>
          <w:rPr>
            <w:rFonts w:ascii="arial" w:eastAsia="arial" w:hAnsi="arial" w:cs="arial"/>
            <w:i/>
            <w:color w:val="0077CC"/>
            <w:sz w:val="20"/>
            <w:u w:val="single"/>
            <w:shd w:val="clear" w:color="auto" w:fill="FFFFFF"/>
            <w:lang w:val="en-US" w:eastAsia="en-US" w:bidi="ar-SA"/>
          </w:rPr>
          <w:t>(1983) 44 B.C.L.R. 145</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Hall v. Hebert</w:t>
      </w:r>
      <w:r>
        <w:rPr>
          <w:rFonts w:ascii="arial" w:eastAsia="arial" w:hAnsi="arial" w:cs="arial"/>
          <w:color w:val="000000"/>
          <w:sz w:val="20"/>
          <w:lang w:val="en-US" w:eastAsia="en-US" w:bidi="ar-SA"/>
        </w:rPr>
        <w:t xml:space="preserve"> </w:t>
      </w:r>
      <w:hyperlink r:id="rId46" w:history="1">
        <w:r>
          <w:rPr>
            <w:rFonts w:ascii="arial" w:eastAsia="arial" w:hAnsi="arial" w:cs="arial"/>
            <w:i/>
            <w:color w:val="0077CC"/>
            <w:sz w:val="20"/>
            <w:u w:val="single"/>
            <w:shd w:val="clear" w:color="auto" w:fill="FFFFFF"/>
            <w:lang w:val="en-US" w:eastAsia="en-US" w:bidi="ar-SA"/>
          </w:rPr>
          <w:t>(1991), 53 B.C.L.R. (2d) 201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Stoneman v. Gladman</w:t>
      </w:r>
      <w:r>
        <w:rPr>
          <w:rFonts w:ascii="arial" w:eastAsia="arial" w:hAnsi="arial" w:cs="arial"/>
          <w:color w:val="000000"/>
          <w:sz w:val="20"/>
          <w:lang w:val="en-US" w:eastAsia="en-US" w:bidi="ar-SA"/>
        </w:rPr>
        <w:t xml:space="preserve"> </w:t>
      </w:r>
      <w:hyperlink r:id="rId47" w:history="1">
        <w:r>
          <w:rPr>
            <w:rFonts w:ascii="arial" w:eastAsia="arial" w:hAnsi="arial" w:cs="arial"/>
            <w:i/>
            <w:color w:val="0077CC"/>
            <w:sz w:val="20"/>
            <w:u w:val="single"/>
            <w:shd w:val="clear" w:color="auto" w:fill="FFFFFF"/>
            <w:lang w:val="en-US" w:eastAsia="en-US" w:bidi="ar-SA"/>
          </w:rPr>
          <w:t>(2005), 45 C.C.E.L. (3d) 309</w:t>
        </w:r>
      </w:hyperlink>
      <w:r>
        <w:rPr>
          <w:rFonts w:ascii="arial" w:eastAsia="arial" w:hAnsi="arial" w:cs="arial"/>
          <w:color w:val="000000"/>
          <w:sz w:val="20"/>
          <w:lang w:val="en-US" w:eastAsia="en-US" w:bidi="ar-SA"/>
        </w:rPr>
        <w:t xml:space="preserve"> (Ont. S.C.), </w:t>
      </w:r>
      <w:r>
        <w:rPr>
          <w:rFonts w:ascii="arial" w:eastAsia="arial" w:hAnsi="arial" w:cs="arial"/>
          <w:b/>
          <w:i/>
          <w:color w:val="000000"/>
          <w:sz w:val="20"/>
          <w:lang w:val="en-US" w:eastAsia="en-US" w:bidi="ar-SA"/>
        </w:rPr>
        <w:t>Iannone v. Hoogeraad</w:t>
      </w:r>
      <w:r>
        <w:rPr>
          <w:rFonts w:ascii="arial" w:eastAsia="arial" w:hAnsi="arial" w:cs="arial"/>
          <w:color w:val="000000"/>
          <w:sz w:val="20"/>
          <w:lang w:val="en-US" w:eastAsia="en-US" w:bidi="ar-SA"/>
        </w:rPr>
        <w:t xml:space="preserve"> </w:t>
      </w:r>
      <w:hyperlink r:id="rId48" w:history="1">
        <w:r>
          <w:rPr>
            <w:rFonts w:ascii="arial" w:eastAsia="arial" w:hAnsi="arial" w:cs="arial"/>
            <w:i/>
            <w:color w:val="0077CC"/>
            <w:sz w:val="20"/>
            <w:u w:val="single"/>
            <w:shd w:val="clear" w:color="auto" w:fill="FFFFFF"/>
            <w:lang w:val="en-US" w:eastAsia="en-US" w:bidi="ar-SA"/>
          </w:rPr>
          <w:t>(1992), 66 B.C.L.R. (2d) 106</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Regina v. Fischer,</w:t>
      </w:r>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[2004] B.C.J. No. 2734</w:t>
        </w:r>
      </w:hyperlink>
      <w:r>
        <w:rPr>
          <w:rFonts w:ascii="arial" w:eastAsia="arial" w:hAnsi="arial" w:cs="arial"/>
          <w:color w:val="000000"/>
          <w:sz w:val="20"/>
          <w:lang w:val="en-US" w:eastAsia="en-US" w:bidi="ar-SA"/>
        </w:rPr>
        <w:t xml:space="preserve">, </w:t>
      </w:r>
      <w:hyperlink r:id="rId49" w:history="1">
        <w:r>
          <w:rPr>
            <w:rFonts w:ascii="arial" w:eastAsia="arial" w:hAnsi="arial" w:cs="arial"/>
            <w:i/>
            <w:color w:val="0077CC"/>
            <w:sz w:val="20"/>
            <w:u w:val="single"/>
            <w:shd w:val="clear" w:color="auto" w:fill="FFFFFF"/>
            <w:lang w:val="en-US" w:eastAsia="en-US" w:bidi="ar-SA"/>
          </w:rPr>
          <w:t>2004 BCCA 654</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Baird v. BC</w:t>
      </w:r>
      <w:r>
        <w:rPr>
          <w:rFonts w:ascii="arial" w:eastAsia="arial" w:hAnsi="arial" w:cs="arial"/>
          <w:color w:val="000000"/>
          <w:sz w:val="20"/>
          <w:lang w:val="en-US" w:eastAsia="en-US" w:bidi="ar-SA"/>
        </w:rPr>
        <w:t xml:space="preserve"> </w:t>
      </w:r>
      <w:hyperlink r:id="rId50" w:history="1">
        <w:r>
          <w:rPr>
            <w:rFonts w:ascii="arial" w:eastAsia="arial" w:hAnsi="arial" w:cs="arial"/>
            <w:i/>
            <w:color w:val="0077CC"/>
            <w:sz w:val="20"/>
            <w:u w:val="single"/>
            <w:shd w:val="clear" w:color="auto" w:fill="FFFFFF"/>
            <w:lang w:val="en-US" w:eastAsia="en-US" w:bidi="ar-SA"/>
          </w:rPr>
          <w:t>(1992), 17 B.C.A.C. 315</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plaintiff argues the doctrine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is inapplicable on the facts of this case. Ms. Watts maintains the authorities applying this principle are generally ones where the plaintiff seeks the return of property obtained illegally. Here Ms. Watts seeks damages for the defendant's wrongful conduct which led to her dismissal and the criminal charges against her. The doctrine would only be applicable if Ms. Watts used the confidential information to procure a benefit and then sued to recover that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pre-conditions to the application of the doctrine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are concisely described by McLachlin J. (as she then was) in </w:t>
      </w:r>
      <w:r>
        <w:rPr>
          <w:rFonts w:ascii="arial" w:eastAsia="arial" w:hAnsi="arial" w:cs="arial"/>
          <w:b/>
          <w:i/>
          <w:color w:val="000000"/>
          <w:sz w:val="20"/>
          <w:lang w:val="en-US" w:eastAsia="en-US" w:bidi="ar-SA"/>
        </w:rPr>
        <w:t>Mandzuk v. Vierira,</w:t>
      </w:r>
      <w:r>
        <w:rPr>
          <w:rFonts w:ascii="arial" w:eastAsia="arial" w:hAnsi="arial" w:cs="arial"/>
          <w:color w:val="000000"/>
          <w:sz w:val="20"/>
          <w:lang w:val="en-US" w:eastAsia="en-US" w:bidi="ar-SA"/>
        </w:rPr>
        <w:t xml:space="preserve"> </w:t>
      </w:r>
      <w:hyperlink r:id="rId51" w:history="1">
        <w:r>
          <w:rPr>
            <w:rFonts w:ascii="arial" w:eastAsia="arial" w:hAnsi="arial" w:cs="arial"/>
            <w:i/>
            <w:color w:val="0077CC"/>
            <w:sz w:val="20"/>
            <w:u w:val="single"/>
            <w:shd w:val="clear" w:color="auto" w:fill="FFFFFF"/>
            <w:lang w:val="en-US" w:eastAsia="en-US" w:bidi="ar-SA"/>
          </w:rPr>
          <w:t>[1983] B.C.J. No. 1476</w:t>
        </w:r>
      </w:hyperlink>
      <w:r>
        <w:rPr>
          <w:rFonts w:ascii="arial" w:eastAsia="arial" w:hAnsi="arial" w:cs="arial"/>
          <w:color w:val="000000"/>
          <w:sz w:val="20"/>
          <w:lang w:val="en-US" w:eastAsia="en-US" w:bidi="ar-SA"/>
        </w:rPr>
        <w:t xml:space="preserve"> (S.C.) (QL) at para. 17:</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must have been engaged in a course of conduct or intended course of conduct which was clearly reprehensible, typically in breach of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of Canada.</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must be some connection (not necessarily direct causative) between the criminal activity and the loss or injury.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foregoing requirements, while necessary, are not alone sufficient to justify application of the doctrine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The court must in addition be satisfied that the offence is sufficiently reprehensible and its connection with the injury sufficiently close that he [the plaintiff] should be disentitled to the assistance of a court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leading authority on the application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to actions brought in tort is </w:t>
      </w:r>
      <w:r>
        <w:rPr>
          <w:rFonts w:ascii="arial" w:eastAsia="arial" w:hAnsi="arial" w:cs="arial"/>
          <w:b/>
          <w:i/>
          <w:color w:val="000000"/>
          <w:sz w:val="20"/>
          <w:lang w:val="en-US" w:eastAsia="en-US" w:bidi="ar-SA"/>
        </w:rPr>
        <w:t>Hall v. Hebert,</w:t>
      </w:r>
      <w:r>
        <w:rPr>
          <w:rFonts w:ascii="arial" w:eastAsia="arial" w:hAnsi="arial" w:cs="arial"/>
          <w:color w:val="000000"/>
          <w:sz w:val="20"/>
          <w:lang w:val="en-US" w:eastAsia="en-US" w:bidi="ar-SA"/>
        </w:rPr>
        <w:t xml:space="preserve"> </w:t>
      </w:r>
      <w:hyperlink r:id="rId52" w:history="1">
        <w:r>
          <w:rPr>
            <w:rFonts w:ascii="arial" w:eastAsia="arial" w:hAnsi="arial" w:cs="arial"/>
            <w:i/>
            <w:color w:val="0077CC"/>
            <w:sz w:val="20"/>
            <w:u w:val="single"/>
            <w:shd w:val="clear" w:color="auto" w:fill="FFFFFF"/>
            <w:lang w:val="en-US" w:eastAsia="en-US" w:bidi="ar-SA"/>
          </w:rPr>
          <w:t>[1993] 2 S.C.R. 159</w:t>
        </w:r>
      </w:hyperlink>
      <w:r>
        <w:rPr>
          <w:rFonts w:ascii="arial" w:eastAsia="arial" w:hAnsi="arial" w:cs="arial"/>
          <w:color w:val="000000"/>
          <w:sz w:val="20"/>
          <w:lang w:val="en-US" w:eastAsia="en-US" w:bidi="ar-SA"/>
        </w:rPr>
        <w:t>. In that case a majority of the Supreme Court of Canada held that the underlying rationale for the application of the doctrine is to preserve the integrity of the justice system by denying civil remedies to those who have committed criminal or immoral acts in circumstances where the law, in effect, would be giving with the right hand what it took from the left hand. The application of this doctrine to tort claims is strictly limited, however, as described by Madame Justice McLachlin (as she then was) at para. 25: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conclude that there is a need in the law of tort for a principle which permits judges to deny recovery to a plaintiff on the ground that to do so would undermine the integrity of the justice system. The power is a limited one. Its use is justified where allowing the plaintiff's claim would either introduce inconsistency into the fabric of the law, either by permitting the plaintiff to profit from an illegal or wrongful act, or to evade a penalty prescribed by criminal law. Its use is not justified where the plaintiff's claim is merely for compensation for personal injuries sustained as a consequence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onus of proof with respect to the application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rests with the defendant, as articulated by McLachlin J. in the </w:t>
      </w:r>
      <w:r>
        <w:rPr>
          <w:rFonts w:ascii="arial" w:eastAsia="arial" w:hAnsi="arial" w:cs="arial"/>
          <w:b/>
          <w:i/>
          <w:color w:val="000000"/>
          <w:sz w:val="20"/>
          <w:lang w:val="en-US" w:eastAsia="en-US" w:bidi="ar-SA"/>
        </w:rPr>
        <w:t>Hall</w:t>
      </w:r>
      <w:r>
        <w:rPr>
          <w:rFonts w:ascii="arial" w:eastAsia="arial" w:hAnsi="arial" w:cs="arial"/>
          <w:color w:val="000000"/>
          <w:sz w:val="20"/>
          <w:lang w:val="en-US" w:eastAsia="en-US" w:bidi="ar-SA"/>
        </w:rPr>
        <w:t xml:space="preserve"> judgment at para. 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power to preclude recovery on the basis of the plaintiff's immoral or illegal conduct is an exceptional power, operating in derogation of the general principles of tort applicable to all persons in our society. As such, it seems to me appropriate that the onus of establishing the exceptional circumstances should rest with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McLachlin J. also clarifies that a claim for compensatory damages does not amount to profiting from an illegal or wrongful act at para. 18 of </w:t>
      </w:r>
      <w:r>
        <w:rPr>
          <w:rFonts w:ascii="arial" w:eastAsia="arial" w:hAnsi="arial" w:cs="arial"/>
          <w:b/>
          <w:i/>
          <w:color w:val="000000"/>
          <w:sz w:val="20"/>
          <w:lang w:val="en-US" w:eastAsia="en-US" w:bidi="ar-SA"/>
        </w:rPr>
        <w:t>Hall</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[Compensatory] ... damages accomplish nothing more than to put the plaintiff in the position he or she would have been in had the tort not occurred. No part of the award which compensates injury can be said to be the profit of, or the windfall from, an illegal act. It may be that had the plaintiff not committed the illegal act... he or she would not have suffered injury ... But the same can be said in the context of every tort ... such compensation the plaintiff properly recovers arises not from the character of his or her conduct, illegal or otherwise, but from the damage caused to him or her by the negligent act of the defendant. He or she only gets the value of, or a substitute for, the injuries he or she has suffered by the fault of another. He or she gets nothing for or by reason of the fact he or she was engaged in illegal activity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Finally, Madam Justice McLachlin distinguishes between a reduction in a compensatory award based upon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application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as a defence: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question the law asks is whether an injured party suffered a recognized sort of injury, at the hands of someone who owed this party a duty of care, and who caused reasonably foreseeable damage by falling below the standard of care that the law imposes. The plaintiff's behaviour will be relevant to the extent to which it can be shown, according to the principles just referred to, that the plaintiff contributed to, or voluntarily accepted, the injury he or she suffered; his or her behaviour will be otherwise irrelevant, unless the plaintiff's claim falls into that narrow category of excluded claims referred to above [based on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Hall</w:t>
      </w:r>
      <w:r>
        <w:rPr>
          <w:rFonts w:ascii="arial" w:eastAsia="arial" w:hAnsi="arial" w:cs="arial"/>
          <w:color w:val="000000"/>
          <w:sz w:val="20"/>
          <w:lang w:val="en-US" w:eastAsia="en-US" w:bidi="ar-SA"/>
        </w:rPr>
        <w:t xml:space="preserve"> at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Whether the doctrine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affords Mr. Klaemt a defence to the plaintiff's claim, or bars recovery under certain heads of damage, requires a careful analysis of the precise nature of Ms. Watts' conduct and the causal connection between it and the loss suffered. Further, the analysis must include a consideration of the causal connection between Ms. Watts' loss and Mr. Klaemt's invasion of her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Watts was discharged by her employer for a breach of trust. The letter of dismissal dated June 27, 1996, describes her misconduct in the following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investigation and discussion with you confirms that you significantly breached the trust of the employer and brought the reputation of the Ministry into disrepute. Specifically, you breached confidentiality and misused the Ministry's computer system when you looked up and passed on Ministry GAIN and PCE investigation information to your daughter; you failed to report income assistance fraud being committed by your daughter and her husband, and you counselled them on how to evade prosecution.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Your actions were deliberate and the evidence shows that you were fully aware of the potential consequences with respect to your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Watts' grieved her dismissal and the matter was heard by an arbitrator in or about July 2002. The arbitrator upheld the dismissal and concluded that Ms. Watts had committed all of the acts alleged in the termination letter. At page 45 of the Award the arbitrator comments on Ms. Watts' conduct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Board has found that the grievor committed four employment offences which violated her most critical obligations to her Employer, obligations put in place to ensure the honesty and integrity of the public service. While she admitted to her misconduct in respect of two of the offences, she denied having counselled fraud and failing to report fraud. Instead of owning up to the full spectrum of her misconduct, she prepared elaborate stories in explanation, stories that this Board has rejected.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high standard is required of a person who is in a position of trust in which he or she is largely unsupervised and in whose trustworthiness the Employer is compelled to rely ... The grievor was in such a position. Indeed, it was the grievor's job as the Eligibility Officer to assist the Ministry of Human Resources to combat fraud and mistakes in the delivery of income assistance. An employee charged with this kind of responsibility commits the most serious of employment offence when she accesses and discloses confidential information for the purpose of counselling others to avoid detection for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Ms. Watts was also charged with criminal breach of trust and the matter was first heard by Judge Threlfall in or about October 1997. Judge Threlfall concluded that Mr. Klaemt's actions in tape recording Ms. Watts' conversations amounted to an illegal search contrary to s. 8 of the </w:t>
      </w:r>
      <w:r>
        <w:rPr>
          <w:rFonts w:ascii="arial" w:eastAsia="arial" w:hAnsi="arial" w:cs="arial"/>
          <w:b/>
          <w:i/>
          <w:color w:val="000000"/>
          <w:sz w:val="20"/>
          <w:lang w:val="en-US" w:eastAsia="en-US" w:bidi="ar-SA"/>
        </w:rPr>
        <w:t>Charter of Rights and Freedoms</w:t>
      </w:r>
      <w:r>
        <w:rPr>
          <w:rFonts w:ascii="arial" w:eastAsia="arial" w:hAnsi="arial" w:cs="arial"/>
          <w:color w:val="000000"/>
          <w:sz w:val="20"/>
          <w:lang w:val="en-US" w:eastAsia="en-US" w:bidi="ar-SA"/>
        </w:rPr>
        <w:t xml:space="preserve"> and excluded the evidence. The Crown appealed the ruling and the BC Court of Appeal allowed the appeal and remitted the matter to the provincial court for a new trial: </w:t>
      </w:r>
      <w:r>
        <w:rPr>
          <w:rFonts w:ascii="arial" w:eastAsia="arial" w:hAnsi="arial" w:cs="arial"/>
          <w:b/>
          <w:i/>
          <w:color w:val="000000"/>
          <w:sz w:val="20"/>
          <w:lang w:val="en-US" w:eastAsia="en-US" w:bidi="ar-SA"/>
        </w:rPr>
        <w:t>R. v. Watts</w:t>
      </w:r>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[1999] B.C.J. No. 1010</w:t>
        </w:r>
      </w:hyperlink>
      <w:r>
        <w:rPr>
          <w:rFonts w:ascii="arial" w:eastAsia="arial" w:hAnsi="arial" w:cs="arial"/>
          <w:color w:val="000000"/>
          <w:sz w:val="20"/>
          <w:lang w:val="en-US" w:eastAsia="en-US" w:bidi="ar-SA"/>
        </w:rPr>
        <w:t xml:space="preserve">, </w:t>
      </w:r>
      <w:hyperlink r:id="rId53" w:history="1">
        <w:r>
          <w:rPr>
            <w:rFonts w:ascii="arial" w:eastAsia="arial" w:hAnsi="arial" w:cs="arial"/>
            <w:i/>
            <w:color w:val="0077CC"/>
            <w:sz w:val="20"/>
            <w:u w:val="single"/>
            <w:shd w:val="clear" w:color="auto" w:fill="FFFFFF"/>
            <w:lang w:val="en-US" w:eastAsia="en-US" w:bidi="ar-SA"/>
          </w:rPr>
          <w:t>1999 BCCA 268</w:t>
        </w:r>
      </w:hyperlink>
      <w:r>
        <w:rPr>
          <w:rFonts w:ascii="arial" w:eastAsia="arial" w:hAnsi="arial" w:cs="arial"/>
          <w:color w:val="000000"/>
          <w:sz w:val="20"/>
          <w:lang w:val="en-US" w:eastAsia="en-US" w:bidi="ar-SA"/>
        </w:rPr>
        <w:t>. The matter came before Judge Angelomatis and on December 7, 2000, he entered a judicial stay of proceedings against the charge on the ground that to prosecute Ms. Watts based solely upon Mr. Klaemt's illegal conduct would violate the fundamental principles of justice which underlie the "community's sense of fair play and decency"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While the question of whether Ms. Watts committed a criminal act by her conduct has never been addressed, I am satisfied that her actions were immoral as that term is used in the context of the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defence. Ms. Watts not only committed a serious employment offence, but she also breached the public trust by compromising the Ministry's investigation into a potential fraud by her daughter and D.I. In addition, there is a direct connection between her loss of employment and this immoral act. It was the breach of trust that provided the Ministry with just cause for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also apparent that Ms. Watts' dismissal would not have occurred but for the breach of privacy by Mr. Klaemt. Had Mr. Klaemt not intercepted, tape recorded, and passed on her conversations to the Ministry, there would have been no evidence to justify the dismissal. Thus there is a causal connection between Mr. Klaemt's actions and the injury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invasion of privacy is an intentional tort and there can be no doubt that Mr. Klaemt acted wilfully in recording and publishing Ms. Watts' conversations. In addition, he knew that Ms. Watts was employed by the Ministry and expected the Ministry would take some action against her as a result of what he believed was an improper disclosure of confidential information. Thus it must be concluded that Mr. Klaemt intended to cause harm or injury to Ms. Watts in the form of punitive action by her employer. Where a person commits an intentional tort he is liable for all harm caused by his actions and not merely that which was reasonably foreseeable: </w:t>
      </w:r>
      <w:r>
        <w:rPr>
          <w:rFonts w:ascii="arial" w:eastAsia="arial" w:hAnsi="arial" w:cs="arial"/>
          <w:b/>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Norberg</w:t>
      </w:r>
      <w:r>
        <w:rPr>
          <w:rFonts w:ascii="arial" w:eastAsia="arial" w:hAnsi="arial" w:cs="arial"/>
          <w:color w:val="000000"/>
          <w:sz w:val="20"/>
          <w:lang w:val="en-US" w:eastAsia="en-US" w:bidi="ar-SA"/>
        </w:rPr>
        <w:t>, the court considered the intentional tort of battery and the relationship between general and aggravated damages. La Forest J., also for Gonthier J. and Cory J., stated at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begin by noting that the battery is actionable without proof of damage. Moreover, liability is not confined to foreseeable consequences. Aggravated damages may be awarded if the battery has occurred in humiliating or undignified circumstances. These damages are not awarded in addition to general damages. Rather, general damages are assessed "taking into account any aggravating features of the case and to that extent increasing the amount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Based upon these findings of fact, can it be said that this case is one of those rare circumstances where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should preclude any recovery for the loss claimed by the plaintiff? As discussed above, Ms. Watts' actions were highly immoral, if not proven to be criminal. There is also a clear causal connection between the loss of her employment and the immoral conduct. Further, the breach of trust committed by Ms. Watts is sufficiently reprehensible to warrant condemnation by the court. I am not satisfied, however, that Ms. Watts' claim is essentially designed to obtain a reward for her wrongdoing. Ms. Watts' claim is for compensatory damages arising out of the defendant's breach of privacy. She is not seeking damages that would amount to profiting from her own wrongdoing. In other words, the Court would not be rewarding her, or giving her a windfall, for criminal or immoral conduct. This is clearly a pre-condition to the application of the doctrine as described in </w:t>
      </w:r>
      <w:r>
        <w:rPr>
          <w:rFonts w:ascii="arial" w:eastAsia="arial" w:hAnsi="arial" w:cs="arial"/>
          <w:b/>
          <w:i/>
          <w:color w:val="000000"/>
          <w:sz w:val="20"/>
          <w:lang w:val="en-US" w:eastAsia="en-US" w:bidi="ar-SA"/>
        </w:rPr>
        <w:t>Hall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Moreover, I am also satisfied that it is not in the public interest or the interests of justice to deny relief to the plaintiff based upon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because to do so would absolve Mr. Klaemt of liability for a serious and deliberate invasion of privacy, which involved the commission of criminal and regulatory offences punishable by substantial penalties. This is clearly an important consideration as articulated by La Forest J. in </w:t>
      </w:r>
      <w:r>
        <w:rPr>
          <w:rFonts w:ascii="arial" w:eastAsia="arial" w:hAnsi="arial" w:cs="arial"/>
          <w:b/>
          <w:i/>
          <w:color w:val="000000"/>
          <w:sz w:val="20"/>
          <w:lang w:val="en-US" w:eastAsia="en-US" w:bidi="ar-SA"/>
        </w:rPr>
        <w:t>Norberg</w:t>
      </w:r>
      <w:r>
        <w:rPr>
          <w:rFonts w:ascii="arial" w:eastAsia="arial" w:hAnsi="arial" w:cs="arial"/>
          <w:color w:val="000000"/>
          <w:sz w:val="20"/>
          <w:lang w:val="en-US" w:eastAsia="en-US" w:bidi="ar-SA"/>
        </w:rPr>
        <w:t xml:space="preserve"> at paras. 49-51. I thus dismiss the defendant's claim that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is a complete defence to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Although I have dismissed the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defence, I must still address whether the plaintiff's actions caused or contributed to her injury or loss and whether, as a consequence, this affects her claim for damages. As discussed in </w:t>
      </w:r>
      <w:r>
        <w:rPr>
          <w:rFonts w:ascii="arial" w:eastAsia="arial" w:hAnsi="arial" w:cs="arial"/>
          <w:b/>
          <w:i/>
          <w:color w:val="000000"/>
          <w:sz w:val="20"/>
          <w:lang w:val="en-US" w:eastAsia="en-US" w:bidi="ar-SA"/>
        </w:rPr>
        <w:t>Hall,</w:t>
      </w:r>
      <w:r>
        <w:rPr>
          <w:rFonts w:ascii="arial" w:eastAsia="arial" w:hAnsi="arial" w:cs="arial"/>
          <w:color w:val="000000"/>
          <w:sz w:val="20"/>
          <w:lang w:val="en-US" w:eastAsia="en-US" w:bidi="ar-SA"/>
        </w:rPr>
        <w:t xml:space="preserve"> the plaintiff's conduct is relevant to the assessment of damages where such conduct is causally connected to the injury or where it evidences a voluntary assumption of risk. While </w:t>
      </w:r>
      <w:r>
        <w:rPr>
          <w:rFonts w:ascii="arial" w:eastAsia="arial" w:hAnsi="arial" w:cs="arial"/>
          <w:b/>
          <w:i/>
          <w:color w:val="000000"/>
          <w:sz w:val="20"/>
          <w:lang w:val="en-US" w:eastAsia="en-US" w:bidi="ar-SA"/>
        </w:rPr>
        <w:t>Hall</w:t>
      </w:r>
      <w:r>
        <w:rPr>
          <w:rFonts w:ascii="arial" w:eastAsia="arial" w:hAnsi="arial" w:cs="arial"/>
          <w:color w:val="000000"/>
          <w:sz w:val="20"/>
          <w:lang w:val="en-US" w:eastAsia="en-US" w:bidi="ar-SA"/>
        </w:rPr>
        <w:t xml:space="preserve"> involved an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an award for personal injuries, I find this general principle is also relevant to the assessment of damages in a claim involving the tort of invasion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This was implicitly the conclusion of the Court of Appeal in </w:t>
      </w:r>
      <w:r>
        <w:rPr>
          <w:rFonts w:ascii="arial" w:eastAsia="arial" w:hAnsi="arial" w:cs="arial"/>
          <w:b/>
          <w:i/>
          <w:color w:val="000000"/>
          <w:sz w:val="20"/>
          <w:lang w:val="en-US" w:eastAsia="en-US" w:bidi="ar-SA"/>
        </w:rPr>
        <w:t>F.(J.M.) v. Chappell</w:t>
      </w:r>
      <w:r>
        <w:rPr>
          <w:rFonts w:ascii="arial" w:eastAsia="arial" w:hAnsi="arial" w:cs="arial"/>
          <w:color w:val="000000"/>
          <w:sz w:val="20"/>
          <w:lang w:val="en-US" w:eastAsia="en-US" w:bidi="ar-SA"/>
        </w:rPr>
        <w:t xml:space="preserve"> </w:t>
      </w:r>
      <w:hyperlink r:id="rId55" w:history="1">
        <w:r>
          <w:rPr>
            <w:rFonts w:ascii="arial" w:eastAsia="arial" w:hAnsi="arial" w:cs="arial"/>
            <w:i/>
            <w:color w:val="0077CC"/>
            <w:sz w:val="20"/>
            <w:u w:val="single"/>
            <w:shd w:val="clear" w:color="auto" w:fill="FFFFFF"/>
            <w:lang w:val="en-US" w:eastAsia="en-US" w:bidi="ar-SA"/>
          </w:rPr>
          <w:t>[1998] B.C.J. No. 276</w:t>
        </w:r>
      </w:hyperlink>
      <w:r>
        <w:rPr>
          <w:rFonts w:ascii="arial" w:eastAsia="arial" w:hAnsi="arial" w:cs="arial"/>
          <w:color w:val="000000"/>
          <w:sz w:val="20"/>
          <w:lang w:val="en-US" w:eastAsia="en-US" w:bidi="ar-SA"/>
        </w:rPr>
        <w:t xml:space="preserve">; leave to SCC dismissed, </w:t>
      </w:r>
      <w:hyperlink r:id="rId56" w:history="1">
        <w:r>
          <w:rPr>
            <w:rFonts w:ascii="arial" w:eastAsia="arial" w:hAnsi="arial" w:cs="arial"/>
            <w:i/>
            <w:color w:val="0077CC"/>
            <w:sz w:val="20"/>
            <w:u w:val="single"/>
            <w:shd w:val="clear" w:color="auto" w:fill="FFFFFF"/>
            <w:lang w:val="en-US" w:eastAsia="en-US" w:bidi="ar-SA"/>
          </w:rPr>
          <w:t>[1998] S.C.C.A. No. 154</w:t>
        </w:r>
      </w:hyperlink>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Chappell</w:t>
      </w:r>
      <w:r>
        <w:rPr>
          <w:rFonts w:ascii="arial" w:eastAsia="arial" w:hAnsi="arial" w:cs="arial"/>
          <w:color w:val="000000"/>
          <w:sz w:val="20"/>
          <w:lang w:val="en-US" w:eastAsia="en-US" w:bidi="ar-SA"/>
        </w:rPr>
        <w:t xml:space="preserve"> the plaintiff established a breach of privacy arising out of the publication of her name as the complainant in a sexual assault trial. Among other issues, the Court of Appeal addressed the plaintiff's argument that the jury's damage award was inadequate. In this regard, Donald J.A. says at paras. 34-35:</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jury faced a difficult task in assessing damages. The harm suffered by the wrongful publication occurred just after an extremely violent series of attacks. The effects of one could not easily be segregated from the other.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jury also had to consider the extent to which the plaintiff's own conduct and the conduct of other media identified her by name as the crime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Thus when assessing damages for this intentional tort it is relevant to consider the extent to which the plaintiff's conduct, as well as the conduct of third parties', caused or contributed to the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this case the proximate cause of the plaintiff's dismissal was her own misconduct. While Mr. Klaemt brought her misconduct to the attention of the Ministry in an unlawful manner, it was Ms. Watts' breach of trust that led to the decision to terminate her employment. In my view, this fact cannot be ignored when assessing responsibility for the resulting loss. To a certain extent Ms. Watts, by disclosing confidential information and compromising the Ministry's fraud investigation, voluntarily accepted the inherent risk that she would be discovered. Moreover, Ms. Watts knew or ought to have known that the Ministry would terminate her employment if they discovered her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While Mr. Klaemt's breach of privacy led to the discovery of the evidence needed to justify her dismissal, Ms. Watts' misconduct was the reason underlying the loss of her employment and the consequential damages. Accordingly, I find that Ms. Watts must assume responsibility for any damages flowing directly from her dismissal. This would include any claim for past and future wage loss, loss of opportunity and loss of earning capacity. These heads of damage result directly from her misconduct and which, but for the breach of trust,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 WHAT DAMAGES ARE RECOVERABLE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plaintiff claims general damages for emotional pain and suffering, loss of enjoyment of life, and diminution of her reputation: </w:t>
      </w:r>
      <w:r>
        <w:rPr>
          <w:rFonts w:ascii="arial" w:eastAsia="arial" w:hAnsi="arial" w:cs="arial"/>
          <w:b/>
          <w:i/>
          <w:color w:val="000000"/>
          <w:sz w:val="20"/>
          <w:lang w:val="en-US" w:eastAsia="en-US" w:bidi="ar-SA"/>
        </w:rPr>
        <w:t>Dinyer-Fraser v. Laurentian Bank</w:t>
      </w:r>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[2005] B.C.J. No. 309</w:t>
        </w:r>
      </w:hyperlink>
      <w:r>
        <w:rPr>
          <w:rFonts w:ascii="arial" w:eastAsia="arial" w:hAnsi="arial" w:cs="arial"/>
          <w:color w:val="000000"/>
          <w:sz w:val="20"/>
          <w:lang w:val="en-US" w:eastAsia="en-US" w:bidi="ar-SA"/>
        </w:rPr>
        <w:t xml:space="preserve">, </w:t>
      </w:r>
      <w:hyperlink r:id="rId57" w:history="1">
        <w:r>
          <w:rPr>
            <w:rFonts w:ascii="arial" w:eastAsia="arial" w:hAnsi="arial" w:cs="arial"/>
            <w:i/>
            <w:color w:val="0077CC"/>
            <w:sz w:val="20"/>
            <w:u w:val="single"/>
            <w:shd w:val="clear" w:color="auto" w:fill="FFFFFF"/>
            <w:lang w:val="en-US" w:eastAsia="en-US" w:bidi="ar-SA"/>
          </w:rPr>
          <w:t>2005 BCSC 225</w:t>
        </w:r>
      </w:hyperlink>
      <w:r>
        <w:rPr>
          <w:rFonts w:ascii="arial" w:eastAsia="arial" w:hAnsi="arial" w:cs="arial"/>
          <w:color w:val="000000"/>
          <w:sz w:val="20"/>
          <w:lang w:val="en-US" w:eastAsia="en-US" w:bidi="ar-SA"/>
        </w:rPr>
        <w:t xml:space="preserve">. She also claims aggravated damages for the intangible injury caused by the invasion of her privacy: </w:t>
      </w:r>
      <w:r>
        <w:rPr>
          <w:rFonts w:ascii="arial" w:eastAsia="arial" w:hAnsi="arial" w:cs="arial"/>
          <w:b/>
          <w:i/>
          <w:color w:val="000000"/>
          <w:sz w:val="20"/>
          <w:lang w:val="en-US" w:eastAsia="en-US" w:bidi="ar-SA"/>
        </w:rPr>
        <w:t>T.W.N.A. v. Clarke</w:t>
      </w:r>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[2003] B.C.J. No. 2747</w:t>
        </w:r>
      </w:hyperlink>
      <w:r>
        <w:rPr>
          <w:rFonts w:ascii="arial" w:eastAsia="arial" w:hAnsi="arial" w:cs="arial"/>
          <w:color w:val="000000"/>
          <w:sz w:val="20"/>
          <w:lang w:val="en-US" w:eastAsia="en-US" w:bidi="ar-SA"/>
        </w:rPr>
        <w:t xml:space="preserve">, </w:t>
      </w:r>
      <w:hyperlink r:id="rId58" w:history="1">
        <w:r>
          <w:rPr>
            <w:rFonts w:ascii="arial" w:eastAsia="arial" w:hAnsi="arial" w:cs="arial"/>
            <w:i/>
            <w:color w:val="0077CC"/>
            <w:sz w:val="20"/>
            <w:u w:val="single"/>
            <w:shd w:val="clear" w:color="auto" w:fill="FFFFFF"/>
            <w:lang w:val="en-US" w:eastAsia="en-US" w:bidi="ar-SA"/>
          </w:rPr>
          <w:t>2003 BCCA 670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Huff v. Price</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 leave to appeal to S.C.C. dismissed, </w:t>
      </w:r>
      <w:hyperlink r:id="rId61" w:history="1">
        <w:r>
          <w:rPr>
            <w:rFonts w:ascii="arial" w:eastAsia="arial" w:hAnsi="arial" w:cs="arial"/>
            <w:i/>
            <w:color w:val="0077CC"/>
            <w:sz w:val="20"/>
            <w:u w:val="single"/>
            <w:shd w:val="clear" w:color="auto" w:fill="FFFFFF"/>
            <w:lang w:val="en-US" w:eastAsia="en-US" w:bidi="ar-SA"/>
          </w:rPr>
          <w:t>[1991] 1 S.C.R. vii</w:t>
        </w:r>
      </w:hyperlink>
      <w:r>
        <w:rPr>
          <w:rFonts w:ascii="arial" w:eastAsia="arial" w:hAnsi="arial" w:cs="arial"/>
          <w:color w:val="000000"/>
          <w:sz w:val="20"/>
          <w:lang w:val="en-US" w:eastAsia="en-US" w:bidi="ar-SA"/>
        </w:rPr>
        <w:t xml:space="preserve">, 56 B.C.L.R. (2d) xxxviii, and </w:t>
      </w:r>
      <w:r>
        <w:rPr>
          <w:rFonts w:ascii="arial" w:eastAsia="arial" w:hAnsi="arial" w:cs="arial"/>
          <w:b/>
          <w:i/>
          <w:color w:val="000000"/>
          <w:sz w:val="20"/>
          <w:lang w:val="en-US" w:eastAsia="en-US" w:bidi="ar-SA"/>
        </w:rPr>
        <w:t>Norberg</w:t>
      </w:r>
      <w:r>
        <w:rPr>
          <w:rFonts w:ascii="arial" w:eastAsia="arial" w:hAnsi="arial" w:cs="arial"/>
          <w:color w:val="000000"/>
          <w:sz w:val="20"/>
          <w:lang w:val="en-US" w:eastAsia="en-US" w:bidi="ar-SA"/>
        </w:rPr>
        <w:t xml:space="preserve"> at 263. Her out of pocket expenses, including prescriptions and legal fees associated with defending the criminal charge, are claimed. Lastly, the plaintiff claims punitive or exemplary damages for the invasion of privacy: </w:t>
      </w:r>
      <w:r>
        <w:rPr>
          <w:rFonts w:ascii="arial" w:eastAsia="arial" w:hAnsi="arial" w:cs="arial"/>
          <w:b/>
          <w:i/>
          <w:color w:val="000000"/>
          <w:sz w:val="20"/>
          <w:lang w:val="en-US" w:eastAsia="en-US" w:bidi="ar-SA"/>
        </w:rPr>
        <w:t>Malcolm v. Fleming,</w:t>
      </w:r>
      <w:r>
        <w:rPr>
          <w:rFonts w:ascii="arial" w:eastAsia="arial" w:hAnsi="arial" w:cs="arial"/>
          <w:color w:val="000000"/>
          <w:sz w:val="20"/>
          <w:lang w:val="en-US" w:eastAsia="en-US" w:bidi="ar-SA"/>
        </w:rPr>
        <w:t xml:space="preserve"> </w:t>
      </w:r>
      <w:hyperlink r:id="rId62" w:history="1">
        <w:r>
          <w:rPr>
            <w:rFonts w:ascii="arial" w:eastAsia="arial" w:hAnsi="arial" w:cs="arial"/>
            <w:i/>
            <w:color w:val="0077CC"/>
            <w:sz w:val="20"/>
            <w:u w:val="single"/>
            <w:shd w:val="clear" w:color="auto" w:fill="FFFFFF"/>
            <w:lang w:val="en-US" w:eastAsia="en-US" w:bidi="ar-SA"/>
          </w:rPr>
          <w:t>[2000] B.C.J. No. 2400</w:t>
        </w:r>
      </w:hyperlink>
      <w:r>
        <w:rPr>
          <w:rFonts w:ascii="arial" w:eastAsia="arial" w:hAnsi="arial" w:cs="arial"/>
          <w:color w:val="000000"/>
          <w:sz w:val="20"/>
          <w:lang w:val="en-US" w:eastAsia="en-US" w:bidi="ar-SA"/>
        </w:rPr>
        <w:t xml:space="preserve"> (S.C.) (QL).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Addressing first the matter of general damages for pain and suffering, I am satisfied that Ms. Watts' life was shattered by her dismissal and the criminal charges against her. From June 1996 and until today Ms. Watts has suffered from severe depression and post traumatic stress disorder as a result of the events that have transpired since June 1996. Up until this time Ms. Watts was a dedicated, hard working and exemplary employee. She loved her job and was taking courses at BCIT which would allow her to obtain promotions within the Ministry. She also volunteered her time outside of work hours to help people understand the social assistance system and was on the board of directors for a home for schizophrenics. Much of Ms. Watts' self esteem was wrapped up in her job and the satisfaction she obtained in being the best employee she could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All of this was taken away from Ms. Watts in June 1996 and she has never recovered. Ms. Watts has not been able to return to work and has become a social recluse shunning any contact with friends or past associates. Ms. Watts lost all of her assets and savings, including her home; and she was forced to live with her daughter's family in a small trailer. Only recently has Ms. Watts been able to afford her own rental accommodation aided by a government subsidy.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For the past ten years, Ms. Watts has been under the care of a psychiatrist, Dr. Griffin, who diagnosed her with severe depression and post traumatic stress disorder brought on by the stress involved in her dismissal and its aftermath. Over the years Dr. Griffin has prescribed many different anti-depressants for Ms. Watts; however, any signs of improvement have been temporary and based upon some hope of receiving a favourable ruling by the court or an arbitrator in connection with her dismissal case. Ms. Watts now receives a permanent disability pension from CPP because she is unable to work due to these mental illnesses.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Dr. Griffin's opinion, 90% of Ms. Watts' depressive symptoms relate to the events of June 1996 and its aftermath. As described in Dr. Griffin's medical report dated February 10, 2007: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90% of her depressive symptoms were and are related to her dismissal from her employment with the provincial government and all of the disturbing effects that followed including shame at loss of her employment, loss of a comfortable income, loss of her home, the embarrassment and degradation of living in penury and finally her sense of injustice at the severity of the government's harsh treatment of her and the nature of this dismissal, namely it was provoked by, in her opinion, an illegal act by a neighbour who eavesdropped and taped private conversations between herself and her daughter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Griffin also describes other effects of the depression and post traumatic stress disorder which include premature aging in physical appearance and stature, problems with concentration and short-term memory, panic attacks, and difficulty sleeping. As to her prognosis for the future, Dr. Griffin sees some improvement coming from Ms. Watts' newly found private accommodation. She is also more accepting of what has happened to her at this point in time. Ms. Watts continues to take medication for the depression and remains closely watched by Dr. Griffin.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There is no doubt that Mr. Klaemt's wilful invasion of Ms. Watts' privacy is connected to the onset of her depression and post traumatic stress disorder. Dr. Griffin's report, as well as Ms. Watts'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evidence, satisfies me that it was the entire tragic affair that caused Ms. Watts' chronic mental illnesses, including the invasion of her privacy and the publication of her private conversations to the Ministry. However, the court must also consider the connection between Ms. Watts' misconduct and the resulting harm when assessing damages. In this regard, the causal factors are inextricably intertwined and not easily segregated; but for Mr. Klaemt's illegal act the Ministry could not have fired Ms. Watts and but for Ms. Watts' misconduct her dismissal would not have been warranted. While a precise apportionment of responsibility as between the plaintiff and the defendant is difficult in the circumstances, this is not a ground for denying a claim, merely one factor to be considered and weighed along with the other relevant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Turning to the claim for aggravated damages, I note that the plaintiff's suffering has been ongoing for over ten years with little improvement in her condition. Ms. Watts' life outlook is very bleak and there is little likelihood that she will ever return to the workforce which provided her with so much pleasure, pride, and self esteem before these events. She lives as a recluse and maintains contact with only her immediate family. Ms. Watts is unlikely to ever recover from the public humiliation to which she has been subjected because of Mr. Klaemt's actions. The events of June 1996 literally destroyed the life she knew and loved. These are clearly aggravating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Weighing all of the relevant considerations, including the aggravating circumstances, I assess damages in the amount of $30,000 based on the substantial degree of suffering experienced by the plaintiff, her loss of enjoyment of life, the loss of her reputation and public humiliation, and her own misconduct as a contributing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Turning to the matter of punitive or exemplary damages, La Forest J. describes the circumstances in which such an order is appropriate at para. 53 of the </w:t>
      </w:r>
      <w:r>
        <w:rPr>
          <w:rFonts w:ascii="arial" w:eastAsia="arial" w:hAnsi="arial" w:cs="arial"/>
          <w:b/>
          <w:i/>
          <w:color w:val="000000"/>
          <w:sz w:val="20"/>
          <w:lang w:val="en-US" w:eastAsia="en-US" w:bidi="ar-SA"/>
        </w:rPr>
        <w:t>Norberg</w:t>
      </w:r>
      <w:r>
        <w:rPr>
          <w:rFonts w:ascii="arial" w:eastAsia="arial" w:hAnsi="arial" w:cs="arial"/>
          <w:color w:val="000000"/>
          <w:sz w:val="20"/>
          <w:lang w:val="en-US" w:eastAsia="en-US" w:bidi="ar-SA"/>
        </w:rPr>
        <w:t xml:space="preserve"> judgment: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These [aggravated damages] must be distinguished from punitive or exemplary damages. The latter are awarded to punish the defendant and to make an example of him or her in order to deter others from committing the same tort: see, Linden, Canadian Tort Law (4th ed. 1988), at pp. 54-55. In </w:t>
      </w:r>
      <w:r>
        <w:rPr>
          <w:rFonts w:ascii="arial" w:eastAsia="arial" w:hAnsi="arial" w:cs="arial"/>
          <w:i/>
          <w:color w:val="000000"/>
          <w:sz w:val="20"/>
          <w:lang w:val="en-US" w:eastAsia="en-US" w:bidi="ar-SA"/>
        </w:rPr>
        <w:t>Vorvis v. Insurance Corporation of British Columbia</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 at pp. 1107-8, McIntyre J. thus set forth the circumstances where the defendant's conduct would merit punishment: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punitive damages may only be awarded in respect of conduct which is of such a nature as to be deserving of punishment because of its harsh, vindictive, reprehensible and malicious nature. I do not suggest that I have exhausted the adjectives which could describe the conduct capable of characterizing a punitive award, but in any case where such an award is made the conduct must be extreme in its nature and such that by any reasonable standard it is deserving of full condemnation and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Exemplary damages were specifically addressed in the context of a breach of privacy in </w:t>
      </w:r>
      <w:r>
        <w:rPr>
          <w:rFonts w:ascii="arial" w:eastAsia="arial" w:hAnsi="arial" w:cs="arial"/>
          <w:b/>
          <w:i/>
          <w:color w:val="000000"/>
          <w:sz w:val="20"/>
          <w:lang w:val="en-US" w:eastAsia="en-US" w:bidi="ar-SA"/>
        </w:rPr>
        <w:t>Malcolm</w:t>
      </w:r>
      <w:r>
        <w:rPr>
          <w:rFonts w:ascii="arial" w:eastAsia="arial" w:hAnsi="arial" w:cs="arial"/>
          <w:color w:val="000000"/>
          <w:sz w:val="20"/>
          <w:lang w:val="en-US" w:eastAsia="en-US" w:bidi="ar-SA"/>
        </w:rPr>
        <w:t xml:space="preserve"> where Downs J. concluded such an award was warranted. In that case the defendant set up a video camera in the bathroom and other rooms used by the plaintiff, who was a student renting a room in the defendant's premises. When the plaintiff discovered that video tapes had been made of her in various stages of undress she suffered emotional distress. The factors considered in awarding punitive damages in the amount of $35,000 included the intimate location of the invasion of privacy, the relationship of the parties as one of landlord and tenant with a high expectation of privacy, the substantial premeditation and planning, the additional humiliation of discoveries prior to trial, and the fact that the only means of punishment was through the award because there was no criminal act involved. It was also significant that a permanent record of the invasion of privacy was made and there was a possibility the tapes could still be available to other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Finally, Downs J. quoted with approval a passage from </w:t>
      </w:r>
      <w:r>
        <w:rPr>
          <w:rFonts w:ascii="arial" w:eastAsia="arial" w:hAnsi="arial" w:cs="arial"/>
          <w:b/>
          <w:i/>
          <w:color w:val="000000"/>
          <w:sz w:val="20"/>
          <w:lang w:val="en-US" w:eastAsia="en-US" w:bidi="ar-SA"/>
        </w:rPr>
        <w:t>Lee v. Jacobson</w:t>
      </w:r>
      <w:r>
        <w:rPr>
          <w:rFonts w:ascii="arial" w:eastAsia="arial" w:hAnsi="arial" w:cs="arial"/>
          <w:color w:val="000000"/>
          <w:sz w:val="20"/>
          <w:lang w:val="en-US" w:eastAsia="en-US" w:bidi="ar-SA"/>
        </w:rPr>
        <w:t xml:space="preserve">, </w:t>
      </w:r>
      <w:hyperlink r:id="rId64" w:history="1">
        <w:r>
          <w:rPr>
            <w:rFonts w:ascii="arial" w:eastAsia="arial" w:hAnsi="arial" w:cs="arial"/>
            <w:i/>
            <w:color w:val="0077CC"/>
            <w:sz w:val="20"/>
            <w:u w:val="single"/>
            <w:shd w:val="clear" w:color="auto" w:fill="FFFFFF"/>
            <w:lang w:val="en-US" w:eastAsia="en-US" w:bidi="ar-SA"/>
          </w:rPr>
          <w:t>87 D.L.R. (4th) 401</w:t>
        </w:r>
      </w:hyperlink>
      <w:r>
        <w:rPr>
          <w:rFonts w:ascii="arial" w:eastAsia="arial" w:hAnsi="arial" w:cs="arial"/>
          <w:color w:val="000000"/>
          <w:sz w:val="20"/>
          <w:lang w:val="en-US" w:eastAsia="en-US" w:bidi="ar-SA"/>
        </w:rPr>
        <w:t xml:space="preserve">, rev'd on evidentiary issue </w:t>
      </w:r>
      <w:hyperlink r:id="rId65" w:history="1">
        <w:r>
          <w:rPr>
            <w:rFonts w:ascii="arial" w:eastAsia="arial" w:hAnsi="arial" w:cs="arial"/>
            <w:i/>
            <w:color w:val="0077CC"/>
            <w:sz w:val="20"/>
            <w:u w:val="single"/>
            <w:shd w:val="clear" w:color="auto" w:fill="FFFFFF"/>
            <w:lang w:val="en-US" w:eastAsia="en-US" w:bidi="ar-SA"/>
          </w:rPr>
          <w:t>(1994), 99 B.C.L.R. (2d) 144</w:t>
        </w:r>
      </w:hyperlink>
      <w:r>
        <w:rPr>
          <w:rFonts w:ascii="arial" w:eastAsia="arial" w:hAnsi="arial" w:cs="arial"/>
          <w:color w:val="000000"/>
          <w:sz w:val="20"/>
          <w:lang w:val="en-US" w:eastAsia="en-US" w:bidi="ar-SA"/>
        </w:rPr>
        <w:t xml:space="preserve"> (C.A.), where Hutchison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awarding punitive damages, I must settle on a figure that will in some measure reflect society's abhorrence of this conduct, and deter the defendant. It must be at a level that will, in fact, have some meaning for him ... (at p. 418)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invasion of privacy in the case at hand is not of the same nature as in </w:t>
      </w:r>
      <w:r>
        <w:rPr>
          <w:rFonts w:ascii="arial" w:eastAsia="arial" w:hAnsi="arial" w:cs="arial"/>
          <w:b/>
          <w:i/>
          <w:color w:val="000000"/>
          <w:sz w:val="20"/>
          <w:lang w:val="en-US" w:eastAsia="en-US" w:bidi="ar-SA"/>
        </w:rPr>
        <w:t>Malcolm</w:t>
      </w:r>
      <w:r>
        <w:rPr>
          <w:rFonts w:ascii="arial" w:eastAsia="arial" w:hAnsi="arial" w:cs="arial"/>
          <w:color w:val="000000"/>
          <w:sz w:val="20"/>
          <w:lang w:val="en-US" w:eastAsia="en-US" w:bidi="ar-SA"/>
        </w:rPr>
        <w:t xml:space="preserve"> or </w:t>
      </w:r>
      <w:r>
        <w:rPr>
          <w:rFonts w:ascii="arial" w:eastAsia="arial" w:hAnsi="arial" w:cs="arial"/>
          <w:b/>
          <w:i/>
          <w:color w:val="000000"/>
          <w:sz w:val="20"/>
          <w:lang w:val="en-US" w:eastAsia="en-US" w:bidi="ar-SA"/>
        </w:rPr>
        <w:t>Lee</w:t>
      </w:r>
      <w:r>
        <w:rPr>
          <w:rFonts w:ascii="arial" w:eastAsia="arial" w:hAnsi="arial" w:cs="arial"/>
          <w:color w:val="000000"/>
          <w:sz w:val="20"/>
          <w:lang w:val="en-US" w:eastAsia="en-US" w:bidi="ar-SA"/>
        </w:rPr>
        <w:t xml:space="preserve">. The interception and publication of private conversations is, however,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offensive and is clearly conduct that should not be condoned by our society. Right thinking and fair minded members of the community would strongly condemn Mr. Klaemt for his calculated decision to interfere with Ms. Watts' privacy in this manner. Mr. Klaemt's actions were in no sense accidental or committed without thought or contemplation. He set up an elaborate voice activated system to monitor and record every conversation on the cordless telephone used by Ms. Watts' daughter and her husband. Mr. Klaemt also published the tapes of Ms. Watts' conversations to further his own interests and to punish Ms. Watts and her family for the history of abuse he had suffered at the hands of D.I., as the "neighbour from 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Further, I find that Mr. Klaemt has shown no true remorse for his misconduct. While Mr. Klaemt regrets his actions in hindsight, it is not because they were wrong, but because they have caused him so much trouble and expense. He also denied any fault and put Ms. Watts through a three day trial to prove her claim. Moreover, these events have ultimately had a long lasting, serious adverse impact on Ms. Watts. Finally, despite the criminal and regulatory offences committed by Mr. Klaemt, he has never been charged with these offences and it is unlikely he will ever face a criminal prosecution at any time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Based upon these factors, I find this is a case where punitive damages are warranted to reflect society's abhorrence of Mr. Klaemt's actions and to act as a specific deterrent. I award Ms. Watts $5,000 in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Turning to Ms. Watts' claim for out of pocket expenses, I find an award for one half of her prescription costs is warranted in the amount of $1,000 (1/2 of $2,000). These expenses are directly related to the emotional trauma suffered by Ms. Watts as a result of the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not satisfied that Ms. Watts is entitled to recover her legal fees for the criminal prosecution and no authority is cited in support of this proposition. A criminal prosecution is a decision made by the Crown independent of the desires of an employer, even if that employer is a government ministry. Further, this was not a private prosecution brought by the Ministry or by Mr. Klaemt. In my view this breaks the causal connection between Mr. Klaemt's breach of privacy and the criminal prosecution. I also find it would be contrary to public policy to hold a Crown witness liable for the legal costs of an accused who successfully defends against a charge when it is the Crown who decides what evidence to lead and whether to approve the charge. Thus, I find he is not responsible for her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Lastly, and with respect to Ms. Watts' claim, I find there is unnecessary to address the issue of mitigation because the only possible head of damages this could affect is the pecuniary claim for wages and lost opportunity. As indicated above, I have dismissed that part of Ms. Watts' claim. Moreover, I am not satisfied that by failing to accept the Ministry's offer of six months pay in lieu of notice Ms. Watts' failed to properly mitigate her loss. She received legal advice that the return of her job was a reasonable expectation. In addition, the Ministry had no control over the Crown decision to prosecute Ms. Watts for criminal breach of trust. Thus, there could be no guarantee that acceptance of this offer would lead to immunity from prosecution.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 THE DEFENDANT'S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Turning to Mr. Klaemt's counter-claim, I find that even if his claim is not statute barred, he has failed to prove a wilful breach of his privacy. Mr. Klaemt failed to prove that Ms. Watts knew that the information she disclosed came from a letter that he or anyone else sent to the Ministry informing them of a possible fraud by D.I. Nor was there any evidence that as a result of Ms. Watts' disclosure Ms. Klaemt's identity as the informant became known to anyone outside of the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am also satisfied that it is appropriate to dismiss Mr. Klaemt's claim based upon the doctrine of </w:t>
      </w:r>
      <w:r>
        <w:rPr>
          <w:rFonts w:ascii="arial" w:eastAsia="arial" w:hAnsi="arial" w:cs="arial"/>
          <w:i/>
          <w:color w:val="000000"/>
          <w:sz w:val="20"/>
          <w:lang w:val="en-US" w:eastAsia="en-US" w:bidi="ar-SA"/>
        </w:rPr>
        <w:t>ex turpi causa</w:t>
      </w:r>
      <w:r>
        <w:rPr>
          <w:rFonts w:ascii="arial" w:eastAsia="arial" w:hAnsi="arial" w:cs="arial"/>
          <w:color w:val="000000"/>
          <w:sz w:val="20"/>
          <w:lang w:val="en-US" w:eastAsia="en-US" w:bidi="ar-SA"/>
        </w:rPr>
        <w:t xml:space="preserve"> because he is seeking a reward that results directly from his illegal acts. This is not a case where Mr. Klaemt claims compensatory damages because the alleged breach of privacy caused no damage to him. Further, Mr. Klaemt's misconduct is directly related to his cause of action as his illegal acts constitute the means by which he discovered the disclosure by Ms. Watts. Finally, Mr. Klaemt's misconduct is so serious and morally reprehensible that the Court should not be seen to be assisting him in his cause. As described above, Mr. Klaemt's actions constituted a serious violation of civil and criminal law and must be strongly condemned.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plaintiff is entitled to her costs, but not special costs. I do not consider Mr. Klaemt's defence to have been frivolous and his counter-claim cannot be said to have extended the trial unduly. He is also self represented and must be given some latitude in the presentation of both his defence and his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summary, the defendant's counter-claim is dismissed. The plaintiff is awarded general damages in the amount of $30,000, out of pocket expenses of $1,000, and punitive damages of $5,000. Ms. Watts is also entitled to her costs. It is unnecessary to deal with the other causes of action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intentional interference with economic relations) in light of my reasons in regard to the claim based upon a breach of privacy.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BRUCE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3" style="position:absolute;z-index:2518630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6"/>
          <w:headerReference w:type="default" r:id="rId67"/>
          <w:footerReference w:type="even" r:id="rId68"/>
          <w:footerReference w:type="default" r:id="rId69"/>
          <w:headerReference w:type="first" r:id="rId70"/>
          <w:footerReference w:type="first" r:id="rId7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2" w:history="1">
        <w:r>
          <w:rPr>
            <w:rFonts w:ascii="arial" w:eastAsia="arial" w:hAnsi="arial" w:cs="arial"/>
            <w:b/>
            <w:bCs/>
            <w:i/>
            <w:color w:val="0077CC"/>
            <w:kern w:val="32"/>
            <w:sz w:val="28"/>
            <w:szCs w:val="32"/>
            <w:u w:val="single"/>
            <w:shd w:val="clear" w:color="auto" w:fill="FFFFFF"/>
            <w:lang w:val="en-US" w:eastAsia="en-US" w:bidi="ar-SA"/>
          </w:rPr>
          <w:t>Weldon v. Teck Metals Ltd., 2012 CBPG para. 8002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Employment Benefits &amp; Pension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Smith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September 26,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S095159/S116968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Employment Benefits &amp; Pension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2012 CBPG para. 8002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[2012] B.C.J. No. 1977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2012 BCSC 1386</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James Weldon and Leonard Bleier, suing on their own behalf and in a representative capacity on behalf of all former members of defined benefit pension plans sponsored, directed, administered or advised by the Defendants and their predecessors who were caused by the Defendants and their predecessors to cease to participate in those defined benefit pension plans and to participate only in defined contribution pension plans commencing on or about January 1, 1993 Plaintiff v. Teck Metals Ltd., Cominco Pension Fund Coordinating Society, and Towers Perrin Inc.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commentary at </w:t>
      </w:r>
      <w:hyperlink r:id="rId74" w:history="1">
        <w:r>
          <w:rPr>
            <w:rFonts w:ascii="arial" w:eastAsia="arial" w:hAnsi="arial" w:cs="arial"/>
            <w:i/>
            <w:color w:val="0077CC"/>
            <w:sz w:val="20"/>
            <w:u w:val="single"/>
            <w:shd w:val="clear" w:color="auto" w:fill="FFFFFF"/>
            <w:lang w:val="en-US" w:eastAsia="en-US" w:bidi="ar-SA"/>
          </w:rPr>
          <w:t>CBPG para. 1923</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4" style="position:absolute;z-index:251660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 w:name="Keywords_1"/>
      <w:bookmarkEnd w:id="12"/>
      <w:r>
        <w:rPr>
          <w:rFonts w:ascii="arial" w:eastAsia="arial" w:hAnsi="arial" w:cs="arial"/>
          <w:b/>
          <w:color w:val="000000"/>
          <w:sz w:val="20"/>
          <w:lang w:val="en-US" w:eastAsia="en-US" w:bidi="ar-SA"/>
        </w:rPr>
        <w:t xml:space="preserve">Benefits and Pensions — Employer plans Standards legislation — Federal Pension Benefits Standards — Plaintiffs were employees who were given one-time option in 1992 to transfer from their employer's defined benefit ("DB") plan to a defined contribution ("DC") plan — Employees later became concerned that pension from DC plan would be much lower than pension from DB plan — Plaintiffs sought to mount class action against employer, actuarial consultant and asset manager — Plaintiffs claimed that defendants provided untrue and incomplete information and were guilty of deceit, negligent misrepresentation, and failure to protect plan members' interests — Defendants applied for summary judgment to dismiss action — Application for dismissal granted only as against asset manager — Nothing in trust documents appointing asset manager gave asset manager role or duty with respect to plan terms — Relying on clear terms of trust agreement, plaintiffs' claims as against asset manager raised no genuine issue for trial — Defendants brought application pursuant to R. 9-6 of Supreme Court Rules, which required showing that claims raised no genuine issue for trial — Plaintiffs' claims for relief, including certification of class action, declarations, damages, and injunctions, would still be available even if plaintiffs succeeded only on deceit claim — Under circumstances, it could not be said that claims raised no genuine issue for trial — Limitation Act, </w:t>
      </w:r>
      <w:hyperlink r:id="rId33" w:history="1">
        <w:r>
          <w:rPr>
            <w:rFonts w:ascii="arial" w:eastAsia="arial" w:hAnsi="arial" w:cs="arial"/>
            <w:b/>
            <w:i/>
            <w:color w:val="0077CC"/>
            <w:sz w:val="20"/>
            <w:u w:val="single"/>
            <w:shd w:val="clear" w:color="auto" w:fill="FFFFFF"/>
            <w:lang w:val="en-US" w:eastAsia="en-US" w:bidi="ar-SA"/>
          </w:rPr>
          <w:t>RSBC 1996, c. 266</w:t>
        </w:r>
      </w:hyperlink>
      <w:r>
        <w:rPr>
          <w:rFonts w:ascii="arial" w:eastAsia="arial" w:hAnsi="arial" w:cs="arial"/>
          <w:b/>
          <w:color w:val="000000"/>
          <w:sz w:val="20"/>
          <w:lang w:val="en-US" w:eastAsia="en-US" w:bidi="ar-SA"/>
        </w:rPr>
        <w:t xml:space="preserve"> — Pension Benefits Standards Act, RSC 1985, c. 32 — Supreme Court Civil Rules, </w:t>
      </w:r>
      <w:r>
        <w:rPr>
          <w:rFonts w:ascii="arial" w:eastAsia="arial" w:hAnsi="arial" w:cs="arial"/>
          <w:b/>
          <w:i/>
          <w:color w:val="000000"/>
          <w:sz w:val="20"/>
          <w:lang w:val="en-US" w:eastAsia="en-US" w:bidi="ar-SA"/>
        </w:rPr>
        <w:t>BC Reg. 168/2009</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 w:name="Case Summary_1"/>
            <w:bookmarkEnd w:id="13"/>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plaintiffs were management employees of the defendant employer (then known as Cominco Ltd.) who were given a one-time option in 1992 to transfer from their defined benefit ("DB") pension plan to a defined contribution ("DC") pension plan, effective January 1993. The employer's plans were governed under the federal </w:t>
            </w:r>
            <w:r>
              <w:rPr>
                <w:rFonts w:ascii="arial" w:eastAsia="arial" w:hAnsi="arial" w:cs="arial"/>
                <w:i/>
                <w:color w:val="000000"/>
                <w:sz w:val="20"/>
                <w:lang w:val="en-US" w:eastAsia="en-US" w:bidi="ar-SA"/>
              </w:rPr>
              <w:t>Pension Benefits Standards Act</w:t>
            </w:r>
            <w:r>
              <w:rPr>
                <w:rFonts w:ascii="arial" w:eastAsia="arial" w:hAnsi="arial" w:cs="arial"/>
                <w:color w:val="000000"/>
                <w:sz w:val="20"/>
                <w:lang w:val="en-US" w:eastAsia="en-US" w:bidi="ar-SA"/>
              </w:rPr>
              <w:t xml:space="preserve"> ("PBSA"). The defendants, in addition to the employer, were the actuarial consulting firm advising the employer and the pension fund asset manager (Cominco Pension Fund Society), which operated under a 1977 Trust Agreement giving it responsibility for custody, investment, management, and administration of the fund. Approximately 10 or 12 years after the transfer to the DC plan, the employees became concerned that the DC plan would leave them with a smaller pension than they would have received under the DB plan. Subsequently, two groups of employees who sought to mount separate class actions consolidated their actions, and claimed that the employer and asset manager breached fiduciary duties owned under the PBSA, that the actuary as agent of the employer was subject to and in breach of the same statutory duties, that the defendants provided untrue, incomplete, inaccurate, or misleading information and were guilty of deceit and/or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Specifically against the asset manager, the plaintiffs alleged that the Society was a trustee with an overriding duty to protect plan members' interests and that it failed to warn employees of the risks of transferring from the DB to the DC plan. The defendants took the position that pursuant to R.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there was no genuine issue for trial, and that all claims, except those based on deceit, were barred by the operation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The defendants applied for summary judgment to dismiss the action.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 w:name="Holdings of Court_0"/>
            <w:bookmarkEnd w:id="14"/>
            <w:r>
              <w:rPr>
                <w:rFonts w:ascii="arial" w:eastAsia="arial" w:hAnsi="arial" w:cs="arial"/>
                <w:color w:val="000000"/>
                <w:sz w:val="20"/>
                <w:lang w:val="en-US" w:eastAsia="en-US" w:bidi="ar-SA"/>
              </w:rPr>
              <w:t>HELD: The action was dismissed only as against the asset manager.</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Relying on the clear terms of the trust agreement, nothing in the trust documents gave the Society a role in creating or advising upon the terms of the pension plan and no duty alleged by the plaintiffs was connected with or arose out of any of the specific duties imposed on the Society through the trust documents. Claims against the other defendants were not properly dismissed on grounds of being statute barred. Determining whether or not the claims fell within the various categories of section 6(3)(</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postponing the limitation period, was not required. The requirement for summary dismissal pursuant to R. 9-6(5), that the defendants establish that there was no genuine issue for trial, could not be met by the defendants. Dismissal against the remaining defendants could be met only if it resulted in dismissal of one or more of the plaintiff's specific claims for relief, and all remedies requested, including certification of a class action, declarations, damages, and injunctions, would still be available even if the plaintiffs succeeded only on a deceit claim. Allowing dismissal would not dismiss any part of the plaintiff's claim but would limit the legal and factual grounds on which the claim could be pursued, and such was not the purpose of R. 9-6(5). The plaintiff's claims were properly dismissed only as against the asset manager.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 w:name="Counsel_1"/>
      <w:bookmarkEnd w:id="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5" style="position:absolute;z-index:2517114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 Mogerman and J.D. Winstanley for the plaintiff; G.B. Gomery, QC, for the defendants Teck Metals Ltd., Cominco Pension Fund Coordinating Society; H. Poulus, QC, for the defendant Towers Perrin Inc.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 w:name="Judgment_1"/>
      <w:bookmarkEnd w:id="16"/>
      <w:r>
        <w:pict>
          <v:line id="_x0000_s1036" style="position:absolute;z-index:251762688" from="0,12pt" to="512pt,12pt" strokecolor="#009ddb" strokeweight="1.5pt">
            <v:stroke linestyle="single"/>
          </v:line>
        </w:pict>
      </w:r>
    </w:p>
    <w:p>
      <w:p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Smith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1992, non-union employees of the defendant Teck Metals Ltd. (then known as Cominco Ltd.) and related companies were offered and accepted changes to their pension plan that they now say have left them with smaller pensions. The plaintiffs in this proposed class action say that employees who elected to make the change were not told of the risks involved. The defendants apply for summary judgment dismissing most of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defendants, in addition to Teck Metals Ltd. ("Teck"), are the Cominco Pension Fund Coordinating Society (the "Society"), which managed the assets of the pension fund, and Towers Watson Canada Inc. (formerly known as Towers Perrin Inc.) ("Towers") an actuarial consulting firm that advised Teck. Each defendant has brought its own summary judgment application, with some differences in the grounds relied 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change at issue was from a defined benefit (the "DB") to a defined contribution (the "DC") pension plan. Individual employees were given a one-time option to transfer their pensions to the new plan, with the change to take effect as of January 1, 1993. The plaintiffs say the new plan exposed the employees, rather than the employer, to the consequences of the pension fund obtaining lower than anticipated income from its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There are actually two actions, one commenced by the plaintiff James Weldon and the other by the plaintiff Leonard Bleier, but the parties have agreed there will be a consent order consolidating the two actions. By agreement, these applications were argued on the basis of a consolidated and amended notice of civil claim that had not yet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plaintiffs are asking that one or both of them be certified as a representative plaintiff on behalf of all current and former employees who elected to change their pension plan. They are in somewhat different positions in that Mr. Weldon has not yet retired, while Mr. Bleier has. The certification application has not yet been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Weldon's action was commenced by a writ of summons under the former Rules of Court in July 2009. An order extending the time for service was obtained almost a year later. Mr. Bleier's action was commenced by notice of civil claim in October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a previous application before me, the defendants sought to set aside the master's order extending the time for service of the writ in the </w:t>
      </w:r>
      <w:r>
        <w:rPr>
          <w:rFonts w:ascii="arial" w:eastAsia="arial" w:hAnsi="arial" w:cs="arial"/>
          <w:i/>
          <w:color w:val="000000"/>
          <w:sz w:val="20"/>
          <w:lang w:val="en-US" w:eastAsia="en-US" w:bidi="ar-SA"/>
        </w:rPr>
        <w:t>Weldon</w:t>
      </w:r>
      <w:r>
        <w:rPr>
          <w:rFonts w:ascii="arial" w:eastAsia="arial" w:hAnsi="arial" w:cs="arial"/>
          <w:color w:val="000000"/>
          <w:sz w:val="20"/>
          <w:lang w:val="en-US" w:eastAsia="en-US" w:bidi="ar-SA"/>
        </w:rPr>
        <w:t xml:space="preserve"> action, arguing that the action was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[Act]. In reasons for judgment dated April 18, 2011, I held that an application to renew a writ was not the appropriate procedure to decide the limitation issue. I dismissed the application, but said the matter may be susceptible to determination on summary trial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or on a special case under Rule 9-3: </w:t>
      </w:r>
      <w:r>
        <w:rPr>
          <w:rFonts w:ascii="arial" w:eastAsia="arial" w:hAnsi="arial" w:cs="arial"/>
          <w:i/>
          <w:color w:val="000000"/>
          <w:sz w:val="20"/>
          <w:lang w:val="en-US" w:eastAsia="en-US" w:bidi="ar-SA"/>
        </w:rPr>
        <w:t>Weldon v. Teck Metals Ltd.</w:t>
      </w:r>
      <w:r>
        <w:rPr>
          <w:rFonts w:ascii="arial" w:eastAsia="arial" w:hAnsi="arial" w:cs="arial"/>
          <w:color w:val="000000"/>
          <w:sz w:val="20"/>
          <w:lang w:val="en-US" w:eastAsia="en-US" w:bidi="ar-SA"/>
        </w:rPr>
        <w:t xml:space="preserve">, </w:t>
      </w:r>
      <w:hyperlink r:id="rId75" w:history="1">
        <w:r>
          <w:rPr>
            <w:rFonts w:ascii="arial" w:eastAsia="arial" w:hAnsi="arial" w:cs="arial"/>
            <w:i/>
            <w:color w:val="0077CC"/>
            <w:sz w:val="20"/>
            <w:u w:val="single"/>
            <w:shd w:val="clear" w:color="auto" w:fill="FFFFFF"/>
            <w:lang w:val="en-US" w:eastAsia="en-US" w:bidi="ar-SA"/>
          </w:rPr>
          <w:t>2011 BCSC 489</w:t>
        </w:r>
      </w:hyperlink>
      <w:r>
        <w:rPr>
          <w:rFonts w:ascii="arial" w:eastAsia="arial" w:hAnsi="arial" w:cs="arial"/>
          <w:color w:val="000000"/>
          <w:sz w:val="20"/>
          <w:lang w:val="en-US" w:eastAsia="en-US" w:bidi="ar-SA"/>
        </w:rPr>
        <w:t xml:space="preserve">. The Court of Appeal subsequently dismissed an appeal in </w:t>
      </w:r>
      <w:r>
        <w:rPr>
          <w:rFonts w:ascii="arial" w:eastAsia="arial" w:hAnsi="arial" w:cs="arial"/>
          <w:i/>
          <w:color w:val="000000"/>
          <w:sz w:val="20"/>
          <w:lang w:val="en-US" w:eastAsia="en-US" w:bidi="ar-SA"/>
        </w:rPr>
        <w:t>Weldon v. Teck Metals Ltd.</w:t>
      </w:r>
      <w:r>
        <w:rPr>
          <w:rFonts w:ascii="arial" w:eastAsia="arial" w:hAnsi="arial" w:cs="arial"/>
          <w:color w:val="000000"/>
          <w:sz w:val="20"/>
          <w:lang w:val="en-US" w:eastAsia="en-US" w:bidi="ar-SA"/>
        </w:rPr>
        <w:t xml:space="preserve">, </w:t>
      </w:r>
      <w:hyperlink r:id="rId76" w:history="1">
        <w:r>
          <w:rPr>
            <w:rFonts w:ascii="arial" w:eastAsia="arial" w:hAnsi="arial" w:cs="arial"/>
            <w:i/>
            <w:color w:val="0077CC"/>
            <w:sz w:val="20"/>
            <w:u w:val="single"/>
            <w:shd w:val="clear" w:color="auto" w:fill="FFFFFF"/>
            <w:lang w:val="en-US" w:eastAsia="en-US" w:bidi="ar-SA"/>
          </w:rPr>
          <w:t>2012 BCCA 53</w:t>
        </w:r>
      </w:hyperlink>
      <w:r>
        <w:rPr>
          <w:rFonts w:ascii="arial" w:eastAsia="arial" w:hAnsi="arial" w:cs="arial"/>
          <w:color w:val="000000"/>
          <w:sz w:val="20"/>
          <w:lang w:val="en-US" w:eastAsia="en-US" w:bidi="ar-SA"/>
        </w:rPr>
        <w:t>., but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Having said this, I see no reason why the defendants should not be permitted to apply to have the action struck at a later date, but prior to the certification hearing. As this court stated in </w:t>
      </w:r>
      <w:r>
        <w:rPr>
          <w:rFonts w:ascii="arial" w:eastAsia="arial" w:hAnsi="arial" w:cs="arial"/>
          <w:i/>
          <w:color w:val="000000"/>
          <w:sz w:val="20"/>
          <w:lang w:val="en-US" w:eastAsia="en-US" w:bidi="ar-SA"/>
        </w:rPr>
        <w:t>Dahl v. Royal Bank of Canada</w:t>
      </w:r>
      <w:r>
        <w:rPr>
          <w:rFonts w:ascii="arial" w:eastAsia="arial" w:hAnsi="arial" w:cs="arial"/>
          <w:color w:val="000000"/>
          <w:sz w:val="20"/>
          <w:lang w:val="en-US" w:eastAsia="en-US" w:bidi="ar-SA"/>
        </w:rPr>
        <w:t xml:space="preserve">, </w:t>
      </w:r>
      <w:hyperlink r:id="rId77" w:history="1">
        <w:r>
          <w:rPr>
            <w:rFonts w:ascii="arial" w:eastAsia="arial" w:hAnsi="arial" w:cs="arial"/>
            <w:i/>
            <w:color w:val="0077CC"/>
            <w:sz w:val="20"/>
            <w:u w:val="single"/>
            <w:shd w:val="clear" w:color="auto" w:fill="FFFFFF"/>
            <w:lang w:val="en-US" w:eastAsia="en-US" w:bidi="ar-SA"/>
          </w:rPr>
          <w:t>2006 BCCA 369</w:t>
        </w:r>
      </w:hyperlink>
      <w:r>
        <w:rPr>
          <w:rFonts w:ascii="arial" w:eastAsia="arial" w:hAnsi="arial" w:cs="arial"/>
          <w:color w:val="000000"/>
          <w:sz w:val="20"/>
          <w:lang w:val="en-US" w:eastAsia="en-US" w:bidi="ar-SA"/>
        </w:rPr>
        <w:t xml:space="preserve"> in the context of an application under (then) R. 18A, it "makes no sense" to expose the parties to the expense of a certification hearing and discovery when the litigation "can be pared to its proper dimensions by the appropriate determination of central legal issues." (Para. 37.) Thus the Court rejected the argument that no such determination should be made until after the certification hearing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At the time of the previous application, the pleadings consisted only of the endorsement on the writ of summons. The claim has now been particularized by the amended and consolidated notice of civil claim. The legal bases alleged are:</w:t>
      </w:r>
      <w:r>
        <w:rPr>
          <w:rFonts w:ascii="arial" w:eastAsia="arial" w:hAnsi="arial" w:cs="arial"/>
          <w:sz w:val="20"/>
          <w:lang w:val="en-US" w:eastAsia="en-US" w:bidi="ar-SA"/>
        </w:rPr>
        <w:cr/>
      </w:r>
    </w:p>
    <w:p>
      <w:pPr>
        <w:numPr>
          <w:numId w:val="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Teck and the Society were in breach of fiduciary duties owed to the plaintiffs and other class members and were in breach of statutory duties under the federal </w:t>
      </w:r>
      <w:r>
        <w:rPr>
          <w:rFonts w:ascii="arial" w:eastAsia="arial" w:hAnsi="arial" w:cs="arial"/>
          <w:i/>
          <w:color w:val="000000"/>
          <w:sz w:val="20"/>
          <w:lang w:val="en-US" w:eastAsia="en-US" w:bidi="ar-SA"/>
        </w:rPr>
        <w:t>Pension Benefits Standards Act</w:t>
      </w:r>
      <w:r>
        <w:rPr>
          <w:rFonts w:ascii="arial" w:eastAsia="arial" w:hAnsi="arial" w:cs="arial"/>
          <w:color w:val="000000"/>
          <w:sz w:val="20"/>
          <w:lang w:val="en-US" w:eastAsia="en-US" w:bidi="ar-SA"/>
        </w:rPr>
        <w:t>, RSC 1985, c. 32.</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Towers, as agent of Teck, was subject to and in breach of the same fiduciary and statutory duties.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providing information that was untrue, incomplete, inaccurate or misleading, all defendants are guilty of deceit and/or negligent misrepresentation.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Teck is vicariously liable for all acts and omissions of Towers and the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this application, the defendants say that all of the plaintiffs claims, except those based on deceit, are barred by operation of the Act. The Society also seeks dismissal based on what it says were the limited duties it had under its Trust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These applications are brought as applications for summary judgment pursuant to Rule 9-6. They are not summary trial applications under Rule 9-7. For purposes of these applications, the relevant portions of Rule 9-6 are: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r>
        <w:rPr>
          <w:rFonts w:ascii="arial" w:eastAsia="arial" w:hAnsi="arial" w:cs="arial"/>
          <w:color w:val="000000"/>
          <w:sz w:val="20"/>
          <w:lang w:val="en-US" w:eastAsia="en-US" w:bidi="ar-SA"/>
        </w:rPr>
        <w:t xml:space="preserve"> In an action, an answering party may, after serving a responding pleading on a claiming party, apply under this rule for judgment dismissing all or part of a claim in the claiming party's originating pleading.</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r>
        <w:rPr>
          <w:rFonts w:ascii="arial" w:eastAsia="arial" w:hAnsi="arial" w:cs="arial"/>
          <w:color w:val="000000"/>
          <w:sz w:val="20"/>
          <w:lang w:val="en-US" w:eastAsia="en-US" w:bidi="ar-SA"/>
        </w:rPr>
        <w:t xml:space="preserve"> On hearing an application under subrule (2) or (4), the court,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if satisfied that there is no genuine issue for trial with respect to a claim or defence, must pronounce judgment or dismiss the claim accordingly,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if satisfied that the only genuine issue is the amount to which the claiming party is entitled, may order a trial of that issue or pronounce judgment with a reference or an accounting to determine the amount,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if satisfied that the only genuine issue is a question of law, may determine the question and pronounce judgment accordingly, and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xml:space="preserve">) may make any other order it considers will further the object of these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Prior to the introduction of the new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in 2010, summary judgment applications by defendants were governed by the former Rule 18(6) and (7).</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 </w:t>
      </w:r>
      <w:r>
        <w:rPr>
          <w:rFonts w:ascii="arial" w:eastAsia="arial" w:hAnsi="arial" w:cs="arial"/>
          <w:b/>
          <w:color w:val="000000"/>
          <w:sz w:val="20"/>
          <w:lang w:val="en-US" w:eastAsia="en-US" w:bidi="ar-SA"/>
        </w:rPr>
        <w:t>Summary judgment for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an action in which an appearance has been entered, the defendant may, on the ground there is no merit in the whole or part of the claim, apply to the court for judgment on an affidavit setting out the facts verifying the defendant's contention that there is no merit in the whole or part of the claim and stating that the deponent knows of no facts which would substantiate the whole or part of the claim.</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Order for summary judgment for defendant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On the hearing of an application under subrule (6) the court may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dismiss the 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make any order referred to in subrule (2), or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grant any other order it thinks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law under the former rule was summarized by the Court of Appeal in </w:t>
      </w:r>
      <w:r>
        <w:rPr>
          <w:rFonts w:ascii="arial" w:eastAsia="arial" w:hAnsi="arial" w:cs="arial"/>
          <w:i/>
          <w:color w:val="000000"/>
          <w:sz w:val="20"/>
          <w:lang w:val="en-US" w:eastAsia="en-US" w:bidi="ar-SA"/>
        </w:rPr>
        <w:t>Skybridge Investments Ltd. v Metro Motors Ltd.</w:t>
      </w:r>
      <w:r>
        <w:rPr>
          <w:rFonts w:ascii="arial" w:eastAsia="arial" w:hAnsi="arial" w:cs="arial"/>
          <w:color w:val="000000"/>
          <w:sz w:val="20"/>
          <w:lang w:val="en-US" w:eastAsia="en-US" w:bidi="ar-SA"/>
        </w:rPr>
        <w:t xml:space="preserve">, </w:t>
      </w:r>
      <w:hyperlink r:id="rId78" w:history="1">
        <w:r>
          <w:rPr>
            <w:rFonts w:ascii="arial" w:eastAsia="arial" w:hAnsi="arial" w:cs="arial"/>
            <w:i/>
            <w:color w:val="0077CC"/>
            <w:sz w:val="20"/>
            <w:u w:val="single"/>
            <w:shd w:val="clear" w:color="auto" w:fill="FFFFFF"/>
            <w:lang w:val="en-US" w:eastAsia="en-US" w:bidi="ar-SA"/>
          </w:rPr>
          <w:t>2006 BCCA 500</w:t>
        </w:r>
      </w:hyperlink>
      <w:r>
        <w:rPr>
          <w:rFonts w:ascii="arial" w:eastAsia="arial" w:hAnsi="arial" w:cs="arial"/>
          <w:color w:val="000000"/>
          <w:sz w:val="20"/>
          <w:lang w:val="en-US" w:eastAsia="en-US" w:bidi="ar-SA"/>
        </w:rPr>
        <w:t xml:space="preserve"> at para. 8. The question was whether there is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 under Rule 18(6), whether the claim is bound to fail, or, under Rule 18(1), bound to succeed. The court was not to determine any issue of fact or law. Before granting an application, the court had to be satisfied that it was "plain and obvious" or "beyond a doubt" the action would not succeed. That test was not met if the court had to assess and weigh the evidence. If the judge hearing the application was left in doubt as to whether there was a triable issue, the application had to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Rule 9-6(5)(</w:t>
      </w:r>
      <w:r>
        <w:rPr>
          <w:rFonts w:ascii="arial" w:eastAsia="arial" w:hAnsi="arial" w:cs="arial"/>
          <w:i/>
          <w:color w:val="000000"/>
          <w:sz w:val="20"/>
          <w:lang w:val="en-US" w:eastAsia="en-US" w:bidi="ar-SA"/>
        </w:rPr>
        <w:t>a</w:t>
      </w:r>
      <w:r>
        <w:rPr>
          <w:rFonts w:ascii="arial" w:eastAsia="arial" w:hAnsi="arial" w:cs="arial"/>
          <w:color w:val="000000"/>
          <w:sz w:val="20"/>
          <w:lang w:val="en-US" w:eastAsia="en-US" w:bidi="ar-SA"/>
        </w:rPr>
        <w:t>) and (</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xml:space="preserve">) are similar to the former rule. In </w:t>
      </w:r>
      <w:r>
        <w:rPr>
          <w:rFonts w:ascii="arial" w:eastAsia="arial" w:hAnsi="arial" w:cs="arial"/>
          <w:i/>
          <w:color w:val="000000"/>
          <w:sz w:val="20"/>
          <w:lang w:val="en-US" w:eastAsia="en-US" w:bidi="ar-SA"/>
        </w:rPr>
        <w:t>Haghdust v. British Columbia Lottery Corporation</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Haghdust</w:t>
      </w:r>
      <w:r>
        <w:rPr>
          <w:rFonts w:ascii="arial" w:eastAsia="arial" w:hAnsi="arial" w:cs="arial"/>
          <w:color w:val="000000"/>
          <w:sz w:val="20"/>
          <w:lang w:val="en-US" w:eastAsia="en-US" w:bidi="ar-SA"/>
        </w:rPr>
        <w:t>], Savage J. said that the standard of</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"no genuine issue for trial" is no different from the "bona fide triable issue" standard under the old rule. Thus, for a claim to be dismissed on a summary judgment </w:t>
      </w:r>
      <w:r>
        <w:rPr>
          <w:rFonts w:ascii="arial" w:eastAsia="arial" w:hAnsi="arial" w:cs="arial"/>
          <w:i/>
          <w:color w:val="000000"/>
          <w:sz w:val="20"/>
          <w:lang w:val="en-US" w:eastAsia="en-US" w:bidi="ar-SA"/>
        </w:rPr>
        <w:t>application, it must be manifestly clear that there</w:t>
      </w:r>
      <w:r>
        <w:rPr>
          <w:rFonts w:ascii="arial" w:eastAsia="arial" w:hAnsi="arial" w:cs="arial"/>
          <w:color w:val="000000"/>
          <w:sz w:val="20"/>
          <w:lang w:val="en-US" w:eastAsia="en-US" w:bidi="ar-SA"/>
        </w:rPr>
        <w:t xml:space="preserve"> is no matter to be tried: </w:t>
      </w:r>
      <w:r>
        <w:rPr>
          <w:rFonts w:ascii="arial" w:eastAsia="arial" w:hAnsi="arial" w:cs="arial"/>
          <w:i/>
          <w:color w:val="000000"/>
          <w:sz w:val="20"/>
          <w:lang w:val="en-US" w:eastAsia="en-US" w:bidi="ar-SA"/>
        </w:rPr>
        <w:t>Progressive Construction Ltd. v. Newton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(1981), 25 B.C.L.R. 330</w:t>
      </w:r>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L.D. v. Provincial Health Services Authority</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2011 BCSC 628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L.D.</w:t>
      </w:r>
      <w:r>
        <w:rPr>
          <w:rFonts w:ascii="arial" w:eastAsia="arial" w:hAnsi="arial" w:cs="arial"/>
          <w:color w:val="000000"/>
          <w:sz w:val="20"/>
          <w:lang w:val="en-US" w:eastAsia="en-US" w:bidi="ar-SA"/>
        </w:rPr>
        <w:t>], Sewell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In my view the existence of Rule 9-7 and the extensive jurisprudence that has developed the scope of the court's jurisdiction under its predecessor, Rule18A, suggest that I should be cautious about expanding the scope of what should properly be decided under Rule 9-6. In particular, I do not think that I should weigh evidence, assess credibility or draw inferences against the party defending the application when determining whether there is a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 would add the observation that the predecessor to Rule 9-7 was enacted specifically to provide a procedure less limiting than summary judgment, allowing the court in appropriate circumstances to weigh evidence and determine disputed questions of fact or law. The new rules have retained summary judgment and summary trial as separate and distinct procedures. Expanding the scope of what may decided under Rule 9-6 would create confusion by blurring that distinction and would serve no useful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one respect, the new rule does expand the circumstances under which the court can grant summary judgment. Rule 9-6(5)(</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permits the court to make a decision on a question of law. But in </w:t>
      </w:r>
      <w:r>
        <w:rPr>
          <w:rFonts w:ascii="arial" w:eastAsia="arial" w:hAnsi="arial" w:cs="arial"/>
          <w:i/>
          <w:color w:val="000000"/>
          <w:sz w:val="20"/>
          <w:lang w:val="en-US" w:eastAsia="en-US" w:bidi="ar-SA"/>
        </w:rPr>
        <w:t>L.D.</w:t>
      </w:r>
      <w:r>
        <w:rPr>
          <w:rFonts w:ascii="arial" w:eastAsia="arial" w:hAnsi="arial" w:cs="arial"/>
          <w:color w:val="000000"/>
          <w:sz w:val="20"/>
          <w:lang w:val="en-US" w:eastAsia="en-US" w:bidi="ar-SA"/>
        </w:rPr>
        <w:t xml:space="preserve"> Sewell J. considered the new provision and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think I should also be cautious about deciding issues of law on this application. I am of the view that I should decide an issue of law only if I am satisfied that there is no real dispute about the material facts and that the issue of law is well settled by authoritative jurisprudence. It seems to me that Rule 9-7 is better suited for deciding novel points of law because on a summary trial the court will have a more complete record framing the question of law. I also note that Rules 9-3 and 9-4 are available for determining points of law on an agreed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proper application of Rule 9-5(</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was also addressed in </w:t>
      </w:r>
      <w:r>
        <w:rPr>
          <w:rFonts w:ascii="arial" w:eastAsia="arial" w:hAnsi="arial" w:cs="arial"/>
          <w:i/>
          <w:color w:val="000000"/>
          <w:sz w:val="20"/>
          <w:lang w:val="en-US" w:eastAsia="en-US" w:bidi="ar-SA"/>
        </w:rPr>
        <w:t>Haghdust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Rule 9-6(5)(c) also limits determinations of questions of law to certain circumstances. That is, the court may only make determinations on questions of law where it would allow the court "to pronounce judgment accordingly". In the context of Rule 9-6(4), where the application is to dismiss "all or part of the claim", this means that determination of the question of law must allow the court to pronounce judgment on at least part of the claim. Of course, an application for summary judgment seeks a final order: </w:t>
      </w:r>
      <w:r>
        <w:rPr>
          <w:rFonts w:ascii="arial" w:eastAsia="arial" w:hAnsi="arial" w:cs="arial"/>
          <w:i/>
          <w:color w:val="000000"/>
          <w:sz w:val="20"/>
          <w:lang w:val="en-US" w:eastAsia="en-US" w:bidi="ar-SA"/>
        </w:rPr>
        <w:t>Forest Glen Wood Products Ltd. v. British Columbia (Minister of Forests)</w:t>
      </w:r>
      <w:r>
        <w:rPr>
          <w:rFonts w:ascii="arial" w:eastAsia="arial" w:hAnsi="arial" w:cs="arial"/>
          <w:color w:val="000000"/>
          <w:sz w:val="20"/>
          <w:lang w:val="en-US" w:eastAsia="en-US" w:bidi="ar-SA"/>
        </w:rPr>
        <w:t xml:space="preserve">, </w:t>
      </w:r>
      <w:hyperlink r:id="rId81" w:history="1">
        <w:r>
          <w:rPr>
            <w:rFonts w:ascii="arial" w:eastAsia="arial" w:hAnsi="arial" w:cs="arial"/>
            <w:i/>
            <w:color w:val="0077CC"/>
            <w:sz w:val="20"/>
            <w:u w:val="single"/>
            <w:shd w:val="clear" w:color="auto" w:fill="FFFFFF"/>
            <w:lang w:val="en-US" w:eastAsia="en-US" w:bidi="ar-SA"/>
          </w:rPr>
          <w:t>2008 BCCA 480</w:t>
        </w:r>
      </w:hyperlink>
      <w:r>
        <w:rPr>
          <w:rFonts w:ascii="arial" w:eastAsia="arial" w:hAnsi="arial" w:cs="arial"/>
          <w:color w:val="000000"/>
          <w:sz w:val="20"/>
          <w:lang w:val="en-US" w:eastAsia="en-US" w:bidi="ar-SA"/>
        </w:rPr>
        <w:t>. Since an application for summary judgment seeks a final order, it would be wrong or at least premature to decide a question of law that did not lead to that result pursuant to this provision.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It seems, then, that jurisdiction under Rule 9-6(5)(c) is intended to allow the court to determine on a summary basis whether there is a genuine question of law standing between the plaintiff's claim and judgment: See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at para. 10, </w:t>
      </w:r>
      <w:r>
        <w:rPr>
          <w:rFonts w:ascii="arial" w:eastAsia="arial" w:hAnsi="arial" w:cs="arial"/>
          <w:i/>
          <w:color w:val="000000"/>
          <w:sz w:val="20"/>
          <w:lang w:val="en-US" w:eastAsia="en-US" w:bidi="ar-SA"/>
        </w:rPr>
        <w:t>Leclair v. Ontario (Attorney General)</w:t>
      </w:r>
      <w:r>
        <w:rPr>
          <w:rFonts w:ascii="arial" w:eastAsia="arial" w:hAnsi="arial" w:cs="arial"/>
          <w:color w:val="000000"/>
          <w:sz w:val="20"/>
          <w:lang w:val="en-US" w:eastAsia="en-US" w:bidi="ar-SA"/>
        </w:rPr>
        <w:t xml:space="preserve"> </w:t>
      </w:r>
      <w:hyperlink r:id="rId82" w:history="1">
        <w:r>
          <w:rPr>
            <w:rFonts w:ascii="arial" w:eastAsia="arial" w:hAnsi="arial" w:cs="arial"/>
            <w:i/>
            <w:color w:val="0077CC"/>
            <w:sz w:val="20"/>
            <w:u w:val="single"/>
            <w:shd w:val="clear" w:color="auto" w:fill="FFFFFF"/>
            <w:lang w:val="en-US" w:eastAsia="en-US" w:bidi="ar-SA"/>
          </w:rPr>
          <w:t>(2008), 93 O.R. (3d) 131</w:t>
        </w:r>
      </w:hyperlink>
      <w:r>
        <w:rPr>
          <w:rFonts w:ascii="arial" w:eastAsia="arial" w:hAnsi="arial" w:cs="arial"/>
          <w:color w:val="000000"/>
          <w:sz w:val="20"/>
          <w:lang w:val="en-US" w:eastAsia="en-US" w:bidi="ar-SA"/>
        </w:rPr>
        <w:t xml:space="preserve">, aff'd, </w:t>
      </w:r>
      <w:hyperlink r:id="rId83" w:history="1">
        <w:r>
          <w:rPr>
            <w:rFonts w:ascii="arial" w:eastAsia="arial" w:hAnsi="arial" w:cs="arial"/>
            <w:i/>
            <w:color w:val="0077CC"/>
            <w:sz w:val="20"/>
            <w:u w:val="single"/>
            <w:shd w:val="clear" w:color="auto" w:fill="FFFFFF"/>
            <w:lang w:val="en-US" w:eastAsia="en-US" w:bidi="ar-SA"/>
          </w:rPr>
          <w:t>2009 ONCA 471</w:t>
        </w:r>
      </w:hyperlink>
      <w:r>
        <w:rPr>
          <w:rFonts w:ascii="arial" w:eastAsia="arial" w:hAnsi="arial" w:cs="arial"/>
          <w:color w:val="000000"/>
          <w:sz w:val="20"/>
          <w:lang w:val="en-US" w:eastAsia="en-US" w:bidi="ar-SA"/>
        </w:rPr>
        <w:t xml:space="preserve">. Where the state of the law is clear, and there is a straightforward answer to a legal question that will allow the court to dispose of the claim and thus protect its processes from abuse by unmeritorious claims and defences, then the court may answer the question. </w:t>
      </w:r>
      <w:r>
        <w:rPr>
          <w:rFonts w:ascii="arial" w:eastAsia="arial" w:hAnsi="arial" w:cs="arial"/>
          <w:color w:val="000000"/>
          <w:sz w:val="20"/>
          <w:u w:val="single"/>
          <w:lang w:val="en-US" w:eastAsia="en-US" w:bidi="ar-SA"/>
        </w:rPr>
        <w:t>It does not confer a broad discretion to determine issues of law that might otherwise be germane to a proceeding falling short of allowing the court to pronounce judgment on all or part of a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Society's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claim against the Society is based on a failure to warn employees. Paragraph 41 of the consolidated and amended notice of civil claim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Before the Election was made, the Society did not warn the beneficiaries of the DB Plan of the risk of transferring to the DC Plan. [Emphasis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do not suggest they had any direct dealings with the Society. Mr. Weldon's affidavit says he received information about the proposed change at meetings with senior Teck managers and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Prior to November 30, 1992, based primarily on the information provided by Teck, I submitted the appropriate paperwork electing to move to the DC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Nor do the plaintiffs allege that their reduced pensions are the result of any failure by the Society to hold or properly manage the funds. On the contrary, the plaintiffs' case is based on the assertion that the risk of reduced pension benefits was inherent in the new plan from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Society applies for summary dismissal of the claim against it on the ground that it was simply a trustee of the pension fund assets, that it had no direct dealings with plan members and was under no duty to advise them. The application is therefore one that raises questions of both fact and law and can only succeed if it is plain and obvious the plaintiff cannot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Society relies on its Trust Agreement, dated January 1, 1977, which stated that it was to be responsible for the "custody, investment, management and administration" of existing pension funds and future contributions and for "the administration of benefits." The agreement also provided:</w:t>
      </w:r>
      <w:r>
        <w:rPr>
          <w:rFonts w:ascii="arial" w:eastAsia="arial" w:hAnsi="arial" w:cs="arial"/>
          <w:sz w:val="20"/>
          <w:lang w:val="en-US" w:eastAsia="en-US" w:bidi="ar-SA"/>
        </w:rPr>
        <w:cr/>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Subject to the provisions of Article 4 hereof, the Society shall from time to time make payments out of the Pooled Fund to such persons, in such manner and in such amounts as is in accordance with the terms of the Plans.</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Anything contained in the Agreement to the contrary notwithstanding, no part of the Pooled Fund (other than such part as is required to pay taxes and administration fees and expenses) shall be used for or diverted to purposes other than for the exclusive benefit of the employee members of the Plans or their beneficiaries or estates, so long as the Plans are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say the Society had an over-riding duty as trustee to protect the interest of plan members. The Society acknowledges that it was a trustee, but only for the purposes set out in the Trust Agreement, which did not include providing information or advice to plan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Froese v. Montreal Trust Co. of Canada</w:t>
      </w:r>
      <w:r>
        <w:rPr>
          <w:rFonts w:ascii="arial" w:eastAsia="arial" w:hAnsi="arial" w:cs="arial"/>
          <w:color w:val="000000"/>
          <w:sz w:val="20"/>
          <w:lang w:val="en-US" w:eastAsia="en-US" w:bidi="ar-SA"/>
        </w:rPr>
        <w:t xml:space="preserve">, </w:t>
      </w:r>
      <w:hyperlink r:id="rId84" w:history="1">
        <w:r>
          <w:rPr>
            <w:rFonts w:ascii="arial" w:eastAsia="arial" w:hAnsi="arial" w:cs="arial"/>
            <w:i/>
            <w:color w:val="0077CC"/>
            <w:sz w:val="20"/>
            <w:u w:val="single"/>
            <w:shd w:val="clear" w:color="auto" w:fill="FFFFFF"/>
            <w:lang w:val="en-US" w:eastAsia="en-US" w:bidi="ar-SA"/>
          </w:rPr>
          <w:t>76 BCAC 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Froese</w:t>
      </w:r>
      <w:r>
        <w:rPr>
          <w:rFonts w:ascii="arial" w:eastAsia="arial" w:hAnsi="arial" w:cs="arial"/>
          <w:color w:val="000000"/>
          <w:sz w:val="20"/>
          <w:lang w:val="en-US" w:eastAsia="en-US" w:bidi="ar-SA"/>
        </w:rPr>
        <w:t>], in which an employer and ceased making contributions to a pension plan and a "custodial trustee" was found liable for failing to warn beneficiaries of the danger that created to the pension fund. The Court of Appeal said at para. 39 that a custodial trustee, in addition to contractual duties provided in the trust indenture, owes an overarching common law duty to consider the interests of beneficiaries. However, the Court said this obligation "arises only within the function assigned to or assumed by the trustee."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Dealing with the facts of the case before it, the Court in </w:t>
      </w:r>
      <w:r>
        <w:rPr>
          <w:rFonts w:ascii="arial" w:eastAsia="arial" w:hAnsi="arial" w:cs="arial"/>
          <w:i/>
          <w:color w:val="000000"/>
          <w:sz w:val="20"/>
          <w:lang w:val="en-US" w:eastAsia="en-US" w:bidi="ar-SA"/>
        </w:rPr>
        <w:t>Froese</w:t>
      </w:r>
      <w:r>
        <w:rPr>
          <w:rFonts w:ascii="arial" w:eastAsia="arial" w:hAnsi="arial" w:cs="arial"/>
          <w:color w:val="000000"/>
          <w:sz w:val="20"/>
          <w:lang w:val="en-US" w:eastAsia="en-US" w:bidi="ar-SA"/>
        </w:rPr>
        <w:t xml:space="preserv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59In my view, there is more involved in this case than volunteering information. In the ordinary course of its contractual responsibility as administrator or custodial trustee, the defendant became aware, as found by the trial judge, that required contributions were not being made. In view of the fact that payments were flowing out of the fund, a prudent administrator, in my view, was required to make inquiries of the Company and possibly of the actuary which would have permitted the defendant to make a prudent decision about what should be done to protect the beneficiaries. The duty of care it owed to the beneficiaries did not permit it to do nothing when the plan was at risk. Simple inquiries would have filled in any gaps that existed in the defendants understanding of the context.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60 Thus, within the scope of its duties as administrator, it is my view that the defendant breached its duty of care to the beneficiaries when it failed to respond to the discontinuance of Company contributions.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breach of duty found in </w:t>
      </w:r>
      <w:r>
        <w:rPr>
          <w:rFonts w:ascii="arial" w:eastAsia="arial" w:hAnsi="arial" w:cs="arial"/>
          <w:i/>
          <w:color w:val="000000"/>
          <w:sz w:val="20"/>
          <w:lang w:val="en-US" w:eastAsia="en-US" w:bidi="ar-SA"/>
        </w:rPr>
        <w:t>Froese</w:t>
      </w:r>
      <w:r>
        <w:rPr>
          <w:rFonts w:ascii="arial" w:eastAsia="arial" w:hAnsi="arial" w:cs="arial"/>
          <w:color w:val="000000"/>
          <w:sz w:val="20"/>
          <w:lang w:val="en-US" w:eastAsia="en-US" w:bidi="ar-SA"/>
        </w:rPr>
        <w:t xml:space="preserve"> was directly related to the trustee's role in receiving and holding funds. This case deals with a change in the respective rights and obligations of the pension plan and its members. Nothing in the trust document gives the Society a role in creating or advising upon the terms of the pension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cannot find the duty alleged by the plaintiffs to be connected with or arising out of any of the specific duties imposed on the Society through the trust document. The plaintiffs have neither alleged nor deposed to any additional facts or circumstances capable of creating such a duty. Relying on the clear terms of the trust document, I find that the plaintiffs' claim against the Society raises no genuine issue for trial and the Society is entitled to summary judgment dismissing the claim against it.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Teck's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application by Teck is based on its assertion that the plaintiffs' claim is barred by the Act. It is common ground that the relevant limitation period is set out in s. 3(5) of the Act: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 periods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Any other action not specifically provided for in this Act or any other Act may not be brought after the expiration of 6 years after the date on which the right to do so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Teck says the right to bring an action arose when the pension changes went into effect on January 1, 1993 and the claim is statute barred unless the plaintiffs can bring themselves within the postponement provisions of s. 6 of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both say in affidavits that that it was not until 2005 that they began to become aware of potential problems with their pension plan. Mr. Weldon says it was not until 2008 that he learned, after investigation by an employee committee, that employees on the DC plan would have smaller pensions than what they would have had on the DB plan. Mr. Bleier says he made inquiries in 2005 and learned that he would have a smaller pension, but didn't start to think legal action was possible until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plaintiffs say the limitation period was postponed and rely on ss. 6(3)(</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and (</w:t>
      </w:r>
      <w:r>
        <w:rPr>
          <w:rFonts w:ascii="arial" w:eastAsia="arial" w:hAnsi="arial" w:cs="arial"/>
          <w:i/>
          <w:color w:val="000000"/>
          <w:sz w:val="20"/>
          <w:lang w:val="en-US" w:eastAsia="en-US" w:bidi="ar-SA"/>
        </w:rPr>
        <w:t>h</w:t>
      </w:r>
      <w:r>
        <w:rPr>
          <w:rFonts w:ascii="arial" w:eastAsia="arial" w:hAnsi="arial" w:cs="arial"/>
          <w:color w:val="000000"/>
          <w:sz w:val="20"/>
          <w:lang w:val="en-US" w:eastAsia="en-US" w:bidi="ar-SA"/>
        </w:rPr>
        <w:t>) of the Act, which read: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6(3) The running of time with respect to the limitation periods set by this Act for any of the following actions is postponed as provided in subsection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b</w:t>
      </w:r>
      <w:r>
        <w:rPr>
          <w:rFonts w:ascii="arial" w:eastAsia="arial" w:hAnsi="arial" w:cs="arial"/>
          <w:color w:val="000000"/>
          <w:sz w:val="20"/>
          <w:lang w:val="en-US" w:eastAsia="en-US" w:bidi="ar-SA"/>
        </w:rPr>
        <w:t>) for damage to property;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xml:space="preserve">)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based on fraud or deceit;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e</w:t>
      </w:r>
      <w:r>
        <w:rPr>
          <w:rFonts w:ascii="arial" w:eastAsia="arial" w:hAnsi="arial" w:cs="arial"/>
          <w:color w:val="000000"/>
          <w:sz w:val="20"/>
          <w:lang w:val="en-US" w:eastAsia="en-US" w:bidi="ar-SA"/>
        </w:rPr>
        <w:t>) in which material facts relating to the cause of action have been wilfully concealed;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w:t>
      </w:r>
      <w:r>
        <w:rPr>
          <w:rFonts w:ascii="arial" w:eastAsia="arial" w:hAnsi="arial" w:cs="arial"/>
          <w:color w:val="000000"/>
          <w:sz w:val="20"/>
          <w:lang w:val="en-US" w:eastAsia="en-US" w:bidi="ar-SA"/>
        </w:rPr>
        <w:t>) for breach of trust not within subsection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Teck says that none of the plaintiffs' claims, except the claim in deceit, fall within any of those categories. The action is not one involving physical damage to property, there is no claim of breach of trust and, as against Teck, no claim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for wilful concealment, Teck says the plaintiffs have provided no evidence of any material facts they learned after 2005 that had previously been concealed. The plaintiffs rely on authorities that, they say, require the court to give a broad interpretation to the categories in s. 6(3) and say their claim fits within all the categories relied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Postponement of a limitation period is normally a question of fact, requiring consideration of what the plaintiff knew, ought to have known or could have discovered at the relevant time. However, those factual issues are irrelevant if the action is not one contemplated by s. 6. That is a question of law and this application therefore requires consideration of Rule 9-6(5)(</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Teck concedes that, to the extent the plaintiffs' claim is based on deceit, postponement of the limitation period is possible under s. 6(3)(</w:t>
      </w:r>
      <w:r>
        <w:rPr>
          <w:rFonts w:ascii="arial" w:eastAsia="arial" w:hAnsi="arial" w:cs="arial"/>
          <w:i/>
          <w:color w:val="000000"/>
          <w:sz w:val="20"/>
          <w:lang w:val="en-US" w:eastAsia="en-US" w:bidi="ar-SA"/>
        </w:rPr>
        <w:t>d</w:t>
      </w:r>
      <w:r>
        <w:rPr>
          <w:rFonts w:ascii="arial" w:eastAsia="arial" w:hAnsi="arial" w:cs="arial"/>
          <w:color w:val="000000"/>
          <w:sz w:val="20"/>
          <w:lang w:val="en-US" w:eastAsia="en-US" w:bidi="ar-SA"/>
        </w:rPr>
        <w:t>). The allegation of deceit is combined with the allegation of negligent misrepresentation in the following passages of the consolidated and amended notice of civil claim</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Teck, the Society and Towers, and the plaintiffs and all other Class Members, were in a special relationship such that Teck, the Society and Towers ought to have reasonably foreseen that the plaintiffs and all other Class Members would rely on the Information Material when making their Election to transfer to the DC Plan.</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Information Material was untrue, incomplete, inaccurate or misleading.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Teck, the Society and Towers knew, or ought to have known, that the Information Material was untrue, incomplete, inaccurate or misleading.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all other Class Members did rely on the Information Material when making the Election, and that reliance was reasonable.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and all other Class Members' reliance on the Information Material resulted, or will result, in damage to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removed.]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Those allegations, along with allegations related to breach of fiduciary duty, are contained in Part 3 of the Notice of Civil Claim, which requires the plaintiffs to set out the legal grounds for the claim. However, the relief the plaintiffs seek is set out in Part 2, which reads.</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on their own behalf and on behalf of the Class Members seek the following relief:</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certifying this action as a class proceeding and appointing the plaintiff Weldon, and if required Bleier, as representative plaintiff;</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Teck, in its capacity as employer, owed the plaintiffs and all other Class Members a duty of good faith and fiduciary duty to advise its employees fully of the consequences of their Elections and breached those duties;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Teck, in its capacity as pension administrator, and Towers, in its capacity as agent and advisor to Teck, owed the plaintiffs and all other Class Members fiduciary duties and statutory duties and breached those duties;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declaration that Teck, the Society and Towers owed the plaintiffs and all other Class Members a duty of care and breached that duty;</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injunction requiring Teck to reinstate the plaintiffs and all other Class Members as members of the DB Plan with all of the rights and benefits that they would have had if they had not transferred to the DC Plan;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for an accounting of the profits made by Teck as a result of the plaintiffs and all other Class Members' transfer to the DC Plan;</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in the amount necessary to provide the plaintiffs and all other Class Members with the pension and other benefits that would have accrued to them had they remained in the DB Plan, or a declaration of entitlement to those amounts;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interest pursuant to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R.S.B.C. 1996, c. 79, s.128; and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such further and other relief as to this Honourable Court may seem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Applying the approach adopted by the Court in </w:t>
      </w:r>
      <w:r>
        <w:rPr>
          <w:rFonts w:ascii="arial" w:eastAsia="arial" w:hAnsi="arial" w:cs="arial"/>
          <w:i/>
          <w:color w:val="000000"/>
          <w:sz w:val="20"/>
          <w:lang w:val="en-US" w:eastAsia="en-US" w:bidi="ar-SA"/>
        </w:rPr>
        <w:t>Haghdust</w:t>
      </w:r>
      <w:r>
        <w:rPr>
          <w:rFonts w:ascii="arial" w:eastAsia="arial" w:hAnsi="arial" w:cs="arial"/>
          <w:color w:val="000000"/>
          <w:sz w:val="20"/>
          <w:lang w:val="en-US" w:eastAsia="en-US" w:bidi="ar-SA"/>
        </w:rPr>
        <w:t>, I can only accede to Teck's application if it results in dismissal of one or more of those specific claims for relief. In my view, none of them can be dismissed because all of those remedies would still be available to the plaintiffs even if they succeeded only in a deceit claim. The effect of allowing Teck's application would not be to dismiss any part of the plaintiffs' claim, but to limit the legal and factual grounds on which the claim can be pursued. That is not the purpose of Rule 9-6(5)(</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and Teck's application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Counsel made extensive submissions on whether or not the claim falls within the various categories set out in s. 6(3). Because of the basis on which I have dismissed Teck's application, it is not necessary for me to deal with those submissions. Because it is anticipated that I will hear any further applications and any trial in this matter, it is particularly important that I say nothing about issues that do not need to be decided at this early stage.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Towers'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addition to supporting Teck's submissions, Towers focuses on the reference to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 6(3)(</w:t>
      </w:r>
      <w:r>
        <w:rPr>
          <w:rFonts w:ascii="arial" w:eastAsia="arial" w:hAnsi="arial" w:cs="arial"/>
          <w:i/>
          <w:color w:val="000000"/>
          <w:sz w:val="20"/>
          <w:lang w:val="en-US" w:eastAsia="en-US" w:bidi="ar-SA"/>
        </w:rPr>
        <w:t>c</w:t>
      </w:r>
      <w:r>
        <w:rPr>
          <w:rFonts w:ascii="arial" w:eastAsia="arial" w:hAnsi="arial" w:cs="arial"/>
          <w:color w:val="000000"/>
          <w:sz w:val="20"/>
          <w:lang w:val="en-US" w:eastAsia="en-US" w:bidi="ar-SA"/>
        </w:rPr>
        <w:t>) of the Act. Towers says that it advised Teck on the implementation of the new pension plan, but says it had not designed or recommended that plan, was not involved in the creation or distribution of material that Teck provided to its employees and had no direct dealings with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Towers says that where the Act refers to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term must be applied as it was understood when the legislation was enacted in 1975. At that time, Towers says, the term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referred only to claims in contract against professionals by their clients. Towers says that in using that term in 1975, the legislature must have intended to limit it to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One authority that Towers relies upon is </w:t>
      </w:r>
      <w:r>
        <w:rPr>
          <w:rFonts w:ascii="arial" w:eastAsia="arial" w:hAnsi="arial" w:cs="arial"/>
          <w:i/>
          <w:color w:val="000000"/>
          <w:sz w:val="20"/>
          <w:lang w:val="en-US" w:eastAsia="en-US" w:bidi="ar-SA"/>
        </w:rPr>
        <w:t>R. v. Perka</w:t>
      </w:r>
      <w:r>
        <w:rPr>
          <w:rFonts w:ascii="arial" w:eastAsia="arial" w:hAnsi="arial" w:cs="arial"/>
          <w:color w:val="000000"/>
          <w:sz w:val="20"/>
          <w:lang w:val="en-US" w:eastAsia="en-US" w:bidi="ar-SA"/>
        </w:rPr>
        <w:t xml:space="preserve">, </w:t>
      </w:r>
      <w:hyperlink r:id="rId85" w:history="1">
        <w:r>
          <w:rPr>
            <w:rFonts w:ascii="arial" w:eastAsia="arial" w:hAnsi="arial" w:cs="arial"/>
            <w:i/>
            <w:color w:val="0077CC"/>
            <w:sz w:val="20"/>
            <w:u w:val="single"/>
            <w:shd w:val="clear" w:color="auto" w:fill="FFFFFF"/>
            <w:lang w:val="en-US" w:eastAsia="en-US" w:bidi="ar-SA"/>
          </w:rPr>
          <w:t>[1984] 2 SCR 232</w:t>
        </w:r>
      </w:hyperlink>
      <w:r>
        <w:rPr>
          <w:rFonts w:ascii="arial" w:eastAsia="arial" w:hAnsi="arial" w:cs="arial"/>
          <w:color w:val="000000"/>
          <w:sz w:val="20"/>
          <w:lang w:val="en-US" w:eastAsia="en-US" w:bidi="ar-SA"/>
        </w:rPr>
        <w:t xml:space="preserve"> at 264-265, where the Supreme Court of Canada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doctrine of contemporanea expositio is well established in our law. "The words of a statute must be construed as they would have been the day after the statute was passed ..." Sharpe v. Wakefleld (1888), 22 Q.B.D. 239, at p. 242 (per Lord Esher, M.R.). See also Driedger, Construction of Statutes (2nd ed. 1983) at p. 163: "Since a statute must be considered in the light of all circumstances existing at the time of its enactment it follows logically that words must be given the meanings they had at the time of enactment, and the courts have so held"; Maxwell on the Interpretation of Statutes, supra, at p. 85: "The words of an Act will generally be understood in the sense which they bore when it was passed".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However, the Court in the next paragraph added: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does not mean, of course, that all terms in all statutes must always be confined to their original meanings. Broad statutory categories are often held to include things unknown when the statute was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another case relied upon by Towers, </w:t>
      </w:r>
      <w:r>
        <w:rPr>
          <w:rFonts w:ascii="arial" w:eastAsia="arial" w:hAnsi="arial" w:cs="arial"/>
          <w:i/>
          <w:color w:val="000000"/>
          <w:sz w:val="20"/>
          <w:lang w:val="en-US" w:eastAsia="en-US" w:bidi="ar-SA"/>
        </w:rPr>
        <w:t>British Columbia Veterinary Medical Assn. v. Bishop (c.o.b. The Horse's Mouth Equine Dentistry)</w:t>
      </w:r>
      <w:r>
        <w:rPr>
          <w:rFonts w:ascii="arial" w:eastAsia="arial" w:hAnsi="arial" w:cs="arial"/>
          <w:color w:val="000000"/>
          <w:sz w:val="20"/>
          <w:lang w:val="en-US" w:eastAsia="en-US" w:bidi="ar-SA"/>
        </w:rPr>
        <w:t xml:space="preserve">, </w:t>
      </w:r>
      <w:hyperlink r:id="rId86" w:history="1">
        <w:r>
          <w:rPr>
            <w:rFonts w:ascii="arial" w:eastAsia="arial" w:hAnsi="arial" w:cs="arial"/>
            <w:i/>
            <w:color w:val="0077CC"/>
            <w:sz w:val="20"/>
            <w:u w:val="single"/>
            <w:shd w:val="clear" w:color="auto" w:fill="FFFFFF"/>
            <w:lang w:val="en-US" w:eastAsia="en-US" w:bidi="ar-SA"/>
          </w:rPr>
          <w:t>2006 BCSC 556</w:t>
        </w:r>
      </w:hyperlink>
      <w:r>
        <w:rPr>
          <w:rFonts w:ascii="arial" w:eastAsia="arial" w:hAnsi="arial" w:cs="arial"/>
          <w:color w:val="000000"/>
          <w:sz w:val="20"/>
          <w:lang w:val="en-US" w:eastAsia="en-US" w:bidi="ar-SA"/>
        </w:rPr>
        <w:t>, Cohen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Applying the Original Meaning Rule in statutory interpretation is the exception rather than the rule. As set out in </w:t>
      </w:r>
      <w:r>
        <w:rPr>
          <w:rFonts w:ascii="arial" w:eastAsia="arial" w:hAnsi="arial" w:cs="arial"/>
          <w:i/>
          <w:color w:val="000000"/>
          <w:sz w:val="20"/>
          <w:lang w:val="en-US" w:eastAsia="en-US" w:bidi="ar-SA"/>
        </w:rPr>
        <w:t>Sullivan and Driedger, supra</w:t>
      </w:r>
      <w:r>
        <w:rPr>
          <w:rFonts w:ascii="arial" w:eastAsia="arial" w:hAnsi="arial" w:cs="arial"/>
          <w:color w:val="000000"/>
          <w:sz w:val="20"/>
          <w:lang w:val="en-US" w:eastAsia="en-US" w:bidi="ar-SA"/>
        </w:rPr>
        <w:t>, at p. 105: It is presumed that the meaning of words used in legislation is stable. Unless there is reason to suppose that a change in meaning has occurred, the current and the contemporaneous understandings of a provision are assumed to be the same. However, this assumption is open to challenge[.].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rely on </w:t>
      </w:r>
      <w:r>
        <w:rPr>
          <w:rFonts w:ascii="arial" w:eastAsia="arial" w:hAnsi="arial" w:cs="arial"/>
          <w:i/>
          <w:color w:val="000000"/>
          <w:sz w:val="20"/>
          <w:lang w:val="en-US" w:eastAsia="en-US" w:bidi="ar-SA"/>
        </w:rPr>
        <w:t>R. v. Amato</w:t>
      </w:r>
      <w:r>
        <w:rPr>
          <w:rFonts w:ascii="arial" w:eastAsia="arial" w:hAnsi="arial" w:cs="arial"/>
          <w:color w:val="000000"/>
          <w:sz w:val="20"/>
          <w:lang w:val="en-US" w:eastAsia="en-US" w:bidi="ar-SA"/>
        </w:rPr>
        <w:t xml:space="preserve">, </w:t>
      </w:r>
      <w:hyperlink r:id="rId87" w:history="1">
        <w:r>
          <w:rPr>
            <w:rFonts w:ascii="arial" w:eastAsia="arial" w:hAnsi="arial" w:cs="arial"/>
            <w:i/>
            <w:color w:val="0077CC"/>
            <w:sz w:val="20"/>
            <w:u w:val="single"/>
            <w:shd w:val="clear" w:color="auto" w:fill="FFFFFF"/>
            <w:lang w:val="en-US" w:eastAsia="en-US" w:bidi="ar-SA"/>
          </w:rPr>
          <w:t>[1982] 2 SCR 418</w:t>
        </w:r>
      </w:hyperlink>
      <w:r>
        <w:rPr>
          <w:rFonts w:ascii="arial" w:eastAsia="arial" w:hAnsi="arial" w:cs="arial"/>
          <w:color w:val="000000"/>
          <w:sz w:val="20"/>
          <w:lang w:val="en-US" w:eastAsia="en-US" w:bidi="ar-SA"/>
        </w:rPr>
        <w:t xml:space="preserve"> at 443,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conventional view has been that the common law is always speaking. Some theories hold that it is a process of discovery, others of evolution. Whatever it might be properly classified to be in jurisprudence it would take the clearest and most precise language in a statute which purports to incorporate the principles of common law to so construe it as to crystallize the common law at the date of enactment of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Bell ExpressVu Limited Partnership v. Rex</w:t>
      </w:r>
      <w:r>
        <w:rPr>
          <w:rFonts w:ascii="arial" w:eastAsia="arial" w:hAnsi="arial" w:cs="arial"/>
          <w:color w:val="000000"/>
          <w:sz w:val="20"/>
          <w:lang w:val="en-US" w:eastAsia="en-US" w:bidi="ar-SA"/>
        </w:rPr>
        <w:t xml:space="preserve">, </w:t>
      </w:r>
      <w:hyperlink r:id="rId88" w:history="1">
        <w:r>
          <w:rPr>
            <w:rFonts w:ascii="arial" w:eastAsia="arial" w:hAnsi="arial" w:cs="arial"/>
            <w:i/>
            <w:color w:val="0077CC"/>
            <w:sz w:val="20"/>
            <w:u w:val="single"/>
            <w:shd w:val="clear" w:color="auto" w:fill="FFFFFF"/>
            <w:lang w:val="en-US" w:eastAsia="en-US" w:bidi="ar-SA"/>
          </w:rPr>
          <w:t>2002 SCC 42</w:t>
        </w:r>
      </w:hyperlink>
      <w:r>
        <w:rPr>
          <w:rFonts w:ascii="arial" w:eastAsia="arial" w:hAnsi="arial" w:cs="arial"/>
          <w:color w:val="000000"/>
          <w:sz w:val="20"/>
          <w:lang w:val="en-US" w:eastAsia="en-US" w:bidi="ar-SA"/>
        </w:rPr>
        <w:t xml:space="preserve">, the Supreme Court of Canada re-affirmed the "modern approach to statutory interpretation from </w:t>
      </w:r>
      <w:r>
        <w:rPr>
          <w:rFonts w:ascii="arial" w:eastAsia="arial" w:hAnsi="arial" w:cs="arial"/>
          <w:i/>
          <w:color w:val="000000"/>
          <w:sz w:val="20"/>
          <w:lang w:val="en-US" w:eastAsia="en-US" w:bidi="ar-SA"/>
        </w:rPr>
        <w:t>Driedger, Construction of Statutes</w:t>
      </w:r>
      <w:r>
        <w:rPr>
          <w:rFonts w:ascii="arial" w:eastAsia="arial" w:hAnsi="arial" w:cs="arial"/>
          <w:color w:val="000000"/>
          <w:sz w:val="20"/>
          <w:lang w:val="en-US" w:eastAsia="en-US" w:bidi="ar-SA"/>
        </w:rPr>
        <w:t xml:space="preserve"> (2nd ed. 1983):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[26] Today there is only one principle or approach, namely, the words of an Act are to be read in their entire context and in their grammatical and ordinary sense harmoniously with the scheme of the Act, the object of the Act,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Those authorities make clear that the "original intent" approach to statutory interpretation advocated by Towers is not necessarily or automatically the one to be applied in this case. To use the language of Sewell J. in </w:t>
      </w:r>
      <w:r>
        <w:rPr>
          <w:rFonts w:ascii="arial" w:eastAsia="arial" w:hAnsi="arial" w:cs="arial"/>
          <w:i/>
          <w:color w:val="000000"/>
          <w:sz w:val="20"/>
          <w:lang w:val="en-US" w:eastAsia="en-US" w:bidi="ar-SA"/>
        </w:rPr>
        <w:t>L.D.</w:t>
      </w:r>
      <w:r>
        <w:rPr>
          <w:rFonts w:ascii="arial" w:eastAsia="arial" w:hAnsi="arial" w:cs="arial"/>
          <w:color w:val="000000"/>
          <w:sz w:val="20"/>
          <w:lang w:val="en-US" w:eastAsia="en-US" w:bidi="ar-SA"/>
        </w:rPr>
        <w:t>, Towers does not raise an issue of law that is well settled by authoritative jurisprudence. It is therefore not a question of law to be resolved on a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It also cannot be said with certainty sufficient to support a summary judgment that the term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had a meaning in 1975 that was as limited as Towers suggests.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was only about a year after enactment of the Act that the Supreme Court of Canada, in </w:t>
      </w:r>
      <w:r>
        <w:rPr>
          <w:rFonts w:ascii="arial" w:eastAsia="arial" w:hAnsi="arial" w:cs="arial"/>
          <w:i/>
          <w:color w:val="000000"/>
          <w:sz w:val="20"/>
          <w:lang w:val="en-US" w:eastAsia="en-US" w:bidi="ar-SA"/>
        </w:rPr>
        <w:t>Haig v Bamford</w:t>
      </w:r>
      <w:r>
        <w:rPr>
          <w:rFonts w:ascii="arial" w:eastAsia="arial" w:hAnsi="arial" w:cs="arial"/>
          <w:color w:val="000000"/>
          <w:sz w:val="20"/>
          <w:lang w:val="en-US" w:eastAsia="en-US" w:bidi="ar-SA"/>
        </w:rPr>
        <w:t xml:space="preserve">, </w:t>
      </w:r>
      <w:hyperlink r:id="rId89" w:history="1">
        <w:r>
          <w:rPr>
            <w:rFonts w:ascii="arial" w:eastAsia="arial" w:hAnsi="arial" w:cs="arial"/>
            <w:i/>
            <w:color w:val="0077CC"/>
            <w:sz w:val="20"/>
            <w:u w:val="single"/>
            <w:shd w:val="clear" w:color="auto" w:fill="FFFFFF"/>
            <w:lang w:val="en-US" w:eastAsia="en-US" w:bidi="ar-SA"/>
          </w:rPr>
          <w:t>[1977] 1 SCR 466</w:t>
        </w:r>
      </w:hyperlink>
      <w:r>
        <w:rPr>
          <w:rFonts w:ascii="arial" w:eastAsia="arial" w:hAnsi="arial" w:cs="arial"/>
          <w:color w:val="000000"/>
          <w:sz w:val="20"/>
          <w:lang w:val="en-US" w:eastAsia="en-US" w:bidi="ar-SA"/>
        </w:rPr>
        <w:t xml:space="preserve">, confirmed that professionals could be held liable for negligent misrepresentation to non-clients, at least in some circumstances. That decision referred to the landmark English case of </w:t>
      </w:r>
      <w:r>
        <w:rPr>
          <w:rFonts w:ascii="arial" w:eastAsia="arial" w:hAnsi="arial" w:cs="arial"/>
          <w:i/>
          <w:color w:val="000000"/>
          <w:sz w:val="20"/>
          <w:lang w:val="en-US" w:eastAsia="en-US" w:bidi="ar-SA"/>
        </w:rPr>
        <w:t>Hedley Byrne &amp; Co. v. Heller &amp; Partners</w:t>
      </w:r>
      <w:r>
        <w:rPr>
          <w:rFonts w:ascii="arial" w:eastAsia="arial" w:hAnsi="arial" w:cs="arial"/>
          <w:color w:val="000000"/>
          <w:sz w:val="20"/>
          <w:lang w:val="en-US" w:eastAsia="en-US" w:bidi="ar-SA"/>
        </w:rPr>
        <w:t xml:space="preserve">, [1963] 2 All ER 575, which had been decided more than a decade earlier and which the Court had previously referred to, at least in </w:t>
      </w:r>
      <w:r>
        <w:rPr>
          <w:rFonts w:ascii="arial" w:eastAsia="arial" w:hAnsi="arial" w:cs="arial"/>
          <w:i/>
          <w:color w:val="000000"/>
          <w:sz w:val="20"/>
          <w:lang w:val="en-US" w:eastAsia="en-US" w:bidi="ar-SA"/>
        </w:rPr>
        <w:t>obiter dicta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Rivtow Marine Ltd. v. Washington Iron Works</w:t>
      </w:r>
      <w:r>
        <w:rPr>
          <w:rFonts w:ascii="arial" w:eastAsia="arial" w:hAnsi="arial" w:cs="arial"/>
          <w:color w:val="000000"/>
          <w:sz w:val="20"/>
          <w:lang w:val="en-US" w:eastAsia="en-US" w:bidi="ar-SA"/>
        </w:rPr>
        <w:t xml:space="preserve">, </w:t>
      </w:r>
      <w:hyperlink r:id="rId90" w:history="1">
        <w:r>
          <w:rPr>
            <w:rFonts w:ascii="arial" w:eastAsia="arial" w:hAnsi="arial" w:cs="arial"/>
            <w:i/>
            <w:color w:val="0077CC"/>
            <w:sz w:val="20"/>
            <w:u w:val="single"/>
            <w:shd w:val="clear" w:color="auto" w:fill="FFFFFF"/>
            <w:lang w:val="en-US" w:eastAsia="en-US" w:bidi="ar-SA"/>
          </w:rPr>
          <w:t>[1974] SCR 1189</w:t>
        </w:r>
      </w:hyperlink>
      <w:r>
        <w:rPr>
          <w:rFonts w:ascii="arial" w:eastAsia="arial" w:hAnsi="arial" w:cs="arial"/>
          <w:color w:val="000000"/>
          <w:sz w:val="20"/>
          <w:lang w:val="en-US" w:eastAsia="en-US" w:bidi="ar-SA"/>
        </w:rPr>
        <w:t xml:space="preserve"> -- a year before the Act -- the Court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of opinion that the case of Hedley Byrne represents the considered opinion of five members of the House of Lords to the effect that a negligent misrepresentation may give rise to an action for damages for economic loss occasioned thereby without any physical injury to person or property and apart from any contract or fiduciary relationship[.]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summary judgment applications of Teck and Towers are dismissed. The application of the Society is granted and the plaintiffs' claims are dismissed only as against the Society.</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37" style="position:absolute;z-index:2518138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1"/>
          <w:headerReference w:type="default" r:id="rId92"/>
          <w:footerReference w:type="even" r:id="rId93"/>
          <w:footerReference w:type="default" r:id="rId94"/>
          <w:headerReference w:type="first" r:id="rId95"/>
          <w:footerReference w:type="first" r:id="rId9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 w:history="1">
        <w:r>
          <w:rPr>
            <w:rFonts w:ascii="arial" w:eastAsia="arial" w:hAnsi="arial" w:cs="arial"/>
            <w:b/>
            <w:bCs/>
            <w:i/>
            <w:color w:val="0077CC"/>
            <w:kern w:val="32"/>
            <w:sz w:val="28"/>
            <w:szCs w:val="32"/>
            <w:u w:val="single"/>
            <w:shd w:val="clear" w:color="auto" w:fill="FFFFFF"/>
            <w:lang w:val="en-US" w:eastAsia="en-US" w:bidi="ar-SA"/>
          </w:rPr>
          <w:t>Wilby v. Hyatt, [2008] B.C.J. No. 1437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I.B. Josephson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2-6,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29,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M99689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1437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1019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170 A.C.W.S. (3d) 73</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Kirsten Suzanne Wilby, Plaintiff, and Gregory Dean Hyatt and Glenncoe Transport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38" style="position:absolute;z-index:251661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 w:name="Keywords_2"/>
      <w:bookmarkEnd w:id="17"/>
      <w:r>
        <w:rPr>
          <w:rFonts w:ascii="arial" w:eastAsia="arial" w:hAnsi="arial" w:cs="arial"/>
          <w:b/>
          <w:color w:val="000000"/>
          <w:sz w:val="20"/>
          <w:lang w:val="en-US" w:eastAsia="en-US" w:bidi="ar-SA"/>
        </w:rPr>
        <w:t>Damages — General damages — For personal injuries — Cost of future care — Loss of earning capacity — Non-pecuniary damages, including pain and suffering — Plaintiff awarded $106,500 in total damages for soft tissue injuries sustained in a motor vehicle accident for which the defendant was found to be liable — Damages were comprised of $48,500 in non-pecuniary damages, $20,000 for loss of income, $18,000 for loss of earning capacity, $10,000 in special damages, and $10,000 for cost of future care — The plaintiff's range of motion was significantly limited from pre-accident levels, whereas she had previously lived a very active and positive lifestyle.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Physical injuries — Body injuries — Back — Age of claimant — 26 to 35 — Non-pecuniary award — $40,001 to $60,000 — Plaintiff awarded $106,500 in total damages for soft tissue injuries sustained in a motor vehicle accident for which the defendant was found to be liable — Damages were comprised of $48,500 in non-pecuniary damages, $20,000 for loss of income, $18,000 for loss of earning capacity, $10,000 in special damages, and $10,000 for cost of future care — The plaintiff's range of motion was significantly limited from pre-accident levels, whereas she had previously lived a very active and positive lifestyle.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vehicles — Liability of driver — Plaintiff awarded $106,500 in total damages for soft tissue injuries sustained in a motor vehicle accident for which the defendant was found to be liable — The accident occurred as a result of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the defendant in failing to keep his vehicle under control in slippery conditions — Damages were comprised of $48,500 in non-pecuniary damages, $20,000 for loss of income, $18,000 for loss of earning capacity, $10,000 in special damages, and $10,000 for cost of future care — The plaintiff's range of motion was significantly limited from pre-accident levels, whereas she had previously lived a very active and positive lifestyle.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 w:name="Case Summary_2"/>
            <w:bookmarkEnd w:id="1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32-year-old plaintiff seeking damages for injuries sustained in a motor vehicle accident. In slippery conditions, the defendant's tractor-trailer unit collided with the rear and side of the plaintiff's vehicle. The plaintiff suffered soft tissue injuries, which had not resolved some two years later. Liability and quantum of damages were at issue.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 w:name="Holdings of Court_1"/>
            <w:bookmarkEnd w:id="19"/>
            <w:r>
              <w:rPr>
                <w:rFonts w:ascii="arial" w:eastAsia="arial" w:hAnsi="arial" w:cs="arial"/>
                <w:color w:val="000000"/>
                <w:sz w:val="20"/>
                <w:lang w:val="en-US" w:eastAsia="en-US" w:bidi="ar-SA"/>
              </w:rPr>
              <w:t>HELD: Plaintiff awarded $106,500 in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failing to keep his vehicle under control in slippery conditions. The evidence of the plaintiff and her two witnesses was believable, and consistent both with each other and with the nature of the damage to her vehicle. Their evidence was not shaken in cross-examination and was supported by expert opinion evidence of an engineer. The defence theory that the plaintiff suddenly turned into the defendant's path without warning was contrary to logic and common sense. The defendant's recollection was not reliable. The plaintiff's range of motion was significantly limited from pre-accident levels. She had previously lived a very active and positive lifestyle. Sitting or standing for any length of time resulted in pain and discomfort. It had affected her personal relationships and her future remained uncertain. It might well be that significant symptoms would continue in the foreseeable future. Non-pecuniary damages were fixed at $48,500. Damages for past loss of income were set at $20,000. Her ability to perform as a commissioned salesperson at a high level was compromised by her injuries to some degree. She was awarded $18,000 for loss of earning capacity. She received $10,000 as special damages, including chiropractic services, acupuncture and physiotherapy. Her decision to seek those treatments with that frequency was reasonable in all the circumstances. She was awarded $10,000 for cost of future care, as similar treatments would likely be required to foster further improvement or maintain the present modest level of improvement for some years.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 w:name="Counsel_2"/>
      <w:bookmarkEnd w:id="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39" style="position:absolute;z-index:2517125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D.R. Greig.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T.E.G. Murphy.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 w:name="Judgment_2"/>
      <w:bookmarkEnd w:id="21"/>
      <w:r>
        <w:pict>
          <v:line id="_x0000_s1040" style="position:absolute;z-index:2517637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0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 w:name="I.B. JOSEPHSON J."/>
            <w:bookmarkEnd w:id="22"/>
            <w:r>
              <w:rPr>
                <w:rFonts w:ascii="arial" w:eastAsia="arial" w:hAnsi="arial" w:cs="arial"/>
                <w:b/>
                <w:color w:val="000000"/>
                <w:sz w:val="30"/>
                <w:lang w:val="en-US" w:eastAsia="en-US" w:bidi="ar-SA"/>
              </w:rPr>
              <w:t>I.B. JOSEPHSON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32-year-old plaintiff was driving on the Connector highway from Big White near Kelowna on March 17, 2006. She was returning home from an annual family ski and snowboarding trip. In slippery conditions, the defendant's tractor trailer unit came into collision with the rear and side of the plaintiff's vehicle. As a result of the collision, the plaintiff suffered soft tissue injuries, which still have some significant affect on her life over two years post-accident. Her brother and his fiancé were passengers in her vehicle. They suffered minor soft tissue injuries that healed relatively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and quantum of damages are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many respects this is an ideal plaintiff: she is fit, athletic, intelligent, successful, has positive life goals and is powerfully motivated to recover as much of her former active and healthy lifestyle as is possible. She has been determined to continue with her work and life while suffering pain and discomfort, when many would have yielded and retreated. Despite that strong determination and effort since the accident, she remains significantly short of her goal of enjoying her pre-accident quality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evidence of the three occupants of the plaintiff's vehicle is simple, straightforward and consistent. After travelling over a rise approaching the summit, they encountered a single line of stalled vehicles in slippery conditions. The plaintiff stopped at the rear of that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Shortly thereafter, the plaintiff observed the defendant's tractor trailer appear over that same incline and approach at a speed that caused her to exclaim in alarm. Her brother in the right rear passenger seat looked behind him in response and observed large wheels bearing down on them in an imminent collision. The trailer behind the tractor had jackknifed to its right, bringing it into a collision course with the plaintiff's vehicle. He yelled "duck" and shortly afterwards there was a significant collision. Ms. Kirby, the passenger in the front right passenger seat, offered evidence consistent with that of the plaintiff and the plaintiff's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described quite a different scenario. Like the occupants of the plaintiff's vehicle, he too observed some stopped vehicles, a situation he had been expecting since receiving a radio call from fellow truckers shortly before. However, his evidence is that he decided that it was safe to pass on the open left passing lane. He described the plaintiff's vehicle as moving forward in the slow right hand lane, but at a speed less than his. As he was about to pass, the plaintiff's vehicle suddenly and without warning turned into his vehicle, colliding with his cab. It then slid along the side of the trailer, which had jackknifed slightly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Sdoutz, an engineer, offered expert opinion evidence that the tractor trailer had been out of control, with the trailer rotating counter clockwise prior to the collision, consistent with the evidence of the plaintiff and her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find the accident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in failing to keep his vehicle under control in slippery conditions for these reasons:</w:t>
      </w:r>
      <w:r>
        <w:rPr>
          <w:rFonts w:ascii="arial" w:eastAsia="arial" w:hAnsi="arial" w:cs="arial"/>
          <w:sz w:val="20"/>
          <w:lang w:val="en-US" w:eastAsia="en-US" w:bidi="ar-SA"/>
        </w:rPr>
        <w:cr/>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the plaintiff and her two witnesses was believable, consistent with each other and consistent with the nature of the damage to her vehicle.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evidence was not shaken in a thorough testing cross-examination.</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Their evidence is supported by expert opinion evidence of engineer Mr. Stoudtz. His evidence was logical and appealed to common sense. A proper cross-examination revealed no weaknesses of any significance. I accept his evidence.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defence theory that the plaintiff suddenly turned into the defendant's path without warning is contrary to logic and common sense.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as a witness was impatient, dogmatic and almost haughty. While he appears to believe his evidence, I find his recollection to be a reconstruction clouded by the belief that he could not have been at fault. I do not accept his recollection as reliable.</w:t>
      </w:r>
    </w:p>
    <w:p>
      <w:pPr>
        <w:numPr>
          <w:numId w:val="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made statements shortly after the accident to the father of the plaintiff, who arrived at the scene shortly after the accident, more consistent with the plaintiff's theory. The defendant stated words to the effect that: "I'm the one who hit your daughter and I'm very sorry about what happened". The defendant also stated that it was "a good thing" that the contact was with the trailer" and he "was not able to stop in time and the trailer came around when he tried to get around her." Certainly, he did not state, as one would have expected, words to the effect that there was nothing he could have done as the plaintiff suddenly turned into the path of his 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 find that the accident occurred as described by the plaintiff and her two passengers. The "contradictions" pointed to by the defence are trivial pre-accident inconsistencies that one would expect from honest witnesses attempting to recall events of no particular relevance. The plaintiff, I find, brought her vehicle to a complete stop behind a line of vehicles that were also stopped due to slippery road conditions. The defendant approached over the rise at a speed and in a manner in which he could not bring his vehicle under control before reaching the plaintiff's vehicle. He chose to attempt a pass on the left in a manner that caused his trailer to jackknife to his right, striking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plaintiff has proven that the accident occurred solely as the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was a significant collision resulting in approximately $12,000 in damage to the plaintiff's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Prior to the accident, the plaintiff lived a very active and positive lifestyle. She was exceptionally athletic, engaging in sports to a very high level, including competitive skiing, track, rugby, basketball, volleyball, snowboarding, kickboxing, "hot yoga" and other activities. Professional photographs were taken of her shortly before the accident intended to promote a yoga program. Those photographs reveal a remarkable range of motion in her entire body. She has what is known as hyper-mobility.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As a result of the accident, her range of motion is significantly limited from pre-accident levels. As will be seen in the evidence of Dr. Shuckett, that hyper-mobility may well explain why she suffered more severe soft tissue injuries than those suffered by her two passengers.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had been involved in two previous minor motor vehicle accidents. She had recovered completely from these minor accidents by the time of the accident in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plaintiff's evidence, which I accept, is that she was "out of it" for many days after the accident and didn't work for about three weeks. Her symptoms included headaches, a stiff neck, stiff shoulders, insomnia, anxiety and pain in areas including her upper back, thoracic area, lower back, buttocks and hips. She also suffered some numbness and paraesthesia in her arms and legs.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She followed an aggressive course of treatment with a physiotherapist, massage therapist and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ongoing pain and discomfort limited her previously active lifestyle to the point that she understandably suffered from temporary depression, affecting her mood and her ability to focus and causing difficulties with sleep patterns.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one occasion, the plaintiff collapsed in her backyard and was unable to use her legs. Her fiancé found her and assisted her to a couch.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Sitting or standing for any length of time results in pain and discomfort. She remains unable to engage in most pre-accident activities, but did attempt snowboarding more recently. Despite performing that particular activity at an unsatisfactory, non-aggressive level, she was left in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She remains unable to lift objects such as a desktop computer and unable to carry laundry from the basement. She returned to work earlier than most others would have in the circumstances because of her determination not to let the injuries impede her lifestyle any more than necessary. Yet she continues to suffer with sitting or standing for prolonged periods during presentations or with travel. She also requires assistance with moving and setting up presentation equipment.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Dr. Rhonda Shuckett was an impressive witness. She is a highly qualified rheumatologist, with a sub-specialty in internal medicine focusing on soft tissue injuries. Dr. Shuckett appears to have been the first to accurately diagnose the problem as being in the sacroiliac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She expended considerable time interviewing and examining the plaintiff. She found the plaintiff well motivated, positive, fit and committed to recovery. She found no evidence of pain magnification or symptom exaggeration. All tests for non-organic responses were negative. She found the plaintiff to be hyper-mobile. While the plaintiff, for example, could still touch the floor while standing, before the accident she could place the palms of her hands on the floor. As well, she noted "very abnormal dynamics" in returning to a standing position, something not noted by Dr. Schweigel.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She diagnosed the problem as being with the sacroiliac joint, a joint located between the tail bone and the hip. Ligaments cross over the sacroiliac and can be stretched in a motor vehicle accident, particularly if a foot is pressed on a brake pedal at the time, which can cause the symptoms of pain experienced by the plaintiff. While not certain, Dr. Shuckett was of the opinion that the plaintiff's hyper-mobility may have exacerbated the injury. This type of injury is difficult to treat when, as in this case, recovery has not occurred. Medicines are not effective as the sacroiliac area does not have a rich blood supply.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Because the plaintiff's symptoms persisted as long as they did, Dr. Shuckett's prognosis was "guarded". However, she recommended a "positive proactive" approach through aggressive physiotherapy by one particular physiotherapist, an approach enthusiastically adopted by the plaintiff. The plaintiff's considerable effort in this regard has resulted in some diminution in pain and some intermittent improvement, causing Dr. Shuckett to alter her diagnosis from "guarded" to "uncertain". There appears to be little prospect of a complete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 do not place great weight on the evidence of Dr. Schwiegel, a neurosurgeon retained by the defence for an independent medical examination. Dr. Schwiegel does not possess the same degree of expertise as does Dr. Shuckett in this type of injury. He did not diagnose the involvement of the sacroiliac joint in the symptoms, though now agrees that may be the case. Put simply, I prefer the expert opinion evidence of Dr. Shuckett where it conflicts with that of Dr. Schwiegel.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summary, as a result of these soft tissue injuries, the plaintiff has gone from a gifted and active athlete to a person unable to engage in sports and other activities that were a large and important part of her life. It has affected her personal relationships. For example, family and friends now see her retreat to the sofa in pain after a family dinner. Only her strong will and determination has led to some improvement in her symptoms with aggressive physiotherapy. Her future remains "uncertain". After the expiration of this much time and effort with only modest improvement, it may well be that significant symptoms will continue in the foreseeable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a review of the authorities cited, I fix non-pecuniary damages at $48,500.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Put simply, the plaintiff is a successful and valued commissioned sales person in the field of software enabling businesses to track inventory. The work can involve considerable travel, which triggers an increase in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difficult as it may be to measure this loss, it has been real. The plaintiff could not perform to her usual levels, was unable to perform some of the physical tasks demanded of her and was absent with great frequency for ongoing medical diagnosis and treatment. Only her personal commitment to this occupation saw her return to work within one month, though to a less effective level. Because of her lowered focus, she had her superior double check her work and errors were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 claims the loss to be $20,000 in this regard; the defendant claims it to be $7,500.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Mr. Kevin Turnbull, a chartered accountant and economist, offered some useful opinion evidence regarding the calculation of her actual loss. Because of a change from straight commission for the first half of 2005 to salary plus a lower rate of commission thereafter, he made appropriate adjustments taking this factor into consideration. He calculated a loss of some $23,000, not including any loss in 2008 to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Turnbull's evidence is not contradicted and was not successfully challenged in proper and testing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claim in this regard is reasonable. I award damages for past loss of income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plaintiff's claim under this heading is advanced on the basis that her capacity to earn income has been diminished by the injuries received in the accident, consistent with the approach mandated by </w:t>
      </w:r>
      <w:r>
        <w:rPr>
          <w:rFonts w:ascii="arial" w:eastAsia="arial" w:hAnsi="arial" w:cs="arial"/>
          <w:b/>
          <w:i/>
          <w:color w:val="000000"/>
          <w:sz w:val="20"/>
          <w:lang w:val="en-US" w:eastAsia="en-US" w:bidi="ar-SA"/>
        </w:rPr>
        <w:t>D'Amato v. Badger</w:t>
      </w:r>
      <w:r>
        <w:rPr>
          <w:rFonts w:ascii="arial" w:eastAsia="arial" w:hAnsi="arial" w:cs="arial"/>
          <w:color w:val="000000"/>
          <w:sz w:val="20"/>
          <w:lang w:val="en-US" w:eastAsia="en-US" w:bidi="ar-SA"/>
        </w:rPr>
        <w:t xml:space="preserve">, </w:t>
      </w:r>
      <w:hyperlink r:id="rId98" w:history="1">
        <w:r>
          <w:rPr>
            <w:rFonts w:ascii="arial" w:eastAsia="arial" w:hAnsi="arial" w:cs="arial"/>
            <w:i/>
            <w:color w:val="0077CC"/>
            <w:sz w:val="20"/>
            <w:u w:val="single"/>
            <w:shd w:val="clear" w:color="auto" w:fill="FFFFFF"/>
            <w:lang w:val="en-US" w:eastAsia="en-US" w:bidi="ar-SA"/>
          </w:rPr>
          <w:t>[1996] 2 S.C.R. 1071</w:t>
        </w:r>
      </w:hyperlink>
      <w:r>
        <w:rPr>
          <w:rFonts w:ascii="arial" w:eastAsia="arial" w:hAnsi="arial" w:cs="arial"/>
          <w:color w:val="000000"/>
          <w:sz w:val="20"/>
          <w:lang w:val="en-US" w:eastAsia="en-US" w:bidi="ar-SA"/>
        </w:rPr>
        <w:t xml:space="preserve"> at para. 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As was held in </w:t>
      </w:r>
      <w:r>
        <w:rPr>
          <w:rFonts w:ascii="arial" w:eastAsia="arial" w:hAnsi="arial" w:cs="arial"/>
          <w:b/>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1999 BCCA 88</w:t>
        </w:r>
      </w:hyperlink>
      <w:r>
        <w:rPr>
          <w:rFonts w:ascii="arial" w:eastAsia="arial" w:hAnsi="arial" w:cs="arial"/>
          <w:color w:val="000000"/>
          <w:sz w:val="20"/>
          <w:lang w:val="en-US" w:eastAsia="en-US" w:bidi="ar-SA"/>
        </w:rPr>
        <w:t>, this is not a precise or mechanical exercise. At para. 63, Cummings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passage makes clear the principle that it is not the lost earnings themselves that must be compensated, but loss of earning capacity as a capital asset that requires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Cummings J.A. then quoted with approval the following passage from </w:t>
      </w:r>
      <w:r>
        <w:rPr>
          <w:rFonts w:ascii="arial" w:eastAsia="arial" w:hAnsi="arial" w:cs="arial"/>
          <w:b/>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at 59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impairment. He is entitled to it because for the rest of his life some occupations will be closed to him and it is impossible to say that over his working life the impairment will not harm his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Huddart J.A. expressed a similar sentiment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factors to be considered in assessing this loss are set out by Taggart J.A. in </w:t>
      </w:r>
      <w:r>
        <w:rPr>
          <w:rFonts w:ascii="arial" w:eastAsia="arial" w:hAnsi="arial" w:cs="arial"/>
          <w:b/>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as follows: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Huddart J.A. accepted these factors as the appropriate ones to consider in </w:t>
      </w:r>
      <w:r>
        <w:rPr>
          <w:rFonts w:ascii="arial" w:eastAsia="arial" w:hAnsi="arial" w:cs="arial"/>
          <w:b/>
          <w:i/>
          <w:color w:val="000000"/>
          <w:sz w:val="20"/>
          <w:lang w:val="en-US" w:eastAsia="en-US" w:bidi="ar-SA"/>
        </w:rPr>
        <w:t>Rosvold</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weighing these factors, the court must take into account all substantial possibilities and give them weight according to how likely they are to occur in light of all the evidence: </w:t>
      </w:r>
      <w:r>
        <w:rPr>
          <w:rFonts w:ascii="arial" w:eastAsia="arial" w:hAnsi="arial" w:cs="arial"/>
          <w:b/>
          <w:i/>
          <w:color w:val="000000"/>
          <w:sz w:val="20"/>
          <w:lang w:val="en-US" w:eastAsia="en-US" w:bidi="ar-SA"/>
        </w:rPr>
        <w:t>Parypa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Where, as here, there is a partial disability, the analysis is that set out by Taylor J.A. in </w:t>
      </w:r>
      <w:r>
        <w:rPr>
          <w:rFonts w:ascii="arial" w:eastAsia="arial" w:hAnsi="arial" w:cs="arial"/>
          <w:b/>
          <w:i/>
          <w:color w:val="000000"/>
          <w:sz w:val="20"/>
          <w:lang w:val="en-US" w:eastAsia="en-US" w:bidi="ar-SA"/>
        </w:rPr>
        <w:t>Ilic v. Fleetwood</w:t>
      </w:r>
      <w:r>
        <w:rPr>
          <w:rFonts w:ascii="arial" w:eastAsia="arial" w:hAnsi="arial" w:cs="arial"/>
          <w:color w:val="000000"/>
          <w:sz w:val="20"/>
          <w:lang w:val="en-US" w:eastAsia="en-US" w:bidi="ar-SA"/>
        </w:rPr>
        <w:t xml:space="preserve"> </w:t>
      </w:r>
      <w:hyperlink r:id="rId103" w:history="1">
        <w:r>
          <w:rPr>
            <w:rFonts w:ascii="arial" w:eastAsia="arial" w:hAnsi="arial" w:cs="arial"/>
            <w:i/>
            <w:color w:val="0077CC"/>
            <w:sz w:val="20"/>
            <w:u w:val="single"/>
            <w:shd w:val="clear" w:color="auto" w:fill="FFFFFF"/>
            <w:lang w:val="en-US" w:eastAsia="en-US" w:bidi="ar-SA"/>
          </w:rPr>
          <w:t>(1993), 87 B.C.L.R. (2d) 273</w:t>
        </w:r>
      </w:hyperlink>
      <w:r>
        <w:rPr>
          <w:rFonts w:ascii="arial" w:eastAsia="arial" w:hAnsi="arial" w:cs="arial"/>
          <w:color w:val="000000"/>
          <w:sz w:val="20"/>
          <w:lang w:val="en-US" w:eastAsia="en-US" w:bidi="ar-SA"/>
        </w:rPr>
        <w:t xml:space="preserve"> at para. 20-21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The assessment of loss of future earning capacity in a partially-disabled person who is still able to work presents the courts with much difficulty. It is by no means inappropriate to have regard in making such an assessment to the total present value of the victim's pre-accident earnings to the previously anticipated date of retirement. But when the injury is not such as to disable the victim from future employment a valuation which starts from the assumption that the victim will not work at all in future must be regarded as unreliable. This must particularly be so when alternatives which seem more probable are reflected as contingencies applied in reduction of that figure. Such an approach must, in my view, tend to an over-estimate of the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I would substitute for the trial judge's assessment of loss of future earning capacity a figure arrived at on a judgmental basis which takes into consideration, among other things, (i) the period which the respondent would require for recuperation, re-orientation and job-seeking, (ii) the possibility that she would, in any event even if the accident had not occurred, have ceased work before age 60, (iii) the fact that few jobs that she might find would pay significantly less than did her pre-accident employment, (iv) the likelihood that she will work even with some pain, for which the trial judge gave compensation as part of the non-pecuniary damage award, and (v) the fact that her accident injuries have limited her in the options that she would have when seeking employment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this case, the plaintiff's ability to perform at the high level she would have been performing but for the accident will be compromised by her injuries to some degree, though that degree is difficult to measure. Her determination and outstanding personal qualities will diminish that loss. Regular weekly appointments and daily multiple sessions of recommended exercises diminish her ability to perform to the same high level that she would have been able to perform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Her physical limitations, as well, render her less marketable to potential employers in future. Employment requiring even temporary physical stress will not be available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period of time that the plaintiff will be so affected is also difficult to measure. The best medical evidence is that her future is "uncertain". That there has been so little improvement over the long period of time since the accident leads to the conclusion that recovery will more likely be long term than short.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seeks a not unreasonable $20,000 for loss of earning capacity. I award the plaintiff $18,000.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 seeks $10,000, including interest, as special damages, though the plaintiff maintains the actual loss was $11,500.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her desperation to improve her symptoms, the plaintiff received chiropractic, acupuncture and physiotherapy treatments. Her evidence is that these treatments lead to some improvement in pain symptoms, though temporary. The physiotherapy now holds the best hope to foster continued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Her acceptance of those treatments allowed her to return to work earlier than would have otherwise been the case. Perfect hindsight might have reduced the number of some of those treatments, but I find that her decision to seek those treatments with that frequency was reasonable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award the plaintiff $10,000 as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Similar treatments will likely be required to foster further improvement or maintain the present modest level of improvement for some years, given her "uncertain" prognosis and slow improvement since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treatments cost $350 per month. The plaintiff seeks $10,000, being the present value of the cost of two years of continuing treatment. This amount is both reasonable and appropriate given the evidence presented in this case. While there is a reasonable possibility that this cost will gradually diminish in the future, there is also a reasonable possibility that treatments will be required long past that two year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award the plaintiff $10,000 for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will have her costs, with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summary, I find that the accident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I award the plaintiff damages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182"/>
        <w:gridCol w:w="1778"/>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 Non-pecuniary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$48,500.00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 Past loss of income: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3. Loss of earning capacity:</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$18,000.00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 Special damages:</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5. Cost of future care:</w:t>
            </w:r>
          </w:p>
        </w:tc>
        <w:tc>
          <w:tcPr>
            <w:tcW w:w="1741"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$10,000.00</w:t>
            </w:r>
          </w:p>
        </w:tc>
        <w:tc>
          <w:tcPr>
            <w:tcW w:w="3789"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Costs, with leave to apply.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789"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510"/>
        <w:gridCol w:w="345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37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$106,500.00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I.B. JOSEPHSON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41" style="position:absolute;z-index:2518149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
          <w:headerReference w:type="default" r:id="rId105"/>
          <w:footerReference w:type="even" r:id="rId106"/>
          <w:footerReference w:type="default" r:id="rId107"/>
          <w:headerReference w:type="first" r:id="rId108"/>
          <w:footerReference w:type="first" r:id="rId10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0" w:history="1">
        <w:r>
          <w:rPr>
            <w:rFonts w:ascii="arial" w:eastAsia="arial" w:hAnsi="arial" w:cs="arial"/>
            <w:b/>
            <w:bCs/>
            <w:i/>
            <w:color w:val="0077CC"/>
            <w:kern w:val="32"/>
            <w:sz w:val="28"/>
            <w:szCs w:val="32"/>
            <w:u w:val="single"/>
            <w:shd w:val="clear" w:color="auto" w:fill="FFFFFF"/>
            <w:lang w:val="en-US" w:eastAsia="en-US" w:bidi="ar-SA"/>
          </w:rPr>
          <w:t>Araya v. Nevsun Resources Ltd., [2016] B.C.J. No. 2095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 Abrioux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4-8, 11-15 and 19-22, March</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7-11, 2016; supplementary written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submissions, August 3,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6,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S148932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2095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1856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271 A.C.W.S. (3d) 756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408 D.L.R. (4th) 383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CarswellBC 2786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Gize Yebeyo Araya, Kesete Tekle Fshazion and Mihretab Yemane Tekle, Plaintiffs, and Nevsun Resources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(579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42" style="position:absolute;z-index:2516623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 w:name="Keywords_3"/>
      <w:bookmarkEnd w:id="23"/>
      <w:r>
        <w:rPr>
          <w:rFonts w:ascii="arial" w:eastAsia="arial" w:hAnsi="arial" w:cs="arial"/>
          <w:b/>
          <w:color w:val="000000"/>
          <w:sz w:val="20"/>
          <w:lang w:val="en-US" w:eastAsia="en-US" w:bidi="ar-SA"/>
        </w:rPr>
        <w:t>Civil litigation — Civil procedure — Parties — Class or representative actions — Common interests and issues — Members of class or sub-class — Representative plaintiff — Pleadings — Striking out pleadings or allegations — Grounds — Failure to disclose a cause of action or defence — Lack of jurisdiction — Applications by defendant for stay of proceedings, to strike plaintiffs' claims, and to deny process of proceeding as representative action allowed in part — Defendant, British Columbia company, entered into commercial venture to develop gold mine in Eritrea — Plaintiffs claimed damages for being forced to build mine under threat of torture — Eritrea was not appropriate forum — Not possible to decide whether act of state doctrine applied to limit court's subject matter jurisdiction — Not established plaintiffs' customary international law claims had no reasonable likelihood of success — Plaintiffs could not circumvent residency requirement of Class Proceedings Act — Supreme Court Civil Rules, Rules 9-5, 20-3(1), 21-8(1)(a), 21-8(1)(b), 21-8(2).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Conflict of laws — Jurisdiction — International issues (with foreign state or territory) — Determination of — Forum conveniens — Applications by defendant for stay of proceedings, to strike plaintiffs' claims, and to deny process of proceeding as representative action allowed in part — Defendant, British Columbia company, entered into commercial venture to develop gold mine in Eritrea — Plaintiffs claimed damages for being forced to build mine under threat of torture — Eritrea was not appropriate forum — Not possible to decide whether act of state doctrine applied to limit court's subject matter jurisdiction — Not established plaintiffs' customary international law claims had no reasonable likelihood of success — Plaintiffs could not circumvent residency requirement of Class Proceedings Act — Supreme Court Civil Rules, Rules 9-5, 20-3(1), 21-8(1)(a), 21-8(1)(b), 21-8(2).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International law — General principles — Sources of international law — Custom — Sovereignty — Immunity — Exceptions — Commercial acts of foreign state — Death, personal injury, torture, hostage-taking — Applications by defendant for stay of proceedings, to strike plaintiffs' claims, and to deny process of proceeding as representative action allowed in part — Defendant, British Columbia company, entered into commercial venture to develop gold mine in Eritrea — Plaintiffs claimed damages for being forced to build mine under threat of torture — Eritrea was not appropriate forum — Not possible to decide whether act of state doctrine applied to limit court's subject matter jurisdiction — Not established plaintiffs' customary international law claims had no reasonable likelihood of success — Plaintiffs could not circumvent residency requirement of Class Proceedings Act — Supreme Court Civil Rules, Rules 9-5, 20-3(1), 21-8(1)(a), 21-8(1)(b), 21-8(2).</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International law — Proceedings — Practice and procedure — Courts — Jurisdiction of courts — Pleadings — Evidence — Affidavits --Applications by defendant for stay of proceedings, to strike plaintiffs' claims, and to deny process of proceeding as representative action allowed in part — Defendant, British Columbia company, entered into commercial venture to develop gold mine in Eritrea — Plaintiffs claimed damages for being forced to build mine under threat of torture — Eritrea was not appropriate forum — Not possible to decide whether act of state doctrine applied to limit court's subject matter jurisdiction — Not established plaintiffs' customary international law claims had no reasonable likelihood of success — Plaintiffs could not circumvent residency requirement of Class Proceedings Act — Supreme Court Civil Rules, Rules 9-5, 20-3(1), 21-8(1)(a), 21-8(1)(b), 21-8(2).</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 w:name="Case Summary_3"/>
            <w:bookmarkEnd w:id="2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Applications by the defendant for a stay of proceedings based on forum non conveniens, to strike the plaintiffs' claims as not justiciable, and to deny process of the proceeding as a representative action. The plaintiffs were refugees from the State of Eritrea in East Africa. The defendant, a British Columbia company, entered into a commercial venture with Eritrea to develop a gold mine in Eritrea. The plaintiffs claimed damages for being forced to build the mine under threat of torture by companies engaged by the defendant. None of the plaintiffs or putative class members were residents of British Columbia or Canada. Most of the witnesses and documents were in Eritrea. The defendant denied the plaintiffs' allegations in their entirety.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 w:name="Holdings of Court_2"/>
            <w:bookmarkEnd w:id="25"/>
            <w:r>
              <w:rPr>
                <w:rFonts w:ascii="arial" w:eastAsia="arial" w:hAnsi="arial" w:cs="arial"/>
                <w:color w:val="000000"/>
                <w:sz w:val="20"/>
                <w:lang w:val="en-US" w:eastAsia="en-US" w:bidi="ar-SA"/>
              </w:rPr>
              <w:t>HELD: Applications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Unattributed hearsay in the plaintiffs' affidavits was struck. Secondary reports were admitted for the limited purpose of providing a social, historical and contextual framework to the first hand allegations or properly attributed hearsay and the opinion evidence of former judges and lawyer relating to whether there was a real risk the plaintiffs would not receive a fair trial in Eritrea. British Columbia had presumptive jurisdiction given the defendant was a British Columbian corporation. The defendant had not established Eritrea was the appropriate forum. There was a real risk of an unfair trial occurring in Eritrea. The action was to proceed in British Columbia. It was not possible to decide whether the act of state doctrine applied to limit the court's subject matter jurisdiction. The defendant had not established the plaintiffs' customary international law claims had no reasonable likelihood of success. The question of corporate liability under customary international law was an issue for trial. The plaintiffs could not circumvent the residency requirement of the Class Proceedings Act. Membership in the proposed class was not readily ascertainable. There were no principal issues of fact or law that were essentially the same with regard to all members.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 w:name="Legislation Cited_0"/>
      <w:bookmarkEnd w:id="2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43" style="position:absolute;z-index:2517135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Business Corporations Act,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Class Proceedings Act, </w:t>
      </w:r>
      <w:hyperlink r:id="rId111" w:history="1">
        <w:r>
          <w:rPr>
            <w:rFonts w:ascii="arial" w:eastAsia="arial" w:hAnsi="arial" w:cs="arial"/>
            <w:i/>
            <w:color w:val="0077CC"/>
            <w:sz w:val="20"/>
            <w:u w:val="single"/>
            <w:shd w:val="clear" w:color="auto" w:fill="FFFFFF"/>
            <w:lang w:val="en-US" w:eastAsia="en-US" w:bidi="ar-SA"/>
          </w:rPr>
          <w:t>R.S.B.C. 1996, c. 50, s. 2</w:t>
        </w:r>
      </w:hyperlink>
      <w:r>
        <w:rPr>
          <w:rFonts w:ascii="arial" w:eastAsia="arial" w:hAnsi="arial" w:cs="arial"/>
          <w:color w:val="000000"/>
          <w:sz w:val="20"/>
          <w:lang w:val="en-US" w:eastAsia="en-US" w:bidi="ar-SA"/>
        </w:rPr>
        <w:t>, s. 2(1), s. 2(4), s. 4, s. 4(e)(ii)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Convention Against Torture and Other Cruel, Inhuman or Degrading Treatment or Punishment, 1465 U.N.T.S. 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Jurisdiction and Proceedings Transfer Act, </w:t>
      </w:r>
      <w:hyperlink r:id="rId112" w:history="1">
        <w:r>
          <w:rPr>
            <w:rFonts w:ascii="arial" w:eastAsia="arial" w:hAnsi="arial" w:cs="arial"/>
            <w:i/>
            <w:color w:val="0077CC"/>
            <w:sz w:val="20"/>
            <w:u w:val="single"/>
            <w:shd w:val="clear" w:color="auto" w:fill="FFFFFF"/>
            <w:lang w:val="en-US" w:eastAsia="en-US" w:bidi="ar-SA"/>
          </w:rPr>
          <w:t>S.B.C. 2003, c. 28, s. 11</w:t>
        </w:r>
      </w:hyperlink>
      <w:r>
        <w:rPr>
          <w:rFonts w:ascii="arial" w:eastAsia="arial" w:hAnsi="arial" w:cs="arial"/>
          <w:color w:val="000000"/>
          <w:sz w:val="20"/>
          <w:lang w:val="en-US" w:eastAsia="en-US" w:bidi="ar-SA"/>
        </w:rPr>
        <w:t>, s. 11(2), s. 11(2)(a)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 Order Enforcement Act,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Crimes Against Humanity and War Crimes Act, </w:t>
      </w:r>
      <w:hyperlink r:id="rId113" w:history="1">
        <w:r>
          <w:rPr>
            <w:rFonts w:ascii="arial" w:eastAsia="arial" w:hAnsi="arial" w:cs="arial"/>
            <w:i/>
            <w:color w:val="0077CC"/>
            <w:sz w:val="20"/>
            <w:u w:val="single"/>
            <w:shd w:val="clear" w:color="auto" w:fill="FFFFFF"/>
            <w:lang w:val="en-US" w:eastAsia="en-US" w:bidi="ar-SA"/>
          </w:rPr>
          <w:t>S.C. 2000, c. 24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Crimes (Torture) Act of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International Covenant on Civil and Political Rights, 999 U.N.T.S.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Justice for Victims of Terrorism Act, S.C. 2012, c. 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Labour Proclamation of Eritrea, Proclamation No. 118/2001, Article 127, Article 135(5)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National Service Proclamation, Proclamation No. 82/1995,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Securities Act,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State Immunity Act, </w:t>
      </w:r>
      <w:hyperlink r:id="rId114" w:history="1">
        <w:r>
          <w:rPr>
            <w:rFonts w:ascii="arial" w:eastAsia="arial" w:hAnsi="arial" w:cs="arial"/>
            <w:i/>
            <w:color w:val="0077CC"/>
            <w:sz w:val="20"/>
            <w:u w:val="single"/>
            <w:shd w:val="clear" w:color="auto" w:fill="FFFFFF"/>
            <w:lang w:val="en-US" w:eastAsia="en-US" w:bidi="ar-SA"/>
          </w:rPr>
          <w:t>R.S.C. 1985, c. S-18, s. 2</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Statute of the International Court of Justice, 18 April 1946, Article 38(1)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5(12), Rule 5(13), Rule 9-5, Rule 11-2, Rule 12-2(9), Rule 20-3, Rule 20-3(1), Rule 21-8, Rule 21-8(1), Rule 21-8(1)(a), Rule 21-8(1)(b), Rule 21-8(2), Rule 22-2(13), Rule 22-2(13)(b)(i)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Transitional Civil Code of Eritrea, Proclamation No. 2 of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United States Alien Tort Statute, 28 U.S.C.,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Vienna Convention on the Law of Treaties, 1155 U.N.T.S. 331, Article 53</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 w:name="Counsel_3"/>
      <w:bookmarkEnd w:id="2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44" style="position:absolute;z-index:2517647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Plaintiffs: J. Fiorante, Q.C., R. Mogerman, D. Lascaris, J.D. Winstanley, J. Yap, N. Baker.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A. Nathanson, A. Borrell, G. Cameron, M. Tsurumi, C. Senini (A/S).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 w:name="Judgment_3"/>
      <w:bookmarkEnd w:id="28"/>
      <w:r>
        <w:pict>
          <v:line id="_x0000_s1045" style="position:absolute;z-index:251815936"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January 9, 2017; the corrections have been made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 SUMMARY OF DECISION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III: EVIDENCE ON THE PRELIMINARY APPLICATIONS: BACKGROUND, CLAIMS AND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RESPONSE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Eritrea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The National Service Program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The Bisha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Economy and the 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Claims in the Action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Plaintiffs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Nevsun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 Administration of Justice in Eritrea</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Laws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 The Eritrean Courts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High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Special Court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Labour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Jurisdiction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 Additional Background Relevant to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IV: THE EVIDENCE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Unattributed Hearsay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The Secondary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Mr. Connell's Reports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The Evidence of the Former Judges and Lawyers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The IRB Decisions and the Subcommittee Transcripts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G: Miscellaneous Objections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THE FORUM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Legal Framework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Discussion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CJPTA Factors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the comparative convenience and expense for the parties to the proceeding and for their witnesses, in litigating in the court or in any alternative forum</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the law to be applied to issues in the proceeding</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the desirability of avoiding multiplicity of legal proceedings,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the desirability of avoiding conflicting decisions in different courts and</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the enforcement of an eventual judgment</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the fair and efficient working of the Canadian legal system as a whole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Additional Factors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 THE ACT OF STATE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Applicable Principles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Rules 21-8 and 9-5</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Act of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Discussion</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Does the act of state doctrine form part of the Common Law of Canada?</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Is the act of state doctrine engaged in the circumstances of this case such that the plaintiffs' action should be dismissed pursuant to either Rule 21-8 or 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VII: THE CUSTOMARY INTERNATIONAL LAW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Applicable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Rule 9-5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Customary International law and the Doctrine of Adoption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Parties' Positions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 Discussion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VIII: THE REPRESENTATIVE ACTION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Introduction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 Common Law Class Actions in British Columbia and Rule 20-3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 Have the Rule 20-3 Requirements Been Satisfied?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D: Application of the Dutton Criteria to this Case</w:t>
      </w:r>
    </w:p>
    <w:p>
      <w:pPr>
        <w:numPr>
          <w:numId w:val="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is the class capable of clear definition? (b) there must be issues of fact or law common to all class members; (c) success for one class member means success for all (d) proposed representative adequately represents the interests of the class (e) countervailing considerations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F: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VIX: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32"/>
        <w:gridCol w:w="238"/>
        <w:gridCol w:w="8154"/>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ACRONYMS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AI ATS BMSC CIL CJPTA CPA CSR DIS EASO ENAMCO EPCM EPLF IFC IRB JVTA NCEW NDP NSP PFDJ TCPCE UN COI</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Amnesty International </w:t>
            </w:r>
            <w:r>
              <w:rPr>
                <w:rFonts w:ascii="arial" w:eastAsia="arial" w:hAnsi="arial" w:cs="arial"/>
                <w:i/>
                <w:color w:val="000000"/>
                <w:sz w:val="18"/>
                <w:lang w:val="en-US" w:eastAsia="en-US" w:bidi="ar-SA"/>
              </w:rPr>
              <w:t>Alien Tort Statute</w:t>
            </w:r>
            <w:r>
              <w:rPr>
                <w:rFonts w:ascii="arial" w:eastAsia="arial" w:hAnsi="arial" w:cs="arial"/>
                <w:color w:val="000000"/>
                <w:sz w:val="18"/>
                <w:lang w:val="en-US" w:eastAsia="en-US" w:bidi="ar-SA"/>
              </w:rPr>
              <w:t xml:space="preserve"> (US) Bisha Mining Share Company Customary International Law Court Jurisdiction and Proceedings Transfer Act </w:t>
            </w:r>
            <w:r>
              <w:rPr>
                <w:rFonts w:ascii="arial" w:eastAsia="arial" w:hAnsi="arial" w:cs="arial"/>
                <w:i/>
                <w:color w:val="000000"/>
                <w:sz w:val="18"/>
                <w:lang w:val="en-US" w:eastAsia="en-US" w:bidi="ar-SA"/>
              </w:rPr>
              <w:t>Class Proceedings Act</w:t>
            </w:r>
            <w:r>
              <w:rPr>
                <w:rFonts w:ascii="arial" w:eastAsia="arial" w:hAnsi="arial" w:cs="arial"/>
                <w:color w:val="000000"/>
                <w:sz w:val="18"/>
                <w:lang w:val="en-US" w:eastAsia="en-US" w:bidi="ar-SA"/>
              </w:rPr>
              <w:t xml:space="preserve"> Corporate Social Responsibility Program Danish Immigration Service European Asylum Support Office Eritrean National Mining Corporation Engineering, Procurement and Construction Manager Eritrean People's Liberation Front International Finance Corporation Immigration Review Board </w:t>
            </w:r>
            <w:r>
              <w:rPr>
                <w:rFonts w:ascii="arial" w:eastAsia="arial" w:hAnsi="arial" w:cs="arial"/>
                <w:i/>
                <w:color w:val="000000"/>
                <w:sz w:val="18"/>
                <w:lang w:val="en-US" w:eastAsia="en-US" w:bidi="ar-SA"/>
              </w:rPr>
              <w:t>Justice for Victims of Terrorism Act</w:t>
            </w:r>
            <w:r>
              <w:rPr>
                <w:rFonts w:ascii="arial" w:eastAsia="arial" w:hAnsi="arial" w:cs="arial"/>
                <w:color w:val="000000"/>
                <w:sz w:val="18"/>
                <w:lang w:val="en-US" w:eastAsia="en-US" w:bidi="ar-SA"/>
              </w:rPr>
              <w:t xml:space="preserve"> National Confederation of Eritrean Workers National Documentation Package National Service Program People's Front for Democracy and Justice Transitional Civil Code of Eritrea United Nations Commission of Inquiry</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 w:name="P. ABRIOUX J."/>
            <w:bookmarkEnd w:id="29"/>
            <w:r>
              <w:rPr>
                <w:rFonts w:ascii="arial" w:eastAsia="arial" w:hAnsi="arial" w:cs="arial"/>
                <w:b/>
                <w:color w:val="000000"/>
                <w:sz w:val="30"/>
                <w:lang w:val="en-US" w:eastAsia="en-US" w:bidi="ar-SA"/>
              </w:rPr>
              <w:t>P. ABRIOUX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representative action proceeding was commenced in November 2014 and is still in its early stages. The plaintiffs, who are refugees from the State of Eritrea which is located in East Africa, make allegations of the most serious nature against the defendant Nevsun Resources Ltd. ("Nevsun"), a British Columbia mining company. None of the plaintiffs or putative members of the class are residents of British Columbia or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proceeding raises issues of transnational law being the term used for the convergence of customary international law and private claims for human rights redresses and which include: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claims for damages arising out of the alleged breach of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 xml:space="preserve"> or peremptory norms of customary international law such as forced labour and torture may form the basis of a civil proceeding in British Columbia;</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potential corporate liability for alleged breaches of both private and customary international law. This in turn raises issues of corporate immunity and whether the act of state doctrine raises a complete defence to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parties' respective positions are succinctly summarized this way in the notice of civil claim (the "NOCC") and Nevsun's response to civil claim (the "Response to NOCC").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NOCC: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CONCISE SUMMARY OF NATURE OF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October 2007, Vancouver based Nevsun Resources Ltd. entered into a commercial venture with the rogue state of Eritrea to develop the Bisha gold mine in Eritrea. The mine was built using forced labour, a form of slavery, obtained from the plaintiffs and others coercively and under threat of torture by the Eritrean government and its contracting arms.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bring this action for damages against Nevsun under customary international law as incorporated into the law of Canada and domestic British Columbia law, on their own behalf and as a representative action on behalf of all Eritrean nationals who were forced to work at the Bisha mine from September 2008 to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Response to NOCC: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answer to the Notice of Civil Claim as a whole... Nevsun denies the Plaintiffs' and Group Members' ... allegations that subcontractors and the Eritrean military engaged in forced labour, slavery, torture or other abuses in connection with the Bisha Mine, or that Nevsun agreed to or in any way aided, abetted or approved of or condoned such conduct. At all material times, Nevsun was an indirect shareholder and the Bisha Mine was owned and operated by Bisha Mine Share Company ("BMSC''). BMSC prohibited the use of forced labour and abuses of workers at the Bisha Mine and took reasonable steps to ensure that such conduct did not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This proceeding is under judicial management. These reasons for judgment relate to certain applications brought by Nevsun and heard in January and March 2016, with additional written submissions filed at the request of the parties in August 2016, being: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application pursuant to s.11 of the </w:t>
      </w:r>
      <w:r>
        <w:rPr>
          <w:rFonts w:ascii="arial" w:eastAsia="arial" w:hAnsi="arial" w:cs="arial"/>
          <w:i/>
          <w:color w:val="000000"/>
          <w:sz w:val="20"/>
          <w:lang w:val="en-US" w:eastAsia="en-US" w:bidi="ar-SA"/>
        </w:rPr>
        <w:t>Court Jurisdiction and Proceedings Transfer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2003, c. 28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that this Court decline to exercise territorial competence on the basis that British Columbia is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(the "Forum Application");</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two applications pursuant to Rule 9-5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strike the plaintiffs' claims on the basis they are not justiciable in that: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barred by the act of state doctrine (the "Act of State Application") and</w:t>
      </w:r>
    </w:p>
    <w:p>
      <w:pPr>
        <w:numPr>
          <w:numId w:val="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based on alleged breaches of customary international law (the "CIL Application")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application pursuant to Rule 20-3(1)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to deny process of this proceeding as a representative action (the "Representative Action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(collectively, the "preliminary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Nevsun also applies for an order striking portions of the affidavits the plaintiffs have filed in response to the preliminary applications (the "Evidence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preliminary applications and the Evidence Application raise a number of issues including, but not restricted to:</w:t>
      </w:r>
      <w:r>
        <w:rPr>
          <w:rFonts w:ascii="arial" w:eastAsia="arial" w:hAnsi="arial" w:cs="arial"/>
          <w:sz w:val="20"/>
          <w:lang w:val="en-US" w:eastAsia="en-US" w:bidi="ar-SA"/>
        </w:rPr>
        <w:cr/>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Application:</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unattributed hearsay is admissible in the circumstances of these preliminary applications;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reports concerning Eritrea authorized by governmental and non-governmental agencies such as the United Nations Commissions of Inquiry ("UN COI"), the United States Department of State, the European Asylum Support Office ("EASO"), Human Rights Watch, Amnesty International ("AI") and the Danish Immigration Service ("DIS") (collectively, the "secondary reports") and others are admissible, and if so, for what purpose;</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reports by Mr. Dan Connell, tendered by the plaintiffs as an expert in Eritrean affairs, are admissible;</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evidence including that of former Eritrean judges and lawyers is admissible as expert evidence.</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Forum Application:</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Eritrea is the proper forum for this proceeding;</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there is a real risk the plaintiffs will not obtain a fair trial in Eritrea.</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of State Application: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this doctrine forms part of the common law of Canada and British Columbia;</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it is engaged in the circumstances of this case such that the action be dismissed.</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CIL Application:</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CIL is part of the common law of Canada and British Columbia;</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to what extent can it form part of the basis for the plaintiffs' claims against Nevsun including the right to private law remedies;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Nevsun's corporate status results in immunity to the CIL claims in any event.</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Action Application</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this action can proceed as a representative proceeding pursuant to Supreme Court Civil Rule 20-3 which permits representative actions;</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the test is for a representative proceeding action and to what extent it differs from an action commenced pursuant to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Forum, Representative Action and Evidence applications will require, to some extent, a consideration of the plaintiffs' allegations against Nevsun as set out in the affidavits filed on the parties' behalf.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 must state at the outset of these reasons for judgment that I agree with the parties on the following: to the extent I consider and refer to the evidence to decide these preliminary applications I am not making any findings of fact with respect to the plaintiffs' allegations against Nevsun nor with respect to Nevsun's response. That can only occur following a trial of the issues raised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One example will illustrate why this must be so. Nevsun's extensive affidavit evidence squarely puts in issue whether any of the plaintiffs were in fact at the Bisha Mine from 2008 onwards. No finding on that issue can be made outside the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SUMMARY OF 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For the reasons that follow:</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 on the Evidence Application is divided. Certain portions of the plaintiffs' affidavit evidence is inadmissible and will not be considered. However:</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secondary reports are admitted for a limited purpose as will be described below;</w:t>
      </w:r>
    </w:p>
    <w:p>
      <w:pPr>
        <w:numPr>
          <w:numId w:val="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Connell's reports (the "Connell reports") are admitted into evidence for a limited purpose as will be described below:</w:t>
      </w:r>
    </w:p>
    <w:p>
      <w:pPr>
        <w:numPr>
          <w:numId w:val="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portion of the evidence of the former judges and lawyers is admitted into evidence;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Forum Application is dismissed. Nevsun has not established that Eritrea is the appropriate forum. Accordingly the action will proceed in this Court;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of State and CIL Applications are dismissed;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Action Application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This ruling applies only to the preliminary applications. The parties can object to the admissibility of disputed evidence such as the secondary reports and the Connell reports at the trial of the action, the mechanics of these objections being determined during the trial management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EVIDENCE ON THE PRELIMINARY APPLICATIONS: BACKGROUND, CLAIMS AND RESPONSE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What follows is taken from the evidence before me on these applications. To the extent it includes evidence objected to by Nevsun, its inclusion accords with my rulings on the Evidence Application set out in Part IV of my reasons below. For ease of reference I have, where appropriate, briefly summarized the basis for the objections taken to some of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Eritrea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Eritrea is a member state of the United Nations. Canada recognizes the government of Eritrea with direct diplomatic relations between the two countries.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Eritrean nationals are required to obtain entry visas before entering Canada. Similarly, Canadian or other nationals must obtain entry visas to travel to Eritrea. Authorizations are also required to travel within Eritrea, including to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Eritrea was an Italian colony from 1890 to 1941. Following the Second World War, it became a British protectorate until its annexation by Ethiopia in the 1950s. In May 1991, after a 30 year war, the Eritrean People's Liberation Front ("EPLF") defeated the Ethiopian army. On April 29, 1993, after Ethiopia recognized a referendum for Eritrean independence, Eritrea became independent and was admitted as a member state of the United Nations.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Isaias Afewerki has been president since 1993. His party, now known as the People's Front for Democracy and Justice ("PFDJ"), is the only political party in Eritrea. No elections have been held since independence.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From 1998 to 2000, Ethiopia and Eritrea engaged in a border war. Despite the war being over, Ethiopia refused to withdraw its troops from a part of Eritrea and the Eritrean government characterizes this ongoing occupation as "hampering the exercise of normal government functions".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Dan Connell is a visiting scholar at Boston University's African Studies Center and has authored several books on Eritrea. The plaintiffs have tendered his reports of October 15, 2015 and December 1, 2015 as expert reports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Nevsun objects to the admissibility of both Connell reports in their entirety. Its position is that Mr. Connell is not a qualified expert and is also a non-objective advocate for regime change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 reasons I explain in Part IV, being the Evidence Application, I will consider the Connell reports for the limited purpose of providing social and background facts in order to provide additional context to the first-hand accounts of the plaintiffs' affiants including the former judges and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Nevsun has tendered the August 6, 2015 report of Professor Senai Wolde-Ab Andemariam as expert evidence in this proceeding. Prof. Andemariam is an assistant professor of law at the University of Asmara's Faculty of Law, and was previously a judge in Eritrean regional and district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plaintiffs do not object to the admissibility of Prof. Andemariam's evidence. They state that much of his evidence is consistent with the plaintiffs' evidence that:</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 lacks a written constitution and functioning legislature;</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executive interference in the judicial process exists;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Special Courts have taken jurisdiction over civil matters including those decided by other courts and hears them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judges lack basic personal freedoms and are unable to leave their positions; and</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established practice of contingency fees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According to the Connell reports, civil unrest was a serious issue in Eritrea in the early 2000s. The government removed the Chief Justice for speaking out against executive interference in the judiciary. It also effected mass arrests of students and their families for protesting the conditions and compensation in the government's mandatory summer work campaign. During this period, the government also arrested almost all of the top governmental officials after they had signed a letter critical of the president and calling for democratization.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National Service Program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Eritrean National Service Program (the "NSP") is a government program of military and national service administered by the Eritrean Ministry of Defence. Mr. Connell and Prof. Andemariam agree that the NSP consists of six months of military training and a 12 month "military development service program". The latter service consists either of assignment to government, parastatal or other workplaces for training and skill development, or assignment to the Eritrean military for "purely military service". The plaintiffs say that conscientious objection is not recognized.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approximately 2002, the government began a mass demobilization and reintegration program through which members of the NSP continued to participate in national development campaigns until their turn for demobilization came. Both Prof. Andemariam and Mr. Connell report that the government discontinued the demobilization program and has only allowed demobilization on a case-by-case, individual basis. As a result, the military development portion of the NSP has extended service beyond the mandated 18 months to indefinite periods until members are demobilized.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say this program provides labour to various companies owned by senior military officials including Segen Construction Company ("Segen") and Mereb Construction Company ("Mereb") who are described below. Human Rights Watch reported in the mid-2000s that national service conscripts were used as labour on public works and farms belonging to party and military officials.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Nevsun relies on the affidavit of Berhane Afewerki Weldemariam, an engineer and the Contract Administration Head of Segen. He deposes that the Eritrean government has encouraged Segen to use active NSP service staff for road and dam construction and other infrastructure projects commissioned by the government or public authorities. This is done "in order to assist in the construction of public projects that are in the national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Weldemariam states that the use of active NSP members is not permitted for private contracts and that the character of the above mentioned projects is in the national interest, distinct from contracts with private enterprises.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Human Rights Watch reported in 2006 that individuals attempting to flee national service in Eritrea are frequently tortured. Similar statements are found in a 2008 US Department of State report, a 2009 Human Rights Watch report, and the Connell reports. The Human Rights Watch report in 2007 and Mr. Connell reported that family members of children who did not report for national service were arrested. The 2009 Human Rights Watch report and the Connell reports added that those caught fleeing national service are detained without charge or trial. Conscripts deployed on civilian development projects who abscond are treated as deserters under military law since their salaries are paid to the Ministry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Nevsun objects to the admissibility of these reports, taking the position that they are not products of judicial inquiry, are not based on any fact-finding in Eritrea, and that they contain unattributed hearsay, double-hearsay and argument. Nevsun says it is not able to test the findings of these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Bisha Mine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Bisha Mining Share Company ("BMSC") owns and operates the Bisha Mine. The Bisha Mine is the first operating modern mine in Eritrea. It is located on a large, high-grade sulphide deposit with high grade base metal reserves, including gold, copper and zinc, 150 km west of Asmara in the Gash-Barka region of Eritrea. Construction of the Bisha Mine began in 2008 and due to expansion projects, is not yet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BMSC engaged SENET, a South African company, as the Engineering, Procurement and Construction Manager ("EPCM") for the construction of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its role as EPCM contractor, SENET entered into sub-contracts on behalf of BMSC. One of the subcontractors it engaged was Segen, an Eritrean contractor. SENET directly supervised Segen's performance.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Construction of the Bisha Mine began in 2008 and was principally completed in late October 2010. Extraction of minerals has proceeded as follows:</w:t>
      </w:r>
      <w:r>
        <w:rPr>
          <w:rFonts w:ascii="arial" w:eastAsia="arial" w:hAnsi="arial" w:cs="arial"/>
          <w:sz w:val="20"/>
          <w:lang w:val="en-US" w:eastAsia="en-US" w:bidi="ar-SA"/>
        </w:rPr>
        <w:cr/>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phase 1, commercial gold production commenced in February 2011;</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phase 2, copper production commenced in late 2013;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phase 3, consists of a zinc expansion project and is not yet 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plaintiffs say Nevsun entered into a commercial relationship with the State of Eritrea to develop the Bisha Mine. Specifically, the plaintiffs claim that Nevsun engaged Segen, the Eritrean military, and Mereb to build infrastructure and mine facilities at the Bisha Mine. The plaintiffs say that Segen, Mereb, and the Eritrean military deployed forced labour obtained from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Nevsun says neither it nor SENET engaged the Eritrean military, and that it was SENET, not the defendant, that engaged Segen.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Economy and the Mine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Eritrea maintains a command economy. Estimates from 2014 place its per capita gross domestic product at $1,200 US. This ranks it 164th of 196 states in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Connell reports that the Bisha Mine is, at present, the single largest revenue source for Eritrea. In 2013, gold exports amounted to $143 million US, almost entirely from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Connell also reports that since independence, Eritrea has faced many economic problems including lack of resources and chronic drought. Nearly 80% of Eritrea's population remains engaged in subsistence agriculture. These problems have been exacerbated by restrictive economic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Claims in the Action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named plaintiffs, Gize Yebeyo Araya, Kesete Tekle Fshazion, and Mihretab Yemane Tekle are Eritrean nationals who are now refugees. They allege that they were conscripted into the NSP and then forced to provide labour to two for-profit construction companies being Segen and Mereb, the latter allegedly owned by members of the Eritrean military. They say that these companies were engaged by Nevsun and/or its Eritrean subsidiary, BMSC, for the construction of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bring this action for damages against Nevsun under CIL as incorporated into the law of Canada for: the use of forced labour; torture; slavery; cruel, inhuman or degrading treatment; and crimes against humanity. They also seek damages under domestic British Columbia law against Nevsun for the torts of conversion, battery, unlawful confinement,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conspiracy, and negligent infliction of mental distress. They relate the tortious conduct to Nevsun specifically through the following allegations:</w:t>
      </w:r>
      <w:r>
        <w:rPr>
          <w:rFonts w:ascii="arial" w:eastAsia="arial" w:hAnsi="arial" w:cs="arial"/>
          <w:sz w:val="20"/>
          <w:lang w:val="en-US" w:eastAsia="en-US" w:bidi="ar-SA"/>
        </w:rPr>
        <w:cr/>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engaged Segen, Mereb, and the Eritrean military to build the infrastructure and mine facilities at the Bisha Mine;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Segen, Mereb, and the Eritrean military deployed forced labour obtained from the plaintiffs and others to carry out this work, and used deprivation, physical assault, threats, and torture to control them;</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conduct of Segen, Mereb and the Eritrean military amounts to conversion, battery, unlawful confinement, and intentional infliction of mental distress;</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is directly liable for condoning the above by Segen, Mereb, and the Eritrean military;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is directly liable for failing to stop these practices at its mine site and this amounts to aiding and abetting Segen's and Mereb's conduct;</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BMSC condoned the above and Nevsun is liable for the conduct of BMSC;</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is vicariously liable for the conduct of Segen, Mereb and the Eritrean military at the Bisha Mine in furtherance of Nevsun's commercial objectives;</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participated in a civil conspiracy with BMSC, Segen, Mereb, and the Eritrean military by entering into an unlawful agreement for the supply of forced labour to the Bisha Mine;</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is negligent because it breached a duty of care it owed to the plaintiffs; and</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consequences of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occurred in Eritrea which is where the damages were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his affidavit, the plaintiff, Kesete Tekle Fshazion, claims he was not permitted to leave the NSP after serving for six years. He states that he was deployed by Segen to the Bisha Mine and escaped the mine and Eritrea in 2012. The plaintiff, Gize Yebeyo Araya, also claims to have not been released after his 18 months of training in the NSP, and to have been deployed to the Bisha Mine by Segen to work in the tailings management facility until October 2010. The plaintiff, Mihretab Yemane Tekle, similarly claims the NSP did not release him after his 18 months of service and that he was forced to work at the Bisha Mine until October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his affidavit, Mr. Tekle claims that the temperature at the location where he and his co-workers worked laying large, black plastic sheets reached 47 degrees Celsius. They were fully exposed to the sun. Mr. Araya claims this heat left burns and scars on his face. He claims he witnessed others receiving punishment by beating, being made to roll or run in hot sand, and being bound with their hands and feet tied together behind the back and left in the hot sun, often for hours. Mr. Tekle also observed others being tied in this position as punishment.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Both Mr. Araya and Mr. Tekle claim to have been forced to work six days a week, generally being woken at 4:00 am and working 12 hours a day, including a two hour lunch break. They claim they and other conscripts they observed were given very little food throughout the day, consisting of bread, lentil soup, and tea. They were housed in huts without beds or electricity. Mr. Tekle adds that he was always very hungry, weak, and often sick. He once observed a co-worker collapse as he was working in the hot 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Fshazion deposes to being made to work outside testing soil density, seven days a week, six of which were ten hour days, and the seventh was an eight hour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plaintiffs make these claims on their own behalf and on behalf of all members of the putative class. They say the putative class consists of over one thousand Eritrean nationals, "all conscripts in the Eritrean National Service Program who worked at the Bisha mine from 2008 to the present".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Nevsun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Nevsun is incorporated under the </w:t>
      </w:r>
      <w:r>
        <w:rPr>
          <w:rFonts w:ascii="arial" w:eastAsia="arial" w:hAnsi="arial" w:cs="arial"/>
          <w:i/>
          <w:color w:val="000000"/>
          <w:sz w:val="20"/>
          <w:lang w:val="en-US" w:eastAsia="en-US" w:bidi="ar-SA"/>
        </w:rPr>
        <w:t>Business Corporations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2002, c. 57</w:t>
      </w:r>
      <w:r>
        <w:rPr>
          <w:rFonts w:ascii="arial" w:eastAsia="arial" w:hAnsi="arial" w:cs="arial"/>
          <w:color w:val="000000"/>
          <w:sz w:val="20"/>
          <w:lang w:val="en-US" w:eastAsia="en-US" w:bidi="ar-SA"/>
        </w:rPr>
        <w:t xml:space="preserve">. Its head office is in Vancouver, British Columbia. It is a reporting issuer, as defined in the </w:t>
      </w:r>
      <w:r>
        <w:rPr>
          <w:rFonts w:ascii="arial" w:eastAsia="arial" w:hAnsi="arial" w:cs="arial"/>
          <w:i/>
          <w:color w:val="000000"/>
          <w:sz w:val="20"/>
          <w:lang w:val="en-US" w:eastAsia="en-US" w:bidi="ar-SA"/>
        </w:rPr>
        <w:t>Securities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418</w:t>
      </w:r>
      <w:r>
        <w:rPr>
          <w:rFonts w:ascii="arial" w:eastAsia="arial" w:hAnsi="arial" w:cs="arial"/>
          <w:color w:val="000000"/>
          <w:sz w:val="20"/>
          <w:lang w:val="en-US" w:eastAsia="en-US" w:bidi="ar-SA"/>
        </w:rPr>
        <w:t>, as amended. Its shares are widely-held and are listed for trading on the Toronto Stock Exchange and the New York Stock Exchange.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At the relevant times, members of Nevsun's senior management primarily resided in Vancouver, British Columbia. Nevsun's directors resided in Vancouver, Ontario and Connecticut.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Nevsun exercises effective control over BMSC. It controls a majority of the Board of BMSC and Cliff Davis, the CEO of Nevsun, is the Chair of BMSC.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Nevsun's Management Discussion and Analysis, third quarter 2013 report contains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Through its majority representation on the board of BMSC, the company is involved in all aspects of Bisha operations, including exploration, development, extraction, processing and reclamation.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Nevsun has adopted the 2006 International Finance Corporation ("IFC") standards on labour practices and working conditions which require it to:</w:t>
      </w:r>
      <w:r>
        <w:rPr>
          <w:rFonts w:ascii="arial" w:eastAsia="arial" w:hAnsi="arial" w:cs="arial"/>
          <w:sz w:val="20"/>
          <w:lang w:val="en-US" w:eastAsia="en-US" w:bidi="ar-SA"/>
        </w:rPr>
        <w:cr/>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protect workers by addressing forced labour risks;</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commercially reasonable efforts to protect workers of contractors;</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commercially reasonable efforts to ensure that contractors are reputable and legitimate enterprises;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commercially reasonable efforts to require contractors to abide by the IFC standards including the prohibition on forced labour.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Nevsun denies that Bisha Mine is its asset, stating instead that BMSC and not Nevsun is party to the agreements with the State of Eritrea and the Eritrean National Mining Corporation ("ENAMCO") that entitle it to operate the mine. Nevsun claims that operational decisions at the material times, including selecting SENET, were made by BMSC's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Nevsun also claims that BMSC required SENET to agree not to employ forced labour and ensure any subcontractors it engaged did likewise. Nevsun further asserts that SENET and all subcontractors providing services to BMSC in connection with the Bisha Mine were required to refrain from violence, crime or abuse and to comply with BMSC's corporate policies prohibiting such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In his affidavit, Stan Rogers, the former general manager of BMSC, states that he was employed in that capacity from 2005 to 2011. He describes his involvement in the Project, that is the Bisha Mine, and states that he "had a good grasp of who was performing work and who was employing them to do so". He deposes that he has never heard of Mereb and does not believe it had any role in the construction of the Bisha Mine. He also states:</w:t>
      </w:r>
      <w:r>
        <w:rPr>
          <w:rFonts w:ascii="arial" w:eastAsia="arial" w:hAnsi="arial" w:cs="arial"/>
          <w:sz w:val="20"/>
          <w:lang w:val="en-US" w:eastAsia="en-US" w:bidi="ar-SA"/>
        </w:rPr>
        <w:cr/>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Segen's employees resided in a camp which Segen constructed at the early stages of the Bisha Mine project. I never attended at this camp, which was located a couple of kilometres away from BMSC' s camp.</w:t>
      </w:r>
    </w:p>
    <w:p>
      <w:pPr>
        <w:numPr>
          <w:numId w:val="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reviewed the Notice of Civil Claim in this matter, which contains allegations of physical abuse and other mistreatment against workers engaged in the construction of the Bisha Mine.</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 not hear any allegations that Segen (or any other) workers were being physically abused. My experience is that rumours travel quickly on a mine site. If people engaged in work at the Bisha Mine were being beaten, I expect I would have heard rumours of such things.</w:t>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heard nothing of the sort. I saw no signs that any employee of Segen (or anyone else) had been beaten or physically abused. If I heard any suggestion of this, or had any inkling or suspicion of it all, I would have immediately taken action, going to the board of BMSC, and the Government of Eritrea.</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comparison to other mining operations I have been involved with in Africa and around the world, the Bisha Mine was run in a first rate fashion in the way it treated its employees, and the employees of contractors.</w:t>
      </w:r>
    </w:p>
    <w:p>
      <w:pPr>
        <w:numPr>
          <w:numId w:val="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People at the mine were among the highest paid workers in Eritrea, a country which is very poor. Even high ranking government ministers drive second hand cars.</w:t>
      </w:r>
    </w:p>
    <w:p>
      <w:pPr>
        <w:numPr>
          <w:numId w:val="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was regularly at the Bisha Mine, and witnessed the conditions of work and workers. I did not see dangerous conditions, nor did workers appear to be ill and malnourished.</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Everyone on the mine site was treated in the same fashion, regardless of their employer. The same safety standards and conditions of work prevailed. That said, there were differences between those persons who had to work outdoors (where it could be very hot), and those persons who had indoor jobs, as most of the buildings at the Bisha Mine were air conditioned.</w:t>
      </w:r>
    </w:p>
    <w:p>
      <w:pPr>
        <w:numPr>
          <w:numId w:val="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there were differences between the camps where various individuals were housed. As noted above, I never attended the Segen camp. However, I was aware of occasions where Segen encountered supply and logistical problems, meaning it did not have enough food for its workers. Those occasions were brought to the attention of BMSC and SENET by Segen's management, and BMSC supplied Segen with food, as we maintained large stores at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Lloyd Lipsett, who conducted a human rights assessment at the Bisha Mine for Nevsun and Todd Romaine, Nevsun's vice president for corporate social responsibility, testified on June 5, 2014 before the House of Commons Subcommittee on International Human Rights of the Standing Committee on Foreign Affairs and International Development (the "Subcommittee").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Nevsun objects to the admissibility of the transcripts from those hearings. For the reasons I outline below in Part IV of these reasons for judgment, I agree with this objection with the exception of parts of the transcripts which contain Mr. Lipsett and Mr. Romaine's testimony. Mr. Romaine has also sworn two affidavits tendered by Nevsun on these preliminary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have also considered the fact that in their testimony to the Subcommittee, Mr. Lipsett and Mr. Cliff Davis, Nevsun's president and CEO, referred to being aware of and informed by several of the secondary reports. Mr. Davis stated that Nevsun took appropriate steps to ensure that staff at the Bisha Mine did not act in a manner contrary to what had been identified in recommendations given by international human rights organizations.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Lipsett's approach and methodology for the Bisha Mine assessment, and the approach taken was to do a comprehensive assessment of potential human rights impacts. The: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full spectrum of human rights was screened and reviewed rather than concentrating on a limited number of human rights issues that had been raised in past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He relied on elements from the Danish Institute for Human Rights and Democracy's tools to structure the different steps of the assessment and to develop customized questions and indicators about specific categories of human rights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Lipsett undertook two field missions to Eritrea in September 2013 and January 2014. He acknowledged that it had been rare for human rights observers to have direct access to Eritrea. He spent approximately 10 days between Asmara and the Bisha Mine site and undertook certain activities including:</w:t>
      </w:r>
      <w:r>
        <w:rPr>
          <w:rFonts w:ascii="arial" w:eastAsia="arial" w:hAnsi="arial" w:cs="arial"/>
          <w:sz w:val="20"/>
          <w:lang w:val="en-US" w:eastAsia="en-US" w:bidi="ar-SA"/>
        </w:rPr>
        <w:cr/>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interviews with Eritrean stakeholders, including workers, community leaders, managers, government officials, national-level unions, lawyers, and labour tribunal judges. The interviews with workers included confidential individual interviews and focus groups with male and female employees;</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site visits to various areas of the Bisha Mine, the Bisha camp, and the camp of the subcontractor, Segen;</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formal and informal interviews with workers during those site visits;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conducting a review of all the relevant policies, management systems, and internal reports and records at the Bisha Mine and in the BMSC headquarters in Asmara;</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past allegations about the Bisha Mine, he paid particular attention to reviewing and spot-checking the screening procedures in place to safeguard against the use of NSP workers. He also conducted interviews and reviewed documents in employment files at Segen's headquarters in Asmara.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Mr. Lipsett stated that throughout the assessment, he experienced cooperation from senior management at Nevsun, BMSC, and ENAMCO, as well as from various Eritrean government officials and judges in the Eritrean labour tribunals. At the same time, he was of the view that he was at liberty to plan his site visits and conduct private and confidential interviews without interference.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part of his assessment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extensively relied upon the UN's Guiding Principles on Business and Human Rights for framing the assessment. Obviously, these UN guiding principles are the relevant global standard for business and human rights; however, I find them particularly useful because they emphasize a procedural approach to ongoing human rights due diligence.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His conclusions included:</w:t>
      </w:r>
      <w:r>
        <w:rPr>
          <w:rFonts w:ascii="arial" w:eastAsia="arial" w:hAnsi="arial" w:cs="arial"/>
          <w:sz w:val="20"/>
          <w:lang w:val="en-US" w:eastAsia="en-US" w:bidi="ar-SA"/>
        </w:rPr>
        <w:cr/>
      </w: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some differences between external reports and what he was able to observe on the ground. He expected a more militarized and overtly repressive environment than he witnessed in Asmara and at the mine site;</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acknowledged that his investigation did not delve into some of the complex civil and political rights issues that are reported about Eritrea. But his" first and second impressions of the country, and particularly the mine site, do not concord with the characterization of Eritrea as the North Korea of Africa";</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overarching theme of his conversations with all Eritrean stakeholders was that the Bisha Mine is serving as an important precedent for mining in Eritrea. Even in casual conversations on the streets of Asmara, people are aware of and interested in Bisha's activities;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clearly sensitivities on the part of the Eritrean government about framing the assessment in terms of international human rights standards that it believes had been politicized. Without detracting from the importance of those standards, it was often much more productive and constructive to have conversations about underlying principles, such as respect, equality, freedom, and fairness. Moreover, in his report he tried to link these international standards to national legislation and the policies in place at the Bisha Mine in order to provide reference points for local actors;</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believed that Nevsun's approach to transparency about the assessment and its engagement with stakeholders about the report's recommendations and a follow up action plan should be 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Romaine's testimony included:</w:t>
      </w:r>
      <w:r>
        <w:rPr>
          <w:rFonts w:ascii="arial" w:eastAsia="arial" w:hAnsi="arial" w:cs="arial"/>
          <w:sz w:val="20"/>
          <w:lang w:val="en-US" w:eastAsia="en-US" w:bidi="ar-SA"/>
        </w:rPr>
        <w:cr/>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decisions affecting the Bisha Mine are that of "collaborative consensus", of which Nevsun has had influence to pursue numerous CSR ("corporate social responsibility") objectives that adhere to Eritrea's national laws "as well as meet evolving international standards that the Government of Canada recognizes and endorses";</w:t>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part of Nevsun's CSR program, Nevsun decided it was important to undertake an extensive external assessment on how the Bisha Mine compared both in a national and international context with respect to human rights in its workforce;</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meetings included NGOs, including MiningWatch, AI, UNICEF, as well as a planned meeting with Human Rights Watch in July;</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was committed to ongoing transparency with respect to the implementation of certain selected measures and that "CSR is a key corporate strategy that is critical in maintaining [its] social licence to operate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Yacob Keleta, former SENET and BMSC safety officer at the Bisha Mine since 2009, deposed that in 2010 the number of Segen workers involved in the construction of the tailings management facility was limited. This is where and when the plaintiffs, Mr. Araya and Mr. Tekle, claimed they worked. Mr. Keleta says he did not know them despite being in a position to have done so due to the limited numbers of people working at that facility. Nevsun's affiant, Kahsay Gebremichael, deposes that he had never heard of Mr. Araya or Mr. Tekle. Mr. Gebremichael has been the foreman employed at the Bisha Mine for Segen for the last seven years and worked on the tailings management facility.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Keleta also deposes that BMSC required Eritrean employees to present proof that they had been demobilized or exempt from NSP, and that this policy applied to all Segen employees. He further states that he monitored compliance with protective equipment requirements for Segen workers at the tailings management facility construction, including gloves, safety glasses, boots, and safety vests. He says he visited the Segen camps and ate meals with the workers, which were better than meals of those who live in the villages around the mine. He states that no one complained to him there was not enough to eat. Mr. Gebremichael says the Segen employees' camp had meat three days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Both Mr. Keleta and Mr. Gebremichael say they never observed any of the Segen employees being physically abused or mistreated.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Mr. Gebremichael also deposes he never saw a NSP person working at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Administration of Justice in Eritrea</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While Eritrea has no official language, in practice, most domestic official communications, laws and statements are issued in Tigrinya and Arabic, frequently accompanied by English translations.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According to Prof. Andemariam, Eritrea does not presently have a constitution as the country's supreme law. A constitution was drafted in 1997 but has not been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One of the plaintiffs' affiants, Biniam Ghebremichael, who graduated from the law faculty at the University of Asmara, served as a judge in Eritrea while a conscript in the NSP. He deposes that laws in Eritrea are passed, amended, and repealed by government decree only. The legislature has not convened since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Mr. Ghebremichael is tendered by the plaintiffs in part as an expert witness. His affidavit contains the certification that he is aware of his duty to assist the Court and not to be an advocate for any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Prof. Andemariam's evidence is that Eritrean law consists of legislation in the form of six Transitional Codes adopted from Ethiopia prior to the dissolution of the legislature and based on the Continental European System, and an additional 180 proclamations, regulations and other delegated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proclamations include Proclamation No. 82/1995, </w:t>
      </w:r>
      <w:r>
        <w:rPr>
          <w:rFonts w:ascii="arial" w:eastAsia="arial" w:hAnsi="arial" w:cs="arial"/>
          <w:i/>
          <w:color w:val="000000"/>
          <w:sz w:val="20"/>
          <w:lang w:val="en-US" w:eastAsia="en-US" w:bidi="ar-SA"/>
        </w:rPr>
        <w:t>the National Service Proclamation</w:t>
      </w:r>
      <w:r>
        <w:rPr>
          <w:rFonts w:ascii="arial" w:eastAsia="arial" w:hAnsi="arial" w:cs="arial"/>
          <w:color w:val="000000"/>
          <w:sz w:val="20"/>
          <w:lang w:val="en-US" w:eastAsia="en-US" w:bidi="ar-SA"/>
        </w:rPr>
        <w:t xml:space="preserve"> and Proclamation No. 118/2001, the </w:t>
      </w:r>
      <w:r>
        <w:rPr>
          <w:rFonts w:ascii="arial" w:eastAsia="arial" w:hAnsi="arial" w:cs="arial"/>
          <w:i/>
          <w:color w:val="000000"/>
          <w:sz w:val="20"/>
          <w:lang w:val="en-US" w:eastAsia="en-US" w:bidi="ar-SA"/>
        </w:rPr>
        <w:t>Labour Proclamation of Eritrea</w:t>
      </w:r>
      <w:r>
        <w:rPr>
          <w:rFonts w:ascii="arial" w:eastAsia="arial" w:hAnsi="arial" w:cs="arial"/>
          <w:color w:val="000000"/>
          <w:sz w:val="20"/>
          <w:lang w:val="en-US" w:eastAsia="en-US" w:bidi="ar-SA"/>
        </w:rPr>
        <w:t xml:space="preserve"> (the "Labour Proclamation"), Eritrea's labour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codes include Proclamation No. 2 of 1991, </w:t>
      </w:r>
      <w:r>
        <w:rPr>
          <w:rFonts w:ascii="arial" w:eastAsia="arial" w:hAnsi="arial" w:cs="arial"/>
          <w:i/>
          <w:color w:val="000000"/>
          <w:sz w:val="20"/>
          <w:lang w:val="en-US" w:eastAsia="en-US" w:bidi="ar-SA"/>
        </w:rPr>
        <w:t>Transitional Civil Code of Eritrea</w:t>
      </w:r>
      <w:r>
        <w:rPr>
          <w:rFonts w:ascii="arial" w:eastAsia="arial" w:hAnsi="arial" w:cs="arial"/>
          <w:color w:val="000000"/>
          <w:sz w:val="20"/>
          <w:lang w:val="en-US" w:eastAsia="en-US" w:bidi="ar-SA"/>
        </w:rPr>
        <w:t xml:space="preserve"> ("TCPCE"). The TCPCE, Nevsun says, is the equivalent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The TCPCE ensures that proceedings take place in languages that the court, the parties and witnesses understand. English translation is available. TCPCE also provides for the taking of evidence on commission and the issuance of letters requesting the assistance of courts of other states to obtain relevant evidence for trial. The TCPCE authorises representative actions. The personal attendance of the plaintiffs is not required unless the court orders it. The plaintiffs can instead appear by counsel or by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Prof. Andemariam further says the TCPCE would apply if the plaintiffs' claims were tried in Eritrea. The proceedings would most likely take place in the Tigrinya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Under the TCPCE, the parties are entitled to call, examine and cross-examine witnesses. Experts may be called. Evidence taken on commission is admissible. While Eritrea lacks a comprehensive evidence law, the various codes contain numerous evidence-law related provisions. However, the courts are apparently divided on whether hearsay evidence is admissible at all, or whether its second hand nature goes to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Prof. Andemariam's opinion, the evidence related provisions in the codes are not sufficient to conclude that the Eritrean legal system has a comprehensive body of the law of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Prof. Andemariam states that Eritrea does not have conflict of laws legislation. If foreign law is applicable to a case brought before the Eritrean courts, the courts will dismiss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He further says the substantive laws of Eritrea recognise private law causes of action for, among other things, conversion, battery, unlawful confinement,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conspiracy and intentional or negligent infliction of emotional distress. Eritrean law also recognises claims for unjust enrichment. While Eritrean law does not incorporate CIL, it does recognise equivalent private law causes of action for forced labour, torture, slavery, cruel, inhuman and degrading treatment, and crimes against humanity. These are all crimes in Eritrea. Any violation of any Eritrean law, including the criminal or penal law that causes harm is actionable.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Ghebremichael deposes that:</w:t>
      </w:r>
      <w:r>
        <w:rPr>
          <w:rFonts w:ascii="arial" w:eastAsia="arial" w:hAnsi="arial" w:cs="arial"/>
          <w:sz w:val="20"/>
          <w:lang w:val="en-US" w:eastAsia="en-US" w:bidi="ar-SA"/>
        </w:rPr>
        <w:cr/>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closed the country's only law school in 2002. He states that the Ministry of Justice had not issued a license for the private practice of law since approximately 1995 and that only a few of his school classmates (one of the last classes to graduate from the law school before it was closed) remain in Eritrea with many judges and lawyers having fled the country;</w:t>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did not have a say in his appointment to the court and did not apply to become a judge. While a judge, he was without right to leave his position, seek another position, or negotiate salary even after demobilization. He was paid wages insufficient to live on until he was demobilized, when it increased approximately to three times the amount;</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judges had to borrow money to supplement their wages;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tried to escape NSP conscription and the country in 2007, he was detained without due process, not provided with access to a lawyer, was not formally charged, nor was there a trial or hearing. While imprisoned, he witnessed severe beatings of prisoners;</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his time as a judge, there was a constant rotation of people transferred from the judiciary to the prosecutor's office and vice versa;</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Minister of Justice had the power to hire, re-assign, and summarily fire any judge or judicial personnel;</w:t>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presidents or coordinators of regional courts are usually ex-fighters or party members;</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loyalists, who often handle files without knowledge of the judges, request changes of venue and interfere with the administration of justice through threat of demotion;</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2001, the Chief Justice of Eritrea was removed for making a statement criticizing the government's interference with the judiciary;</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issuing a summons to a regional governor, he was told he could not do so and was re-assigned to a remote court;</w:t>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judges advocated that police who use torture should be prosecuted, the Minister of Justice instructed the prosecutor's office that the police should be given immunity from prosecution;</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new codes drafted for Eritrea by Dutch legal scholars in 2002 were never put into effect, despite a government declaration in 2015 this had occurred. The codes are not available to the public;</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constitutional limits are placed on the authority of the executive since no constitution has been enacted;</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laws are made by way of Presidential decree, statement, or letter;</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Labour Court ruled against an attempted unionization of public transport employees, without issuing any legal reasons. The case was appealed to Mr. Ghebremichael's court where he issued reasons allowing unionization pursuant to a statute. He was reprimanded by the Chief Justice for this ruling after the Minister of Labour complained to the Chief Justice;</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only a few of the Labour Court judges have any legal training;</w:t>
      </w:r>
    </w:p>
    <w:p>
      <w:pPr>
        <w:numPr>
          <w:numId w:val="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many of the Labour Relations Board members are not lawyers;</w:t>
      </w:r>
    </w:p>
    <w:p>
      <w:pPr>
        <w:numPr>
          <w:numId w:val="1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Special Court was created by a proclamation that stipulated defendants were not permitted any legal representation, trials were to be held in private, no appeal is permitted, the court can use any method to pursue a case, and the court is not bound by the principles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w:t>
      </w:r>
    </w:p>
    <w:p>
      <w:pPr>
        <w:numPr>
          <w:numId w:val="1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Court has reversed decisions of ordinary courts, including in civil cases;</w:t>
      </w:r>
    </w:p>
    <w:p>
      <w:pPr>
        <w:numPr>
          <w:numId w:val="1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Court judges are members of the Ministry of Defense, including ranking military officials; and</w:t>
      </w:r>
    </w:p>
    <w:p>
      <w:pPr>
        <w:numPr>
          <w:numId w:val="1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his opinion, there is no likelihood the plaintiffs could receive a fair trial in Eritrea, and it is "highly dubious" whether any witnesses in the country would be willing to come forward and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According to Mr. Ghebremicheal, in 2011 a new law program was opened at the Adi-Keih College of Arts. He states that his understanding is that the law program is a department within the College and that all graduates are NSP conscripts who are assigned to the Ministry of Justice to work as clerks, prosecutors or judges. Prof. Andemariam has not specifically refuted this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Nevsun takes issue with this evidence, however, claiming it is out of date, unreliable, and not readily ascertainable as coming from someone qualified to give that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Eritrean Courts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parties appear to agree that three branches of adjudicative tribunals in Eritrea are relevant to this proceeding, being the High Court, the Special Court, and the Labour Court.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High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Prof. Andemariam states that despite being a trial court, the High Court sits in divisions of three judges. Judgments are read in open court. The court may award costs. The court hearing the case has jurisdiction over execution of its judgments. The pre-trial process includes the exchange of pleadings, notice of the evidence each side intends to rely on, and an appearance before the court to determine any preliminary objections and frame and to record the issues for trial. Some discovery is available, and the court can order the production of any document it considers necessary for trial. Appeals from decisions of the High Court on interlocutory and final orders are heard by the Court of Last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refer to a number of secondary reports that canvass social conditions and the administration of justice in Eritrea:</w:t>
      </w:r>
      <w:r>
        <w:rPr>
          <w:rFonts w:ascii="arial" w:eastAsia="arial" w:hAnsi="arial" w:cs="arial"/>
          <w:sz w:val="20"/>
          <w:lang w:val="en-US" w:eastAsia="en-US" w:bidi="ar-SA"/>
        </w:rPr>
        <w:cr/>
      </w:r>
    </w:p>
    <w:p>
      <w:pPr>
        <w:numPr>
          <w:numId w:val="1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Department of State Report 2007 concludes that:</w:t>
      </w:r>
    </w:p>
    <w:p>
      <w:pPr>
        <w:numPr>
          <w:numId w:val="1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constitution remains unimplemented;</w:t>
      </w:r>
    </w:p>
    <w:p>
      <w:pPr>
        <w:numPr>
          <w:numId w:val="1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judicial process is influenced by the patronage of former fighters;</w:t>
      </w:r>
    </w:p>
    <w:p>
      <w:pPr>
        <w:numPr>
          <w:numId w:val="1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 of the President acts as arbitrators or facilitators in civil matters and bypasses courts;</w:t>
      </w:r>
    </w:p>
    <w:p>
      <w:pPr>
        <w:numPr>
          <w:numId w:val="1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judicial procedures exist for claims of human rights violations by the government;</w:t>
      </w:r>
    </w:p>
    <w:p>
      <w:pPr>
        <w:numPr>
          <w:numId w:val="1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few remedies for enforcing domestic court orders exists for persons not affiliated with the executive branch or who have wealth;</w:t>
      </w:r>
    </w:p>
    <w:p>
      <w:pPr>
        <w:numPr>
          <w:numId w:val="1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licences to lawyers for private practice have been issued for eight years prior to the report;</w:t>
      </w:r>
    </w:p>
    <w:p>
      <w:pPr>
        <w:numPr>
          <w:numId w:val="1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Court issues directives to other courts regarding administrative matters;</w:t>
      </w:r>
    </w:p>
    <w:p>
      <w:pPr>
        <w:numPr>
          <w:numId w:val="1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lawyers practice in the Special Court and the judge serves as prosecutor;</w:t>
      </w:r>
    </w:p>
    <w:p>
      <w:pPr>
        <w:numPr>
          <w:numId w:val="1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trials are closed to the public;</w:t>
      </w:r>
    </w:p>
    <w:p>
      <w:pPr>
        <w:numPr>
          <w:numId w:val="1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has allowed the Special Court to re-try High Court cases; and</w:t>
      </w:r>
    </w:p>
    <w:p>
      <w:pPr>
        <w:numPr>
          <w:numId w:val="1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persons detained for being critical of government were detained without due process and that no civil judicial procedures were available to those claiming human rights violations by the government.</w:t>
      </w:r>
    </w:p>
    <w:p>
      <w:pPr>
        <w:numPr>
          <w:numId w:val="1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prepared in 2015 by a UN COI established to investigate the human rights situation in Eritrea (the "2015 UN COI report"). Its conclusions included that:</w:t>
      </w:r>
    </w:p>
    <w:p>
      <w:pPr>
        <w:numPr>
          <w:numId w:val="1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judges are appointed and dismissed at will by the President, and directed in their decisions by the ruling party and army;</w:t>
      </w:r>
    </w:p>
    <w:p>
      <w:pPr>
        <w:numPr>
          <w:numId w:val="1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judges are conscripts whose careers depend on the Ministry of Defense and are paid less than 2 USD per day because of their conscript status;</w:t>
      </w:r>
    </w:p>
    <w:p>
      <w:pPr>
        <w:numPr>
          <w:numId w:val="1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no documented cases was a public official prosecuted for involvement in a human rights violation;</w:t>
      </w:r>
    </w:p>
    <w:p>
      <w:pPr>
        <w:numPr>
          <w:numId w:val="1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espouses a lack of cooperation with the UN Special Rapporteur investigating human rights in the country;</w:t>
      </w:r>
    </w:p>
    <w:p>
      <w:pPr>
        <w:numPr>
          <w:numId w:val="1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2002, laws are passed exclusively by government decree; and</w:t>
      </w:r>
    </w:p>
    <w:p>
      <w:pPr>
        <w:numPr>
          <w:numId w:val="1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Court judges are senior military officials without legal training, directly accountable to the President. One judge acts as prosecutor. The parties have no right to legal representation or to present a defence. No public record of proceedings exists. The Special Court can reopen cases already tried. No right of appeal lies from Special Court decisions. There appears to be no basis in law for the decisions.</w:t>
      </w:r>
    </w:p>
    <w:p>
      <w:pPr>
        <w:numPr>
          <w:numId w:val="1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UN COI report published in May 2016 (the "2016 UN COI report") includes the following:</w:t>
      </w:r>
    </w:p>
    <w:p>
      <w:pPr>
        <w:numPr>
          <w:numId w:val="1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constitution has still not been implemented;</w:t>
      </w:r>
    </w:p>
    <w:p>
      <w:pPr>
        <w:numPr>
          <w:numId w:val="1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taxes two percent of the individual's income, including those living abroad and refusal to pay the tax has resulted in denial of title to land or business licences for family members still in Eritrea, and denial of passport recognition. This is so until the exiled person signs a confession admitting to treason and failing to fulfill one's national duty;</w:t>
      </w:r>
    </w:p>
    <w:p>
      <w:pPr>
        <w:numPr>
          <w:numId w:val="1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Eritrea's system of national service violates international treaties against the use of forced labour;</w:t>
      </w:r>
    </w:p>
    <w:p>
      <w:pPr>
        <w:numPr>
          <w:numId w:val="1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Eritrea's system of indefinite conscription constitutes enslavement in violation of international law;</w:t>
      </w:r>
    </w:p>
    <w:p>
      <w:pPr>
        <w:numPr>
          <w:numId w:val="1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no progress towards the implementation of a constitution and the practice of issuance of legislation by decree continues; and</w:t>
      </w:r>
    </w:p>
    <w:p>
      <w:pPr>
        <w:numPr>
          <w:numId w:val="1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absence of a constitution, an independent judiciary or democratic institutions in Eritrea, the commission has found no improvement in the rule of law. The commission has heard of no plans to hold national elections. While the commission was informed about the establishment of a committee to consider drafting a new constitution, it has received no further details.</w:t>
      </w:r>
    </w:p>
    <w:p>
      <w:pPr>
        <w:numPr>
          <w:numId w:val="1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 Department of State Report - Eritrea 2014 concludes:</w:t>
      </w:r>
    </w:p>
    <w:p>
      <w:pPr>
        <w:numPr>
          <w:numId w:val="1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judiciary is not independent from executive control, specifically the Office of the President's adjudicative function.</w:t>
      </w:r>
    </w:p>
    <w:p>
      <w:pPr>
        <w:numPr>
          <w:numId w:val="1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EASO, Country of Origin Information Report: Eritrea Country Focus, May 2015 concludes:</w:t>
      </w:r>
    </w:p>
    <w:p>
      <w:pPr>
        <w:numPr>
          <w:numId w:val="1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have been no elections since independence;</w:t>
      </w:r>
    </w:p>
    <w:p>
      <w:pPr>
        <w:numPr>
          <w:numId w:val="1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constitution has never been implemented;</w:t>
      </w:r>
    </w:p>
    <w:p>
      <w:pPr>
        <w:numPr>
          <w:numId w:val="1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Parliament has not been convened for more than 10 years;</w:t>
      </w:r>
    </w:p>
    <w:p>
      <w:pPr>
        <w:numPr>
          <w:numId w:val="1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laws reformed in 1997 were not entered into force;</w:t>
      </w:r>
    </w:p>
    <w:p>
      <w:pPr>
        <w:numPr>
          <w:numId w:val="1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new legislation is issued by decree or administrative directives, and personal interventions by the President, and without parliamentary consent;</w:t>
      </w:r>
    </w:p>
    <w:p>
      <w:pPr>
        <w:numPr>
          <w:numId w:val="1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Court is operated by the President's Office, the secret service, the army and police;</w:t>
      </w:r>
    </w:p>
    <w:p>
      <w:pPr>
        <w:numPr>
          <w:numId w:val="1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courts' officials report to the Ministry of Justice; and</w:t>
      </w:r>
    </w:p>
    <w:p>
      <w:pPr>
        <w:numPr>
          <w:numId w:val="1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government taxes two percent of the individual's income, including those living abroad. Exiled Eritreans can re-enter the country only after paying this tax, signing a repentance, and promising to abstain from anti-government activities while abroad. They may also be sent to a six-week training course whose purported purpose is to re-instill patriotism.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Nevsun's position is that if the Court does consider the secondary reports, it should also consider the 2014 DIS Report, which concluded:</w:t>
      </w:r>
      <w:r>
        <w:rPr>
          <w:rFonts w:ascii="arial" w:eastAsia="arial" w:hAnsi="arial" w:cs="arial"/>
          <w:sz w:val="20"/>
          <w:lang w:val="en-US" w:eastAsia="en-US" w:bidi="ar-SA"/>
        </w:rPr>
        <w:cr/>
      </w:r>
    </w:p>
    <w:p>
      <w:pPr>
        <w:numPr>
          <w:numId w:val="1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 and procedures are not applied in a uniform manner and some laws are unclear or unpublished;</w:t>
      </w:r>
    </w:p>
    <w:p>
      <w:pPr>
        <w:numPr>
          <w:numId w:val="1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judicial system seems to operate in arbitrary ways and is not well functioning;</w:t>
      </w:r>
    </w:p>
    <w:p>
      <w:pPr>
        <w:numPr>
          <w:numId w:val="1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international human rights observers have had access to the country for many years;</w:t>
      </w:r>
    </w:p>
    <w:p>
      <w:pPr>
        <w:numPr>
          <w:numId w:val="1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easier to be released from NSP (military service) today than previously, in that although open-ended NSP tends to be limited to between two and five years, as opposed to previously, when it lasted over ten years;</w:t>
      </w:r>
    </w:p>
    <w:p>
      <w:pPr>
        <w:numPr>
          <w:numId w:val="1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also been a relaxation in NSP recruitment procedures in that people are not being collected by soldiers if they did not appear when called; and</w:t>
      </w:r>
    </w:p>
    <w:p>
      <w:pPr>
        <w:numPr>
          <w:numId w:val="1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capacity of the state to enforce rules relating to the NSP and control citizens' movements seems to be diminishing: exiled Eritreans can re-enter the country after paying the 2% income tax and signing an apology letter.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Relying on the UN COI reports, the plaintiffs say conscripts can be appointed to the judiciary while still being under the authority of the Ministry of Defence, they are unable to choose or leave their position, negotiate a salary, or travel or leave the country. Further, the former President of the High Court was removed in 2001 from his position after he criticized undue interference by the executive in the judicial process. Prof. Andemariam says that most judges are subject to similar restrictions to those that apply to all government employees, such as travel restrictions and inability to leave their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Ghebremichael deposes that presidents or coordinators of regional courts are often former military personnel who fought in the war against Ethiopia, or are ruling party loyalists who administer files without the knowledge of judges, request changes of venue through express or implicit intimidation and threat of demotion.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former judges and lawyers who have sworn affidavits on the plaintiffs' behalf depose to being transferred to courts in remote areas as a form of punishment after refusing to vary from court procedure in order to comply with the demands of government officials. Prof. Andemariam states that judges have procedural immunity if they commit offences or breach ethical discipline, and that they are not automatically prosecuted, but rather appear before a disciplinary committee.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Isaias Tesfalidet is a lawyer who swore an affidavit on the plaintiffs' behalf. He was formerly assigned to the Office of the Legal Advisor to the Office of the President of the State of Eritrea. He states that:</w:t>
      </w:r>
      <w:r>
        <w:rPr>
          <w:rFonts w:ascii="arial" w:eastAsia="arial" w:hAnsi="arial" w:cs="arial"/>
          <w:sz w:val="20"/>
          <w:lang w:val="en-US" w:eastAsia="en-US" w:bidi="ar-SA"/>
        </w:rPr>
        <w:cr/>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 of the President allows parties to by-pass a court by applying to have the Office of the President issue a decision on</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 of the President may then refer the cases to the Special Court, or decide upon the dispute;</w:t>
      </w:r>
    </w:p>
    <w:p>
      <w:pPr>
        <w:numPr>
          <w:numId w:val="1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procedures for appealing decisions of the Office of the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A former judge, Abdalla Osman Khiyar's evidence is that:</w:t>
      </w:r>
      <w:r>
        <w:rPr>
          <w:rFonts w:ascii="arial" w:eastAsia="arial" w:hAnsi="arial" w:cs="arial"/>
          <w:sz w:val="20"/>
          <w:lang w:val="en-US" w:eastAsia="en-US" w:bidi="ar-SA"/>
        </w:rPr>
        <w:cr/>
      </w:r>
    </w:p>
    <w:p>
      <w:pPr>
        <w:numPr>
          <w:numId w:val="1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experienced government and military interference in the judicial process in the Gash-Barka region where he says the plaintiffs' claim would be brought as the Bisha Mine is in this region;</w:t>
      </w:r>
    </w:p>
    <w:p>
      <w:pPr>
        <w:numPr>
          <w:numId w:val="1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Special Court is run by military judges with no legal training, with the authority to re-try cases already decided including civil matters. Parties have no right to counsel nor appeal;</w:t>
      </w:r>
    </w:p>
    <w:p>
      <w:pPr>
        <w:numPr>
          <w:numId w:val="1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estimates only 50 lawyers are licensed for private practice and only 10-12 would be licensed to represent clients in the High Court. Almost all of the latter are based in Asmara;</w:t>
      </w:r>
    </w:p>
    <w:p>
      <w:pPr>
        <w:numPr>
          <w:numId w:val="1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Asmara based lawyer would agree to pay the expense of travel to the Gash-Barka region, nor agree to represent the plaintiffs on a contingency fee basis due to the complexity of the case;</w:t>
      </w:r>
    </w:p>
    <w:p>
      <w:pPr>
        <w:numPr>
          <w:numId w:val="1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only equivalent to a representative action would require all plaintiffs outside the country to execute powers of attorney through the embassy; and</w:t>
      </w:r>
    </w:p>
    <w:p>
      <w:pPr>
        <w:numPr>
          <w:numId w:val="1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someone outside the country to hire a lawyer inside the country, the Eritrean embassy charges a tax equivalent to 2% of the applicant's income to obtain a power of attorney.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 former judge, Yonas Gebreselassie's evidence is that:</w:t>
      </w:r>
      <w:r>
        <w:rPr>
          <w:rFonts w:ascii="arial" w:eastAsia="arial" w:hAnsi="arial" w:cs="arial"/>
          <w:sz w:val="20"/>
          <w:lang w:val="en-US" w:eastAsia="en-US" w:bidi="ar-SA"/>
        </w:rPr>
        <w:cr/>
      </w:r>
    </w:p>
    <w:p>
      <w:pPr>
        <w:numPr>
          <w:numId w:val="1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transferred to a district court in Mendefara as a reprimand for having a conflict with the executive;</w:t>
      </w:r>
    </w:p>
    <w:p>
      <w:pPr>
        <w:numPr>
          <w:numId w:val="1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President of the Southern Region Court did not have a law degree and lacked knowledge of many areas of law and procedure, but tried to instruct him on how to decide cases; and</w:t>
      </w:r>
    </w:p>
    <w:p>
      <w:pPr>
        <w:numPr>
          <w:numId w:val="1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Ministry of Justice is involved with the logistical administration and human resources of the courts including the appointment and removal of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 former prosecutor and judge, Kifleyohanes Teweldebrhan Yeibio's evidence is that:</w:t>
      </w:r>
      <w:r>
        <w:rPr>
          <w:rFonts w:ascii="arial" w:eastAsia="arial" w:hAnsi="arial" w:cs="arial"/>
          <w:sz w:val="20"/>
          <w:lang w:val="en-US" w:eastAsia="en-US" w:bidi="ar-SA"/>
        </w:rPr>
        <w:cr/>
      </w:r>
    </w:p>
    <w:p>
      <w:pPr>
        <w:numPr>
          <w:numId w:val="1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working as a prosecutor, he ordered a politically detained labour tribunal complainant to be released from detention but was defied by a military colonel;</w:t>
      </w:r>
    </w:p>
    <w:p>
      <w:pPr>
        <w:numPr>
          <w:numId w:val="1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Attorney General terminated his training program for public prosecutors and police investigators on the procedural rights of criminally accused. The training packs he distributed were confiscated;</w:t>
      </w:r>
    </w:p>
    <w:p>
      <w:pPr>
        <w:numPr>
          <w:numId w:val="1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prosecutor, he witnessed the current Minister of Justice remove from prosecution a case against a Ministry advisor;</w:t>
      </w:r>
    </w:p>
    <w:p>
      <w:pPr>
        <w:numPr>
          <w:numId w:val="1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was removed as Chief Prosecutor in 2001, and when his replacement started conducting random prison inspections, he was also removed;</w:t>
      </w:r>
    </w:p>
    <w:p>
      <w:pPr>
        <w:numPr>
          <w:numId w:val="1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fellow judge was ordered by a military major general to stop hearing a civil case and when he issued written reasons denying this request, his right to work or travel was revoked indefinitely; and</w:t>
      </w:r>
    </w:p>
    <w:p>
      <w:pPr>
        <w:numPr>
          <w:numId w:val="1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judge, he did not order the perpetrators of torture arrested and investigated for fear for his own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Nevsun objects to the former judges' and lawyers' evidence of interference in the judicial system, saying that it is severely dated, contains substantial hearsay and argument, and does not disclose sufficient detail regarding their qualifications to give the opinions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Prof. Andemariam states he is not aware of any improper influence, inducement, pressure or threats against judges. He says Eritrean courts at all levels have decided "tens of thousands" of civil, commercial and criminal cases with no discernable executive or political interference. Insofar as the High Court is concerned, he deposes he has not known the court to be a corrupt institution, and knows of only one case of corruption which occurred nine to 12 years ago. He is of the opinion that most judges in the High Court are well-educated, experienced, and competent to hear the plaintiffs'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Yohanne Sium, an attorney who practices in Washington State, U.S.A., has sworn an affidavit on Nevsun's behalf. He describes travelling in Eritrea in 2008 and again from May 2011 to January 2012. He states he met with law students, professors and judges, and attended classes where students asked "pointed questions" and where "there was serious debate about Eritrean legal issues". There was a "robust legal community" in Eritrea and excitement with the economic prospects created by the opening of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Human Rights Watch 2015 Report at page 218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Eritrea's dismal human rights situation, exacerbated by indefinite military conscription, is causing thousands of Eritreans to flee their country every month. In early 2014, President Isaias Afewerki confirmed his lack of interest in an open society, stating: "[I]f there is anyone who thinks there will be democracy or [a] multiparty system in this country. . . then that person can think of such things in another world."</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Special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In 1996, the government created the Special Court with the purported intent of tackling corruption. The Special Court has exclusive jurisdiction on criminal matters relating to corruption, theft, breach of trust and fraud. The Proclamation that created the Special Court stipulated that: defendants were not permitted any legal representation; trials would be held in private; no appeal is permitted; the court is empowered to use any method it sees fit to pursue a case; and is not bound by the principles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There is no public record of the proceedings. Decisions are reportedly not taken on the basis of domestic law or established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The Special Court has reversed decisions of the ordinary courts, including decisions in civil cases. The Special Court established its own Executive Office to enforce its decisions. It has also been given wider power to auction off property and dissolve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As noted above, the 2015 UN COI report states that judges in the Special Court are members of the Ministry of Defense and some are ranking military officials. Judges are directly accountable to the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While Prof. Andemariam acknowledges the practices of the Special Court constitute executive interference in judicial proceedings, he states he has not heard of instances of these problems in the past two to three years.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Labour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Labour Proclamation assigns jurisdiction to labour tribunals, and governs the rights of employees under individual contracts of employment or collective agreements.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Labour Court has exclusive jurisdiction over individual labour cases and it is presided over by one judge. The decisions of this court are appealable to a regional court. Mr. Ghebremichael deposes that judges are usually former soldiers, not lawyers, and are appointed by the Minister of Labour. Again, the defendant objects to the admissibility of this evidence. Prof. Andemariam claims he is unaware of corruption in specialized labour tribunals like the Labour Court or Labour Relations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Prof. Andemariam states the Labour Relations Board has exclusive jurisdiction over collective labour disputes and the interpretation of the Labour Proclamation. It has five members, including representatives of management and labour. The Board members have knowledge and experience in labour matters. The Board is not bound by the laws of evidence and procedure used in the civil courts. As provided for in the Labour Proclamation, in deciding cases, it "shall take into account the substantial merits of the case [without following] strictly the principles of substantive law as followed by the courts": Article 135(5) of the Labour Proclamation. Article 127 of the Labour Proclamation provides that "[a]ll findings of fact made by the Labour Relations Board ... shall be conclusive and final". There is a limited right of appeal from the Labour Relations Board to the High Court "solely on questions of law which materially affect the Board's decision": Article 127. Wage-related claims, claims based on hours of work, and leave-related claims are labour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Mr. Ghebremichael deposes that the judges on the Labour Court appointed by the Minister of Labour are usually former fighters and only a few have legal training. Some members of the Labour Relations Board are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Prof. Andemariam states that persons who are active in the NSP are not "employees" for the purposes of the Labour Proclamation. Persons who are exempt, released or demobilized are "employees" and the legislation applies to them. For such persons, the Labour Proclamation assigns exclusive subject matter competence over labour claims to labour tribunals.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Prof. Andemariam appears to accept that neither the putative class members who have not been demobilized, nor Nevsun itself, fall under the jurisdiction of the labour tribunal. Only one named plaintiff, Mr. Kesete, would be subject to the Labour Proclamation and the labour tribunal. Nevsun, as a party related to the plaintiffs' employer at the Bisha Mine, is also exempt since the plaintiffs are not considered employees of Nevsun.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Jurisdiction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Prof. Andemariam's evidence is that the Eritrean High Court has subject matter jurisdiction over the plaintiffs' tort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As to the contractual relationships, Prof. Andemariam states the SENET-Segen contracts were governed by Eritrean law, while the BMSC contract terms were governed by English and Welsh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Mr. Weldemariam deposes that at all relevant times, Segen's employees were unionized. All of Segen's workers are registered members of the National Confederation of Eritrean Workers ("NCEW"). The terms and conditions of their employment were governed by a collective agreement (the "Segen Collective Agreement") between Segen and the Association of Segen Construction Company Employees (the "Base Union") first made as of April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Article 28 of the Segen Collective Agreement provides that any dispute arising out of the interpretation of the collective agreement shall be decided by the Office of the Ministry of Labour and Human Welfare. Appeal to the High Court is reserved for both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According to Prof. Andemariam, the agreements in question in this proceeding contained arbitration provisions that provided that arbitral proceedings would be conducted in Asmara, Eritrea. They provide that if the arbitration award was not enforceable, either party could bring an action "in a competent Court of Law", in which case the law of South Africa would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Prof. Andemariam is of the opinion that the combined effect of the provisions of the Segen Collective Agreement and the Labour Proclamation is that labour disputes falling within the scope of the collective agreement would proceed through the conciliation services of the Eritrean Ministry of Labour and Human Welfare, and failing agreement, to arbitration or the Eritrean Labour Relations Board, depending on the parties'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J:</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Additional Background Relevant to Forum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Tigrinya is the primary language of most of BMSC's employees. Local languages are also spoken. Near the Bisha Mine, the local language is Tigre.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three named plaintiffs all required translation of their affidavits from Tigrinya to English. All of the putative class members who swore affidavits and all of the Segen employees who responded, a further 15 witnesses in all, also required translation from Tigrinya.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Communications between Eritrea and Canada or other western countries can be very difficult. Telephone and internet communications with Eritrea are unreliable. Calls, even on landlines, are often disconnected and where connections are achieved, the quality of the connection is often poor such that it is difficult to hear or be heard. Internet connections and videoconferencing or communicating via Skype or other internet video communications is subject to similar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Eritrea is also physically difficult to reach from Vancouver. The only airline connections to Eritrea's capital, Asmara, are through Cairo, Istanbul, or Doha, Qatar. Depending on the schedule of connecting flights, the total travel time from Vancouver can range from 24 to 36 hours. The cost of economy airfare from Vancouver is generally between $3,000-$4,000.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According to Nevsun's affiant, Pieter Theron, who is the Director of the Bisha Mine for SENET, in 2009 BMSC advised SENET that it had received allegations that Segen was employing military conscripts. BMSC and SENET introduced a screening process requiring Segen employees to attend new safety inductions and provide documentary proof they were free of national service requirements. Two months after this process was initiated, 99% of Segen employees had been re-inducted and had submitted military clearances. A different program, requiring photo ID cards, was instituted in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documents from these safety inductions and NSP documentation checks, including the names of all who participated, appear to be in Eritrea or with SENET in South Africa. The same is true of records of Segen employees who attended daily safety briefings.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Other documents, including national service, employment and medical records relevant to the plaintiffs' and putative class members' personal damages, are also located in Eritrea. Some are in the hands of third parties including Segen and the Eritrean government and military. Some documents are in English, others are in Tigrinya.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There is no private or independent media in Eritrea. According to the 2015 UN COI report, the Eritrean government refused to permit the Special Rapporteur of the commission unrestricted access to visit the country and refused to provide the commission with the information necessary to fulfill their mandate. Eritrea has not been open to international human rights observers for many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And yet, it would appear from his testimony before the Subcommittee that Mr. Lipsett was provided with extensive access to locations he wished to visit.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2015 UN COI report also found an extensive surveillance and spying system in which the Eritrean government systematically recruits individuals to spy on individuals and entities inside and outside the country. Targets of surveillance include conscripts, those trying to escape conscription or flee the country, relatives or critics of the government, members of non-governmental organizations and religious groups, detainees, and individuals suspected of being spies for foreign entities and governments. The information collected is used in arbitrary arrests, unjustified detentions, torture, enforced disappearances, extrajudicial killings, among other things.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EVIDENCE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This application affects certain of the preliminary applications including the Forum, the CIL and the Representative Action applications, and as such, I will consider it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Nevsun applies for an order striking portions of the affidavit evidence filed and relied on by the plaintiffs in opposition to the preliminary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It submits its application is not premised upon technicalities but rather engages matters of substance. Limiting the record to those materials that may properly be received in evidence is critical to the proper disposition of the applications and should an appeal be taken by either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According to Nevsun, fair process requires the Court to decide the issues solely upon properly admissible evidence. The extremely serious nature of the plaintiffs' allegations and the potential consequences of any judicial determination make this principle all the more important.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It submits that although this is a civil case and the applications are interlocutory, the rules of evidence apply. These proceedings seek to draw the Court into sensitive political issues. Among other things, the plaintiffs seek to establish that:</w:t>
      </w:r>
      <w:r>
        <w:rPr>
          <w:rFonts w:ascii="arial" w:eastAsia="arial" w:hAnsi="arial" w:cs="arial"/>
          <w:sz w:val="20"/>
          <w:lang w:val="en-US" w:eastAsia="en-US" w:bidi="ar-SA"/>
        </w:rPr>
        <w:cr/>
      </w:r>
    </w:p>
    <w:p>
      <w:pPr>
        <w:numPr>
          <w:numId w:val="1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 is a "rogue state";</w:t>
      </w:r>
    </w:p>
    <w:p>
      <w:pPr>
        <w:numPr>
          <w:numId w:val="1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its judicial system is corrupt and completely unreliable; and</w:t>
      </w:r>
    </w:p>
    <w:p>
      <w:pPr>
        <w:numPr>
          <w:numId w:val="1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number of individuals, and indeed, the Eritrean government itself, are engaged in or complicit in war crimes and other crimes against humanity.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According to Nevsun, the evidence tendered in support of these allegations:</w:t>
      </w:r>
      <w:r>
        <w:rPr>
          <w:rFonts w:ascii="arial" w:eastAsia="arial" w:hAnsi="arial" w:cs="arial"/>
          <w:sz w:val="20"/>
          <w:lang w:val="en-US" w:eastAsia="en-US" w:bidi="ar-SA"/>
        </w:rPr>
        <w:cr/>
      </w:r>
    </w:p>
    <w:p>
      <w:pPr>
        <w:numPr>
          <w:numId w:val="1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fails to comply with basic rules of evidence;</w:t>
      </w:r>
    </w:p>
    <w:p>
      <w:pPr>
        <w:numPr>
          <w:numId w:val="1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where the evidence is technically admissible, "it is rife with hearsay, is dated, fragmentary, vague and often internally inconsistent";</w:t>
      </w:r>
    </w:p>
    <w:p>
      <w:pPr>
        <w:numPr>
          <w:numId w:val="1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material such that it can safely be relied upon, and much of it cannot be used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 plaintiffs take an entirely different approach. Their position is that Nevsun is essentially using a "set of hyper-technical evidentiary arguments to obscure the court's truth finding function and create an obviously false reality". They submit that in addition to being legally and factually flawed, Nevsun's arguments are antithetical to the nature of the issues before the Court and the modern approach to evidence in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They submit that the recent trend in the law of evidence has been to remove barriers to the truth-seeking process. Accordingly, the rules of evidence are not inflexible.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They point to what they say is a most unusual set of circumstances presenting significant impediments to obtaining first hand evidence in Eritrea. This, they say, is due to the political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This application raises issues that include:</w:t>
      </w:r>
      <w:r>
        <w:rPr>
          <w:rFonts w:ascii="arial" w:eastAsia="arial" w:hAnsi="arial" w:cs="arial"/>
          <w:sz w:val="20"/>
          <w:lang w:val="en-US" w:eastAsia="en-US" w:bidi="ar-SA"/>
        </w:rPr>
        <w:cr/>
      </w:r>
    </w:p>
    <w:p>
      <w:pPr>
        <w:numPr>
          <w:numId w:val="1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if any, that can be made of unattributed hearsay alleged in certain of the affidavits filed on behalf of the plaintiffs;</w:t>
      </w:r>
    </w:p>
    <w:p>
      <w:pPr>
        <w:numPr>
          <w:numId w:val="1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if any, that can be made of reports, including those of the 2015 and 2016 UN COI, and various reports prepared by the United States Department of State, the EASO, Human Rights Watch, AI, the DIS, the Government of Canada, and the United Kingdom reports pertaining to Eritrea (collectively, the "secondary reports");</w:t>
      </w:r>
    </w:p>
    <w:p>
      <w:pPr>
        <w:numPr>
          <w:numId w:val="1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transcripts from the House of Commons Subcommittee on International Human Rights of the Standing Committee on Foreign Affairs (the "Subcommittee transcripts") are admissible and if so for what purpose;</w:t>
      </w:r>
    </w:p>
    <w:p>
      <w:pPr>
        <w:numPr>
          <w:numId w:val="1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admissibility of the opinion evidence of the plaintiffs' purported expert on Eritrea, Dan Connell, and certain former judges and lawyers in Eritrea;</w:t>
      </w:r>
    </w:p>
    <w:p>
      <w:pPr>
        <w:numPr>
          <w:numId w:val="1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decisions of the Immigration Review Board ("IRB") are admissible on these applications, and if so, for what purpose;</w:t>
      </w:r>
    </w:p>
    <w:p>
      <w:pPr>
        <w:numPr>
          <w:numId w:val="1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 of allegations of bias regarding the translation of affidavits and certain exhibits in a foreign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Chief Justice McLachlin commented on the basic principles of the law of evidence in Canada in </w:t>
      </w:r>
      <w:r>
        <w:rPr>
          <w:rFonts w:ascii="arial" w:eastAsia="arial" w:hAnsi="arial" w:cs="arial"/>
          <w:i/>
          <w:color w:val="000000"/>
          <w:sz w:val="20"/>
          <w:lang w:val="en-US" w:eastAsia="en-US" w:bidi="ar-SA"/>
        </w:rPr>
        <w:t>Mitchell v. M.N.R.</w:t>
      </w:r>
      <w:r>
        <w:rPr>
          <w:rFonts w:ascii="arial" w:eastAsia="arial" w:hAnsi="arial" w:cs="arial"/>
          <w:color w:val="000000"/>
          <w:sz w:val="20"/>
          <w:lang w:val="en-US" w:eastAsia="en-US" w:bidi="ar-SA"/>
        </w:rPr>
        <w:t xml:space="preserve">, </w:t>
      </w:r>
      <w:hyperlink r:id="rId115" w:history="1">
        <w:r>
          <w:rPr>
            <w:rFonts w:ascii="arial" w:eastAsia="arial" w:hAnsi="arial" w:cs="arial"/>
            <w:i/>
            <w:color w:val="0077CC"/>
            <w:sz w:val="20"/>
            <w:u w:val="single"/>
            <w:shd w:val="clear" w:color="auto" w:fill="FFFFFF"/>
            <w:lang w:val="en-US" w:eastAsia="en-US" w:bidi="ar-SA"/>
          </w:rPr>
          <w:t>2001 SCC 33</w:t>
        </w:r>
      </w:hyperlink>
      <w:r>
        <w:rPr>
          <w:rFonts w:ascii="arial" w:eastAsia="arial" w:hAnsi="arial" w:cs="arial"/>
          <w:color w:val="000000"/>
          <w:sz w:val="20"/>
          <w:lang w:val="en-US" w:eastAsia="en-US" w:bidi="ar-SA"/>
        </w:rPr>
        <w:t xml:space="preserve">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flexible adaptation of traditional rules of evidence to the challenge of doing justice in aboriginal claims is but an application of the time-honoured principle that the rules of evidence are not "cast in stone, nor are they enacted in a vacuum" (</w:t>
      </w:r>
      <w:r>
        <w:rPr>
          <w:rFonts w:ascii="arial" w:eastAsia="arial" w:hAnsi="arial" w:cs="arial"/>
          <w:i/>
          <w:color w:val="000000"/>
          <w:sz w:val="20"/>
          <w:lang w:val="en-US" w:eastAsia="en-US" w:bidi="ar-SA"/>
        </w:rPr>
        <w:t>R. v. Levogiannis</w:t>
      </w:r>
      <w:r>
        <w:rPr>
          <w:rFonts w:ascii="arial" w:eastAsia="arial" w:hAnsi="arial" w:cs="arial"/>
          <w:color w:val="000000"/>
          <w:sz w:val="20"/>
          <w:lang w:val="en-US" w:eastAsia="en-US" w:bidi="ar-SA"/>
        </w:rPr>
        <w:t xml:space="preserve">, </w:t>
      </w:r>
      <w:hyperlink r:id="rId116" w:history="1">
        <w:r>
          <w:rPr>
            <w:rFonts w:ascii="arial" w:eastAsia="arial" w:hAnsi="arial" w:cs="arial"/>
            <w:i/>
            <w:color w:val="0077CC"/>
            <w:sz w:val="20"/>
            <w:u w:val="single"/>
            <w:shd w:val="clear" w:color="auto" w:fill="FFFFFF"/>
            <w:lang w:val="en-US" w:eastAsia="en-US" w:bidi="ar-SA"/>
          </w:rPr>
          <w:t>[1993] 4 S.C.R. 475</w:t>
        </w:r>
      </w:hyperlink>
      <w:r>
        <w:rPr>
          <w:rFonts w:ascii="arial" w:eastAsia="arial" w:hAnsi="arial" w:cs="arial"/>
          <w:color w:val="000000"/>
          <w:sz w:val="20"/>
          <w:lang w:val="en-US" w:eastAsia="en-US" w:bidi="ar-SA"/>
        </w:rPr>
        <w:t>, at p. 487). Rather, they are animated by broad, flexible principles, applied purposively to promote truth-finding and fairness. The rules of evidence should facilitate justice, not stand in its way. Underlying the diverse rules on the admissibility of evidence are three simple ideas. First, the evidence must be useful in the sense of tending to prove a fact relevant to the issues in the case. Second, the evidence must be reasonably reliable; unreliable evidence may hinder the search for the truth more than help it. Third, even useful and reasonably reliable evidence may be excluded in the discretion of the trial judge if its probative value is overshadowed by its potential for prejudice.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applying this foundational principle I have concluded:</w:t>
      </w:r>
      <w:r>
        <w:rPr>
          <w:rFonts w:ascii="arial" w:eastAsia="arial" w:hAnsi="arial" w:cs="arial"/>
          <w:sz w:val="20"/>
          <w:lang w:val="en-US" w:eastAsia="en-US" w:bidi="ar-SA"/>
        </w:rPr>
        <w:cr/>
      </w:r>
    </w:p>
    <w:p>
      <w:pPr>
        <w:numPr>
          <w:numId w:val="1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clearly unattributed hearsay in certain of the affidavits is inadmissible;</w:t>
      </w:r>
    </w:p>
    <w:p>
      <w:pPr>
        <w:numPr>
          <w:numId w:val="1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secondary reports are admitted into evidence for the limited purpose of providing a social, historical and contextual framework to the first hand allegations or properly attributed hearsay in certain of the affidavits filed on behalf of the plaintiffs, and the opinion evidence of the former judges and lawyers and Mr. Ghebremichael relating to whether there is a real risk the plaintiffs will not receive a fair trial in Eritrea;</w:t>
      </w:r>
    </w:p>
    <w:p>
      <w:pPr>
        <w:numPr>
          <w:numId w:val="1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Connell reports, that are in part based on statements contained in certain of the secondary reports, are admitted into evidence for the limited purpose of providing social and historical facts in which to place the first hand evidence of the plaintiffs' affidavits in context;</w:t>
      </w:r>
    </w:p>
    <w:p>
      <w:pPr>
        <w:numPr>
          <w:numId w:val="1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 evidence contained in the affidavits of the former judges and lawyers is admitted into evidence;</w:t>
      </w:r>
    </w:p>
    <w:p>
      <w:pPr>
        <w:numPr>
          <w:numId w:val="1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IRB and Subcommittee transcripts are not admitted into evidence with the exception that the testimony before the Subcommittee of Mr. Lipsett, Mr. Romaine and Mr. Davis to which I have referred is admitted;</w:t>
      </w:r>
    </w:p>
    <w:p>
      <w:pPr>
        <w:numPr>
          <w:numId w:val="1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allegations of bias against the translator are dismissed; and</w:t>
      </w:r>
    </w:p>
    <w:p>
      <w:pPr>
        <w:numPr>
          <w:numId w:val="1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will not consider exhibits in a foreign language that have not been translated into English.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Unattributed Hearsay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issue of hearsay evidence is also raised by Nevsun in the context of other objections I shall refer to below. In this section of my reasons, I shall consider Nevsun's submission regarding unattributed hearsay in certain of the affidavits filed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The rules of evidence clearly apply on interlocutory applications subject to the applicable Rules of Court. In </w:t>
      </w:r>
      <w:r>
        <w:rPr>
          <w:rFonts w:ascii="arial" w:eastAsia="arial" w:hAnsi="arial" w:cs="arial"/>
          <w:i/>
          <w:color w:val="000000"/>
          <w:sz w:val="20"/>
          <w:lang w:val="en-US" w:eastAsia="en-US" w:bidi="ar-SA"/>
        </w:rPr>
        <w:t>Warner v. Edmonton Hospital,</w:t>
      </w:r>
      <w:r>
        <w:rPr>
          <w:rFonts w:ascii="arial" w:eastAsia="arial" w:hAnsi="arial" w:cs="arial"/>
          <w:color w:val="000000"/>
          <w:sz w:val="20"/>
          <w:lang w:val="en-US" w:eastAsia="en-US" w:bidi="ar-SA"/>
        </w:rPr>
        <w:t xml:space="preserve"> </w:t>
      </w:r>
      <w:hyperlink r:id="rId117" w:history="1">
        <w:r>
          <w:rPr>
            <w:rFonts w:ascii="arial" w:eastAsia="arial" w:hAnsi="arial" w:cs="arial"/>
            <w:i/>
            <w:color w:val="0077CC"/>
            <w:sz w:val="20"/>
            <w:u w:val="single"/>
            <w:shd w:val="clear" w:color="auto" w:fill="FFFFFF"/>
            <w:lang w:val="en-US" w:eastAsia="en-US" w:bidi="ar-SA"/>
          </w:rPr>
          <w:t>[2008] O.J. No. 3252</w:t>
        </w:r>
      </w:hyperlink>
      <w:r>
        <w:rPr>
          <w:rFonts w:ascii="arial" w:eastAsia="arial" w:hAnsi="arial" w:cs="arial"/>
          <w:color w:val="000000"/>
          <w:sz w:val="20"/>
          <w:lang w:val="en-US" w:eastAsia="en-US" w:bidi="ar-SA"/>
        </w:rPr>
        <w:t xml:space="preserve"> at para. 5 (Ont. Sup. Ct.), Master Beaudoin addressed the issue of </w:t>
      </w:r>
      <w:r>
        <w:rPr>
          <w:rFonts w:ascii="arial" w:eastAsia="arial" w:hAnsi="arial" w:cs="arial"/>
          <w:i/>
          <w:color w:val="000000"/>
          <w:sz w:val="20"/>
          <w:lang w:val="en-US" w:eastAsia="en-US" w:bidi="ar-SA"/>
        </w:rPr>
        <w:t>jurisdiction simpliciter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in the context of interlocutory applications: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As Master MacLeod noted in </w:t>
      </w:r>
      <w:r>
        <w:rPr>
          <w:rFonts w:ascii="arial" w:eastAsia="arial" w:hAnsi="arial" w:cs="arial"/>
          <w:i/>
          <w:color w:val="000000"/>
          <w:sz w:val="20"/>
          <w:lang w:val="en-US" w:eastAsia="en-US" w:bidi="ar-SA"/>
        </w:rPr>
        <w:t>Mapletoft</w:t>
      </w:r>
      <w:r>
        <w:rPr>
          <w:rFonts w:ascii="arial" w:eastAsia="arial" w:hAnsi="arial" w:cs="arial"/>
          <w:color w:val="000000"/>
          <w:sz w:val="20"/>
          <w:lang w:val="en-US" w:eastAsia="en-US" w:bidi="ar-SA"/>
        </w:rPr>
        <w:t xml:space="preserve">, </w:t>
      </w:r>
      <w:hyperlink r:id="rId118" w:history="1">
        <w:r>
          <w:rPr>
            <w:rFonts w:ascii="arial" w:eastAsia="arial" w:hAnsi="arial" w:cs="arial"/>
            <w:i/>
            <w:color w:val="0077CC"/>
            <w:sz w:val="20"/>
            <w:u w:val="single"/>
            <w:shd w:val="clear" w:color="auto" w:fill="FFFFFF"/>
            <w:lang w:val="en-US" w:eastAsia="en-US" w:bidi="ar-SA"/>
          </w:rPr>
          <w:t>[2000] 1 S.C.R. 61</w:t>
        </w:r>
      </w:hyperlink>
      <w:r>
        <w:rPr>
          <w:rFonts w:ascii="arial" w:eastAsia="arial" w:hAnsi="arial" w:cs="arial"/>
          <w:color w:val="000000"/>
          <w:sz w:val="20"/>
          <w:lang w:val="en-US" w:eastAsia="en-US" w:bidi="ar-SA"/>
        </w:rPr>
        <w:t xml:space="preserve"> motions are generally argued on the basis of affidavits, but all too frequently, counsel forget that the normal rules of evidence must be applied. Interlocutory motions can be of vital importance to the ultimate disposition of a case and moving parties have a responsibility to put forward the best possible evidence. Findings of fact can be critical and the motions court is frequently called upon to weigh the available evidence. In this case, I note that most of the relevant background facts are not seriously in dispute but the serious evidentiary issues all arise in the context of the factors that must be weighed by me on this 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Rule 22-2(13)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permits the use of hearsay evidence in an affidavit on an interlocutory application if the source of the information and belief is given, and the affidavit is made in respect of an application that does not seek a final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While Nevsun is seeking final orders in the Forum and Act of State applications, the issue arises as to whether the plaintiffs are entitled to rely on hearsay evidence if it is presented in accordance with the requirements of Rule 22-2(13).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As Justice Saunders stated in </w:t>
      </w:r>
      <w:r>
        <w:rPr>
          <w:rFonts w:ascii="arial" w:eastAsia="arial" w:hAnsi="arial" w:cs="arial"/>
          <w:i/>
          <w:color w:val="000000"/>
          <w:sz w:val="20"/>
          <w:lang w:val="en-US" w:eastAsia="en-US" w:bidi="ar-SA"/>
        </w:rPr>
        <w:t>Lieberman v. Business Development Bank of Canada</w:t>
      </w:r>
      <w:r>
        <w:rPr>
          <w:rFonts w:ascii="arial" w:eastAsia="arial" w:hAnsi="arial" w:cs="arial"/>
          <w:color w:val="000000"/>
          <w:sz w:val="20"/>
          <w:lang w:val="en-US" w:eastAsia="en-US" w:bidi="ar-SA"/>
        </w:rPr>
        <w:t xml:space="preserve">, </w:t>
      </w:r>
      <w:hyperlink r:id="rId119" w:history="1">
        <w:r>
          <w:rPr>
            <w:rFonts w:ascii="arial" w:eastAsia="arial" w:hAnsi="arial" w:cs="arial"/>
            <w:i/>
            <w:color w:val="0077CC"/>
            <w:sz w:val="20"/>
            <w:u w:val="single"/>
            <w:shd w:val="clear" w:color="auto" w:fill="FFFFFF"/>
            <w:lang w:val="en-US" w:eastAsia="en-US" w:bidi="ar-SA"/>
          </w:rPr>
          <w:t>2006 BCCA 363</w:t>
        </w:r>
      </w:hyperlink>
      <w:r>
        <w:rPr>
          <w:rFonts w:ascii="arial" w:eastAsia="arial" w:hAnsi="arial" w:cs="arial"/>
          <w:color w:val="000000"/>
          <w:sz w:val="20"/>
          <w:lang w:val="en-US" w:eastAsia="en-US" w:bidi="ar-SA"/>
        </w:rPr>
        <w:t xml:space="preserve"> at para 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any order on a matter of jurisdiction is interlocutory because, in the event the court refuses to decline jurisdiction, the matter in litigation is not finally determined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Since Nevsun is seeking final orders on two of the preliminary applications, I agree with the plaintiffs that hearsay evidence is permissible in affidavits filed in response to these applications pursuant to Rule 22-2(13)(b)(i)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and not permissible in affidavits filed in support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This is consistent with the approach in Alberta, where the applicant who seeks to dismiss an action on the ground of lack of jurisdiction seeks a final disposition of the action, and, like other applicants for summary judgment, cannot rely on hearsay. The respondent, not seeking to dispose of the action but rather that it proceed to trial, may rely on hearsay: </w:t>
      </w:r>
      <w:r>
        <w:rPr>
          <w:rFonts w:ascii="arial" w:eastAsia="arial" w:hAnsi="arial" w:cs="arial"/>
          <w:i/>
          <w:color w:val="000000"/>
          <w:sz w:val="20"/>
          <w:lang w:val="en-US" w:eastAsia="en-US" w:bidi="ar-SA"/>
        </w:rPr>
        <w:t>Court v. Debaie</w:t>
      </w:r>
      <w:r>
        <w:rPr>
          <w:rFonts w:ascii="arial" w:eastAsia="arial" w:hAnsi="arial" w:cs="arial"/>
          <w:color w:val="000000"/>
          <w:sz w:val="20"/>
          <w:lang w:val="en-US" w:eastAsia="en-US" w:bidi="ar-SA"/>
        </w:rPr>
        <w:t xml:space="preserve">, </w:t>
      </w:r>
      <w:hyperlink r:id="rId120" w:history="1">
        <w:r>
          <w:rPr>
            <w:rFonts w:ascii="arial" w:eastAsia="arial" w:hAnsi="arial" w:cs="arial"/>
            <w:i/>
            <w:color w:val="0077CC"/>
            <w:sz w:val="20"/>
            <w:u w:val="single"/>
            <w:shd w:val="clear" w:color="auto" w:fill="FFFFFF"/>
            <w:lang w:val="en-US" w:eastAsia="en-US" w:bidi="ar-SA"/>
          </w:rPr>
          <w:t>2012 ABQB 640</w:t>
        </w:r>
      </w:hyperlink>
      <w:r>
        <w:rPr>
          <w:rFonts w:ascii="arial" w:eastAsia="arial" w:hAnsi="arial" w:cs="arial"/>
          <w:color w:val="000000"/>
          <w:sz w:val="20"/>
          <w:lang w:val="en-US" w:eastAsia="en-US" w:bidi="ar-SA"/>
        </w:rPr>
        <w:t xml:space="preserve"> paras.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The issue then becomes whether portions of the affidavits relied on by the plaintiffs offend Rule 22-2(13).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Albert v. Politano</w:t>
      </w:r>
      <w:r>
        <w:rPr>
          <w:rFonts w:ascii="arial" w:eastAsia="arial" w:hAnsi="arial" w:cs="arial"/>
          <w:color w:val="000000"/>
          <w:sz w:val="20"/>
          <w:lang w:val="en-US" w:eastAsia="en-US" w:bidi="ar-SA"/>
        </w:rPr>
        <w:t xml:space="preserve">, </w:t>
      </w:r>
      <w:hyperlink r:id="rId121" w:history="1">
        <w:r>
          <w:rPr>
            <w:rFonts w:ascii="arial" w:eastAsia="arial" w:hAnsi="arial" w:cs="arial"/>
            <w:i/>
            <w:color w:val="0077CC"/>
            <w:sz w:val="20"/>
            <w:u w:val="single"/>
            <w:shd w:val="clear" w:color="auto" w:fill="FFFFFF"/>
            <w:lang w:val="en-US" w:eastAsia="en-US" w:bidi="ar-SA"/>
          </w:rPr>
          <w:t>2013 BCCA 194</w:t>
        </w:r>
      </w:hyperlink>
      <w:r>
        <w:rPr>
          <w:rFonts w:ascii="arial" w:eastAsia="arial" w:hAnsi="arial" w:cs="arial"/>
          <w:color w:val="000000"/>
          <w:sz w:val="20"/>
          <w:lang w:val="en-US" w:eastAsia="en-US" w:bidi="ar-SA"/>
        </w:rPr>
        <w:t xml:space="preserve"> at paras. 20-22, Justice Saunders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In </w:t>
      </w:r>
      <w:r>
        <w:rPr>
          <w:rFonts w:ascii="arial" w:eastAsia="arial" w:hAnsi="arial" w:cs="arial"/>
          <w:i/>
          <w:color w:val="000000"/>
          <w:sz w:val="20"/>
          <w:lang w:val="en-US" w:eastAsia="en-US" w:bidi="ar-SA"/>
        </w:rPr>
        <w:t>Scarr v. Gower</w:t>
      </w:r>
      <w:r>
        <w:rPr>
          <w:rFonts w:ascii="arial" w:eastAsia="arial" w:hAnsi="arial" w:cs="arial"/>
          <w:color w:val="000000"/>
          <w:sz w:val="20"/>
          <w:lang w:val="en-US" w:eastAsia="en-US" w:bidi="ar-SA"/>
        </w:rPr>
        <w:t xml:space="preserve"> (1956), 18 W.W.R. 184 (B.C.C.A.) Mr. Justice O'Halloran stated at 188:</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failure to state the source of information and belief in an affidavit usable on motions of this kind is not a mere technicality. If the source of the information is not disclosed in other material on the motion the offending paragraphs are worthless and not to be looked at by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 In </w:t>
      </w:r>
      <w:r>
        <w:rPr>
          <w:rFonts w:ascii="arial" w:eastAsia="arial" w:hAnsi="arial" w:cs="arial"/>
          <w:i/>
          <w:color w:val="000000"/>
          <w:sz w:val="20"/>
          <w:lang w:val="en-US" w:eastAsia="en-US" w:bidi="ar-SA"/>
        </w:rPr>
        <w:t>Meier v. C.B.C.</w:t>
      </w:r>
      <w:r>
        <w:rPr>
          <w:rFonts w:ascii="arial" w:eastAsia="arial" w:hAnsi="arial" w:cs="arial"/>
          <w:color w:val="000000"/>
          <w:sz w:val="20"/>
          <w:lang w:val="en-US" w:eastAsia="en-US" w:bidi="ar-SA"/>
        </w:rPr>
        <w:t xml:space="preserve"> </w:t>
      </w:r>
      <w:hyperlink r:id="rId122" w:history="1">
        <w:r>
          <w:rPr>
            <w:rFonts w:ascii="arial" w:eastAsia="arial" w:hAnsi="arial" w:cs="arial"/>
            <w:i/>
            <w:color w:val="0077CC"/>
            <w:sz w:val="20"/>
            <w:u w:val="single"/>
            <w:shd w:val="clear" w:color="auto" w:fill="FFFFFF"/>
            <w:lang w:val="en-US" w:eastAsia="en-US" w:bidi="ar-SA"/>
          </w:rPr>
          <w:t>(1981), 28 B.C.L.R. 136</w:t>
        </w:r>
      </w:hyperlink>
      <w:r>
        <w:rPr>
          <w:rFonts w:ascii="arial" w:eastAsia="arial" w:hAnsi="arial" w:cs="arial"/>
          <w:color w:val="000000"/>
          <w:sz w:val="20"/>
          <w:lang w:val="en-US" w:eastAsia="en-US" w:bidi="ar-SA"/>
        </w:rPr>
        <w:t xml:space="preserve"> at 137-8 Mr. Justice McKenzie observed that "the word 'source' is equivalent to 'an identified person"'. To the same effect is </w:t>
      </w:r>
      <w:r>
        <w:rPr>
          <w:rFonts w:ascii="arial" w:eastAsia="arial" w:hAnsi="arial" w:cs="arial"/>
          <w:i/>
          <w:color w:val="000000"/>
          <w:sz w:val="20"/>
          <w:lang w:val="en-US" w:eastAsia="en-US" w:bidi="ar-SA"/>
        </w:rPr>
        <w:t>Trus Joist (Western) Ltd. v. United Brotherhood of Carpenters and Joiners of America,</w:t>
      </w:r>
      <w:r>
        <w:rPr>
          <w:rFonts w:ascii="arial" w:eastAsia="arial" w:hAnsi="arial" w:cs="arial"/>
          <w:color w:val="000000"/>
          <w:sz w:val="20"/>
          <w:lang w:val="en-US" w:eastAsia="en-US" w:bidi="ar-SA"/>
        </w:rPr>
        <w:t xml:space="preserve"> Local 1598, </w:t>
      </w:r>
      <w:hyperlink r:id="rId123" w:history="1">
        <w:r>
          <w:rPr>
            <w:rFonts w:ascii="arial" w:eastAsia="arial" w:hAnsi="arial" w:cs="arial"/>
            <w:i/>
            <w:color w:val="0077CC"/>
            <w:sz w:val="20"/>
            <w:u w:val="single"/>
            <w:shd w:val="clear" w:color="auto" w:fill="FFFFFF"/>
            <w:lang w:val="en-US" w:eastAsia="en-US" w:bidi="ar-SA"/>
          </w:rPr>
          <w:t>[1982] 6 W.W.R. 744</w:t>
        </w:r>
      </w:hyperlink>
      <w:r>
        <w:rPr>
          <w:rFonts w:ascii="arial" w:eastAsia="arial" w:hAnsi="arial" w:cs="arial"/>
          <w:color w:val="000000"/>
          <w:sz w:val="20"/>
          <w:lang w:val="en-US" w:eastAsia="en-US" w:bidi="ar-SA"/>
        </w:rPr>
        <w:t>, wherein Madam Justice McLachlin (now Chief Justice of Canada) said at 747: "The rule permits hearsay evidence, provided the source is given".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The affidavit of the legal assistant does not meet Rule 22-2(13) because it does not identify the source of the information and does not attest to her belief in it. This is more than a mere technical deficiency; by failing to reveal the source, the reliability of the information is put beyond the reach of the respondent. Any cross-examination on the affidavit, by definition, will not be of the foundational source of the information. This affidavit, in this paragraph critical to the application, fails to satisfy Rule 22-2(13), is inadmissible, and fails to meet the third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w:t>
      </w:r>
      <w:hyperlink r:id="rId124" w:history="1">
        <w:r>
          <w:rPr>
            <w:rFonts w:ascii="arial" w:eastAsia="arial" w:hAnsi="arial" w:cs="arial"/>
            <w:i/>
            <w:color w:val="0077CC"/>
            <w:sz w:val="20"/>
            <w:u w:val="single"/>
            <w:shd w:val="clear" w:color="auto" w:fill="FFFFFF"/>
            <w:lang w:val="en-US" w:eastAsia="en-US" w:bidi="ar-SA"/>
          </w:rPr>
          <w:t>[1980] 1 S.C.R. 759</w:t>
        </w:r>
      </w:hyperlink>
      <w:r>
        <w:rPr>
          <w:rFonts w:ascii="arial" w:eastAsia="arial" w:hAnsi="arial" w:cs="arial"/>
          <w:color w:val="000000"/>
          <w:sz w:val="20"/>
          <w:lang w:val="en-US" w:eastAsia="en-US" w:bidi="ar-SA"/>
        </w:rPr>
        <w:t xml:space="preserve"> criteria.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XY, LLC v. Canadian Topsires Selection Inc</w:t>
      </w:r>
      <w:r>
        <w:rPr>
          <w:rFonts w:ascii="arial" w:eastAsia="arial" w:hAnsi="arial" w:cs="arial"/>
          <w:color w:val="000000"/>
          <w:sz w:val="20"/>
          <w:lang w:val="en-US" w:eastAsia="en-US" w:bidi="ar-SA"/>
        </w:rPr>
        <w:t xml:space="preserve">., </w:t>
      </w:r>
      <w:hyperlink r:id="rId125" w:history="1">
        <w:r>
          <w:rPr>
            <w:rFonts w:ascii="arial" w:eastAsia="arial" w:hAnsi="arial" w:cs="arial"/>
            <w:i/>
            <w:color w:val="0077CC"/>
            <w:sz w:val="20"/>
            <w:u w:val="single"/>
            <w:shd w:val="clear" w:color="auto" w:fill="FFFFFF"/>
            <w:lang w:val="en-US" w:eastAsia="en-US" w:bidi="ar-SA"/>
          </w:rPr>
          <w:t>2015 BCSC 988</w:t>
        </w:r>
      </w:hyperlink>
      <w:r>
        <w:rPr>
          <w:rFonts w:ascii="arial" w:eastAsia="arial" w:hAnsi="arial" w:cs="arial"/>
          <w:color w:val="000000"/>
          <w:sz w:val="20"/>
          <w:lang w:val="en-US" w:eastAsia="en-US" w:bidi="ar-SA"/>
        </w:rPr>
        <w:t xml:space="preserve"> at paras. 33 and 36, having reviewed the criteria regarding hearsay in affidavits, Justice Kelleher held that failure to identify the source of the information in an affidavit "is not simply a matter of form. It is substantive".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Nevsun's position is that the affidavits filed by the plaintiffs are replete with unattributed hearsay and double hearsay and those portions should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The plaintiffs' position is that much of what Nevsun objects to as being unattributed hearsay is not intended to prove a material fact at issue and/or is not submitted as evidence for the truth of the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 will place the parties' positions in context by providing a few examples raised by Nevsun in the 20-page written schedule of objections attached to its written argument.</w:t>
      </w:r>
      <w:r>
        <w:rPr>
          <w:rFonts w:ascii="arial" w:eastAsia="arial" w:hAnsi="arial" w:cs="arial"/>
          <w:sz w:val="20"/>
          <w:lang w:val="en-US" w:eastAsia="en-US" w:bidi="ar-SA"/>
        </w:rPr>
        <w:cr/>
      </w:r>
    </w:p>
    <w:p>
      <w:pPr>
        <w:numPr>
          <w:numId w:val="1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Abadi Gebremeskel Alemayo: the affiant states that unidentified conscripts told him they had been imprisoned as punishment at the mine; that a SENET station doctor reported his co-worker had heatstroke; a nameless government security agent warned him to flee; a family member told him that security agents came to his house to inquire if he had been there and searched for him;</w:t>
      </w:r>
    </w:p>
    <w:p>
      <w:pPr>
        <w:numPr>
          <w:numId w:val="1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Gize Yebeyo Araya: the affiant states that people at the Bisha Mine said they were from Divisions 46, 48, and 49; local people employed by SENET said they were making roughly 7,000-8,000 naqfa per month; Merahi Masre told him that a co-worker who had been accused of speaking to foreigners was imprisoned and tortured;</w:t>
      </w:r>
    </w:p>
    <w:p>
      <w:pPr>
        <w:numPr>
          <w:numId w:val="1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Kesete Tekle Fshazion: the affiant states that a lab technician told him that as a lab technician, that individual was free to leave the mine; he was not;</w:t>
      </w:r>
    </w:p>
    <w:p>
      <w:pPr>
        <w:numPr>
          <w:numId w:val="1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Yoseif Gebremichael: the affiant states that other men in his unit were never able to satisfy their hunger; that other conscripts who worked for Mereb told him they received 450 naqfa per month; that his pay was reduced for attempting to evade national service; many conscripts lost hope for better conditions at the Bisha Mine; foreign workers told him they were earning 21,000 and 19,000 naqfa; the Mereb officials told him not to disclose he was a conscript to anyone;</w:t>
      </w:r>
    </w:p>
    <w:p>
      <w:pPr>
        <w:numPr>
          <w:numId w:val="1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Filimon Ghrmay: the affiant states that he had heard many stories of parents or other family members being punished for students who had evaded NSP; he had heard that families would be denied food ration coupons if their children did not attend NSP when required;</w:t>
      </w:r>
    </w:p>
    <w:p>
      <w:pPr>
        <w:numPr>
          <w:numId w:val="1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Biniam Simon Solomon: the affiant states that he has been told by listeners that Radio Erena is closely followed both inside Eritrea as well as in remote, inaccessible locations outside Eritrea;</w:t>
      </w:r>
    </w:p>
    <w:p>
      <w:pPr>
        <w:numPr>
          <w:numId w:val="1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Mihretab Yemane Tekle: the affiant states that his colleagues told him they felt weak and that conscripts said their punishment was the "helicopter" form of torture.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have reviewed all the specific objections raised by Nevsun on this issue and have reached the following conclusions:</w:t>
      </w:r>
      <w:r>
        <w:rPr>
          <w:rFonts w:ascii="arial" w:eastAsia="arial" w:hAnsi="arial" w:cs="arial"/>
          <w:sz w:val="20"/>
          <w:lang w:val="en-US" w:eastAsia="en-US" w:bidi="ar-SA"/>
        </w:rPr>
        <w:cr/>
      </w:r>
    </w:p>
    <w:p>
      <w:pPr>
        <w:numPr>
          <w:numId w:val="1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the statements are adduced for their truth, some of Nevsun's objectives are well founded. This should be evident from the above extracts, an example being Mr. Tekle deposing that conscripts had told him they were subjected to the helicopter form of torture or Mr. Gebremichael's statement that conscripts disclosed their wages;</w:t>
      </w:r>
    </w:p>
    <w:p>
      <w:pPr>
        <w:numPr>
          <w:numId w:val="1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statements are not hearsay because they are not being adduced for their truth but rather to explain why a certain action was taken. For instance, Mr. Ghrmay's statements explain his reason for boarding the bus to Sawa in order to commence his national service. He is stating what he heard in order to explain what he did;</w:t>
      </w:r>
    </w:p>
    <w:p>
      <w:pPr>
        <w:numPr>
          <w:numId w:val="1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objections relate to observations, not statements. Mr. Gebremichael stating that men in his unit were never able to satisfy their hunger is an example. This evidence is admissible;</w:t>
      </w:r>
    </w:p>
    <w:p>
      <w:pPr>
        <w:numPr>
          <w:numId w:val="1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Solomon's evidence regarding Radio Erena while based on unattributed reports from listeners is nonetheless admissible to explain his personal knowledge and understanding as to the breadth of the radio station's accessibility.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Reviewing every objection made in relation to this issue is beyond the scope of these reasons for judgment. Suffice it to say that in my consideration of the applications themselves and in reaching my conclusions in Part IV of these reasons for judgment, I have not considered any unattributed hearsay if, in my view, it was in fact hearsay evidence adduced as proof as to the truth of its contents as opposed to forming part of the deponent's narrative.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In reviewing the evidence and Nevsun's objections, I am mindful that an affidavit neglecting to set forth grounds of information and belief is not worthless if the court can otherwise ascertain the source of that unstated information and belief: </w:t>
      </w:r>
      <w:r>
        <w:rPr>
          <w:rFonts w:ascii="arial" w:eastAsia="arial" w:hAnsi="arial" w:cs="arial"/>
          <w:i/>
          <w:color w:val="000000"/>
          <w:sz w:val="20"/>
          <w:lang w:val="en-US" w:eastAsia="en-US" w:bidi="ar-SA"/>
        </w:rPr>
        <w:t>Re Bowell Estate v. Gill</w:t>
      </w:r>
      <w:r>
        <w:rPr>
          <w:rFonts w:ascii="arial" w:eastAsia="arial" w:hAnsi="arial" w:cs="arial"/>
          <w:color w:val="000000"/>
          <w:sz w:val="20"/>
          <w:lang w:val="en-US" w:eastAsia="en-US" w:bidi="ar-SA"/>
        </w:rPr>
        <w:t xml:space="preserve">, </w:t>
      </w:r>
      <w:hyperlink r:id="rId126" w:history="1">
        <w:r>
          <w:rPr>
            <w:rFonts w:ascii="arial" w:eastAsia="arial" w:hAnsi="arial" w:cs="arial"/>
            <w:i/>
            <w:color w:val="0077CC"/>
            <w:sz w:val="20"/>
            <w:u w:val="single"/>
            <w:shd w:val="clear" w:color="auto" w:fill="FFFFFF"/>
            <w:lang w:val="en-US" w:eastAsia="en-US" w:bidi="ar-SA"/>
          </w:rPr>
          <w:t>2008 BCSC 1270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Furthermore, evidence that comes from a variety of sources is not automatically inadmissible. If the evidence as to the source of the knowledge or information is sufficiently detailed for the court to assess the strength of the evidence, the fact of multiple sources will be a factor in determining the ultimate reliability or weight of the evidence: </w:t>
      </w:r>
      <w:r>
        <w:rPr>
          <w:rFonts w:ascii="arial" w:eastAsia="arial" w:hAnsi="arial" w:cs="arial"/>
          <w:i/>
          <w:color w:val="000000"/>
          <w:sz w:val="20"/>
          <w:lang w:val="en-US" w:eastAsia="en-US" w:bidi="ar-SA"/>
        </w:rPr>
        <w:t>Ahousaht v. Canada (Attorney General),</w:t>
      </w:r>
      <w:r>
        <w:rPr>
          <w:rFonts w:ascii="arial" w:eastAsia="arial" w:hAnsi="arial" w:cs="arial"/>
          <w:color w:val="000000"/>
          <w:sz w:val="20"/>
          <w:lang w:val="en-US" w:eastAsia="en-US" w:bidi="ar-SA"/>
        </w:rPr>
        <w:t xml:space="preserve"> </w:t>
      </w:r>
      <w:hyperlink r:id="rId127" w:history="1">
        <w:r>
          <w:rPr>
            <w:rFonts w:ascii="arial" w:eastAsia="arial" w:hAnsi="arial" w:cs="arial"/>
            <w:i/>
            <w:color w:val="0077CC"/>
            <w:sz w:val="20"/>
            <w:u w:val="single"/>
            <w:shd w:val="clear" w:color="auto" w:fill="FFFFFF"/>
            <w:lang w:val="en-US" w:eastAsia="en-US" w:bidi="ar-SA"/>
          </w:rPr>
          <w:t>2008 BCSC 769</w:t>
        </w:r>
      </w:hyperlink>
      <w:r>
        <w:rPr>
          <w:rFonts w:ascii="arial" w:eastAsia="arial" w:hAnsi="arial" w:cs="arial"/>
          <w:color w:val="000000"/>
          <w:sz w:val="20"/>
          <w:lang w:val="en-US" w:eastAsia="en-US" w:bidi="ar-SA"/>
        </w:rPr>
        <w:t xml:space="preserve"> at paras. 5, 20-21.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Secondary Reports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Nevsun's position is that reports prepared by quasi-governmental and non-governmental ("NGO") agencies are not admissible in evidence. It argues that most if not all of the secondary reports are political documents containing hearsay, double hearsay and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Relying on, inter alia, </w:t>
      </w:r>
      <w:r>
        <w:rPr>
          <w:rFonts w:ascii="arial" w:eastAsia="arial" w:hAnsi="arial" w:cs="arial"/>
          <w:i/>
          <w:color w:val="000000"/>
          <w:sz w:val="20"/>
          <w:lang w:val="en-US" w:eastAsia="en-US" w:bidi="ar-SA"/>
        </w:rPr>
        <w:t>Robb v. St. Joseph's Health Care Centre</w:t>
      </w:r>
      <w:r>
        <w:rPr>
          <w:rFonts w:ascii="arial" w:eastAsia="arial" w:hAnsi="arial" w:cs="arial"/>
          <w:color w:val="000000"/>
          <w:sz w:val="20"/>
          <w:lang w:val="en-US" w:eastAsia="en-US" w:bidi="ar-SA"/>
        </w:rPr>
        <w:t xml:space="preserve"> </w:t>
      </w:r>
      <w:hyperlink r:id="rId128" w:history="1">
        <w:r>
          <w:rPr>
            <w:rFonts w:ascii="arial" w:eastAsia="arial" w:hAnsi="arial" w:cs="arial"/>
            <w:i/>
            <w:color w:val="0077CC"/>
            <w:sz w:val="20"/>
            <w:u w:val="single"/>
            <w:shd w:val="clear" w:color="auto" w:fill="FFFFFF"/>
            <w:lang w:val="en-US" w:eastAsia="en-US" w:bidi="ar-SA"/>
          </w:rPr>
          <w:t>(1998), 31 C.P.C. (4th) 99</w:t>
        </w:r>
      </w:hyperlink>
      <w:r>
        <w:rPr>
          <w:rFonts w:ascii="arial" w:eastAsia="arial" w:hAnsi="arial" w:cs="arial"/>
          <w:color w:val="000000"/>
          <w:sz w:val="20"/>
          <w:lang w:val="en-US" w:eastAsia="en-US" w:bidi="ar-SA"/>
        </w:rPr>
        <w:t xml:space="preserve"> (Ont. Ct. J. (Gen. Div.)), aff'd </w:t>
      </w:r>
      <w:hyperlink r:id="rId129" w:history="1">
        <w:r>
          <w:rPr>
            <w:rFonts w:ascii="arial" w:eastAsia="arial" w:hAnsi="arial" w:cs="arial"/>
            <w:i/>
            <w:color w:val="0077CC"/>
            <w:sz w:val="20"/>
            <w:u w:val="single"/>
            <w:shd w:val="clear" w:color="auto" w:fill="FFFFFF"/>
            <w:lang w:val="en-US" w:eastAsia="en-US" w:bidi="ar-SA"/>
          </w:rPr>
          <w:t>(2001), 9 C.C.L.T. (3d) 131</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Rumley v. HMTQ</w:t>
      </w:r>
      <w:r>
        <w:rPr>
          <w:rFonts w:ascii="arial" w:eastAsia="arial" w:hAnsi="arial" w:cs="arial"/>
          <w:color w:val="000000"/>
          <w:sz w:val="20"/>
          <w:lang w:val="en-US" w:eastAsia="en-US" w:bidi="ar-SA"/>
        </w:rPr>
        <w:t xml:space="preserve">, </w:t>
      </w:r>
      <w:hyperlink r:id="rId130" w:history="1">
        <w:r>
          <w:rPr>
            <w:rFonts w:ascii="arial" w:eastAsia="arial" w:hAnsi="arial" w:cs="arial"/>
            <w:i/>
            <w:color w:val="0077CC"/>
            <w:sz w:val="20"/>
            <w:u w:val="single"/>
            <w:shd w:val="clear" w:color="auto" w:fill="FFFFFF"/>
            <w:lang w:val="en-US" w:eastAsia="en-US" w:bidi="ar-SA"/>
          </w:rPr>
          <w:t>2003 BCSC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Ernewein v. General Motors of Canada Ltd</w:t>
      </w:r>
      <w:r>
        <w:rPr>
          <w:rFonts w:ascii="arial" w:eastAsia="arial" w:hAnsi="arial" w:cs="arial"/>
          <w:color w:val="000000"/>
          <w:sz w:val="20"/>
          <w:lang w:val="en-US" w:eastAsia="en-US" w:bidi="ar-SA"/>
        </w:rPr>
        <w:t xml:space="preserve">., </w:t>
      </w:r>
      <w:hyperlink r:id="rId131" w:history="1">
        <w:r>
          <w:rPr>
            <w:rFonts w:ascii="arial" w:eastAsia="arial" w:hAnsi="arial" w:cs="arial"/>
            <w:i/>
            <w:color w:val="0077CC"/>
            <w:sz w:val="20"/>
            <w:u w:val="single"/>
            <w:shd w:val="clear" w:color="auto" w:fill="FFFFFF"/>
            <w:lang w:val="en-US" w:eastAsia="en-US" w:bidi="ar-SA"/>
          </w:rPr>
          <w:t>2005 BCCA 540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Radke v. M.S. (Litigation guardian of)</w:t>
      </w:r>
      <w:r>
        <w:rPr>
          <w:rFonts w:ascii="arial" w:eastAsia="arial" w:hAnsi="arial" w:cs="arial"/>
          <w:color w:val="000000"/>
          <w:sz w:val="20"/>
          <w:lang w:val="en-US" w:eastAsia="en-US" w:bidi="ar-SA"/>
        </w:rPr>
        <w:t xml:space="preserve">, </w:t>
      </w:r>
      <w:hyperlink r:id="rId132" w:history="1">
        <w:r>
          <w:rPr>
            <w:rFonts w:ascii="arial" w:eastAsia="arial" w:hAnsi="arial" w:cs="arial"/>
            <w:i/>
            <w:color w:val="0077CC"/>
            <w:sz w:val="20"/>
            <w:u w:val="single"/>
            <w:shd w:val="clear" w:color="auto" w:fill="FFFFFF"/>
            <w:lang w:val="en-US" w:eastAsia="en-US" w:bidi="ar-SA"/>
          </w:rPr>
          <w:t>2005 BCSC 1355</w:t>
        </w:r>
      </w:hyperlink>
      <w:r>
        <w:rPr>
          <w:rFonts w:ascii="arial" w:eastAsia="arial" w:hAnsi="arial" w:cs="arial"/>
          <w:color w:val="000000"/>
          <w:sz w:val="20"/>
          <w:lang w:val="en-US" w:eastAsia="en-US" w:bidi="ar-SA"/>
        </w:rPr>
        <w:t xml:space="preserve">, aff'd </w:t>
      </w:r>
      <w:hyperlink r:id="rId133" w:history="1">
        <w:r>
          <w:rPr>
            <w:rFonts w:ascii="arial" w:eastAsia="arial" w:hAnsi="arial" w:cs="arial"/>
            <w:i/>
            <w:color w:val="0077CC"/>
            <w:sz w:val="20"/>
            <w:u w:val="single"/>
            <w:shd w:val="clear" w:color="auto" w:fill="FFFFFF"/>
            <w:lang w:val="en-US" w:eastAsia="en-US" w:bidi="ar-SA"/>
          </w:rPr>
          <w:t>2007 BCCA 216</w:t>
        </w:r>
      </w:hyperlink>
      <w:r>
        <w:rPr>
          <w:rFonts w:ascii="arial" w:eastAsia="arial" w:hAnsi="arial" w:cs="arial"/>
          <w:color w:val="000000"/>
          <w:sz w:val="20"/>
          <w:lang w:val="en-US" w:eastAsia="en-US" w:bidi="ar-SA"/>
        </w:rPr>
        <w:t>, Nevsun also submits that the secondary reports are akin to inadmissible investigative reports or reports of commissions.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Nevsun also argues that much of the content of the secondary reports is contradictory or inconsistent.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should note that on August 3, 2016, the parties agreed that the plaintiffs could apply to adduce fresh evidence on these applications. That evidence was the 2016 UN COI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At that time, the parties also made additional written submissions relating to the admissibility of this report which largely followed their arguments in the Evidence Application heard earlier this year. I conclude that the 2016 UN COI report meets the criteria for consideration as fresh evidence. The 2016 UN COI report is now included in what I have described as "secondary reports" in these reasons for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plaintiffs have relied on the secondary reports both for the truth of their contents, and for the fact that human rights violations in Eritrea have been extensively investigated and documented. They say that the reports also provide direct evidence of the positions of these governmental and non-government bodies on the situation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They argue that the secondary reports are admissible, at least, for proof of the fact that the relevant organization (the United Nations Human Rights Council, the United States Department of State, and others) investigated human rights abuses in Eritrea and reached the conclusions set out in the various reports. They assert that such evidence is directly relevant to a number of issues arising on these applications: for example, comity between nations and the reasonable expectations of the international community as to whether Eritrea is a functioning state with the requisite requirements of the rule of law and judicial independence which are addressed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also submit that the secondary reports are admissible for the truth of their contents since hearsay evidence is admissible on these applications. In addition, they say the reports meet established exceptions to the hearsay rule, and the principled exception since they satisfy the requirements of necessity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In the numerous authorities to which I was referred on this issue, courts in Canada have referred to reports from governmental, NGO and other organizations in a variety of contexts. What follows is a table identifying some examples of various reports and how they were considered.</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46" type="#_x0000_t75" style="width:432.06pt;height:542.33pt">
            <v:imagedata r:id="rId134" o:title=""/>
          </v:shape>
        </w:pict>
      </w:r>
      <w:r>
        <w:rPr>
          <w:rFonts w:ascii="arial" w:eastAsia="arial" w:hAnsi="arial" w:cs="arial"/>
          <w:sz w:val="20"/>
          <w:lang w:val="en-US" w:eastAsia="en-US" w:bidi="ar-SA"/>
        </w:rPr>
        <w:t xml:space="preserve">  </w:t>
      </w:r>
      <w:r>
        <w:pict>
          <v:shape id="_x0000_i1047" type="#_x0000_t75" style="width:393.8pt;height:586.58pt">
            <v:imagedata r:id="rId135" o:title=""/>
          </v:shape>
        </w:pict>
      </w:r>
      <w:r>
        <w:pict>
          <v:shape id="_x0000_i1048" type="#_x0000_t75" style="width:393.05pt;height:586.58pt">
            <v:imagedata r:id="rId136" o:title=""/>
          </v:shape>
        </w:pict>
      </w:r>
      <w:r>
        <w:pict>
          <v:shape id="_x0000_i1049" type="#_x0000_t75" style="width:432.06pt;height:564.83pt">
            <v:imagedata r:id="rId137" o:title=""/>
          </v:shape>
        </w:pic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All that can be drawn from this compilation is that there is no clear answer to this issue. Not surprisingly, the context of the proceeding, including the type of hearing and the circumstances of the individual case, govern the analysis and conclusions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 do not accept Nevsun's argument that the reasoning relied on in </w:t>
      </w:r>
      <w:r>
        <w:rPr>
          <w:rFonts w:ascii="arial" w:eastAsia="arial" w:hAnsi="arial" w:cs="arial"/>
          <w:i/>
          <w:color w:val="000000"/>
          <w:sz w:val="20"/>
          <w:lang w:val="en-US" w:eastAsia="en-US" w:bidi="ar-SA"/>
        </w:rPr>
        <w:t>Robb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Ernewein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Radke</w:t>
      </w:r>
      <w:r>
        <w:rPr>
          <w:rFonts w:ascii="arial" w:eastAsia="arial" w:hAnsi="arial" w:cs="arial"/>
          <w:color w:val="000000"/>
          <w:sz w:val="20"/>
          <w:lang w:val="en-US" w:eastAsia="en-US" w:bidi="ar-SA"/>
        </w:rPr>
        <w:t xml:space="preserve"> is essentially dispositive of this issue. Those cases are distinguishable on the basis that they address applications made at trial or class action certification proceedings to rely on the relevant report as proof of its contents and to prove facts at the centre of the controversy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That is not the case with the secondary reports the plaintiffs rely on here. They are not adduced as proof of the plaintiffs' claims. As their counsel note in their written argument, the fundamental issue to which much of this evidence is directed is whether Eritrea is a proper forum for this dispute. The reports do not address, affect, or determine the substantive rights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Nor are the reports here analogous to what was considered by Moldaver J.A., as he then was in, </w:t>
      </w:r>
      <w:r>
        <w:rPr>
          <w:rFonts w:ascii="arial" w:eastAsia="arial" w:hAnsi="arial" w:cs="arial"/>
          <w:i/>
          <w:color w:val="000000"/>
          <w:sz w:val="20"/>
          <w:lang w:val="en-US" w:eastAsia="en-US" w:bidi="ar-SA"/>
        </w:rPr>
        <w:t>Isakhani v. Al-Saggaf</w:t>
      </w:r>
      <w:r>
        <w:rPr>
          <w:rFonts w:ascii="arial" w:eastAsia="arial" w:hAnsi="arial" w:cs="arial"/>
          <w:color w:val="000000"/>
          <w:sz w:val="20"/>
          <w:lang w:val="en-US" w:eastAsia="en-US" w:bidi="ar-SA"/>
        </w:rPr>
        <w:t>. The Ontario Court of Appeal concluded that the AI report, which concerned discrimination and violence against women in Gulf Cooperation Countries, was so general that its probative value was at best slight. The report was not even specific to the United Arab Emirates, which was only referred to on a handful of occasions and Dubai was mentioned only in passing.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xml:space="preserve">  But </w:t>
      </w:r>
      <w:r>
        <w:rPr>
          <w:rFonts w:ascii="arial" w:eastAsia="arial" w:hAnsi="arial" w:cs="arial"/>
          <w:i/>
          <w:color w:val="000000"/>
          <w:sz w:val="20"/>
          <w:lang w:val="en-US" w:eastAsia="en-US" w:bidi="ar-SA"/>
        </w:rPr>
        <w:t>Isakhani v. Al-Saggaf</w:t>
      </w:r>
      <w:r>
        <w:rPr>
          <w:rFonts w:ascii="arial" w:eastAsia="arial" w:hAnsi="arial" w:cs="arial"/>
          <w:color w:val="000000"/>
          <w:sz w:val="20"/>
          <w:lang w:val="en-US" w:eastAsia="en-US" w:bidi="ar-SA"/>
        </w:rPr>
        <w:t xml:space="preserve"> is of assistance in this respect. At para. 38, the Court referred to the decisions of the Supreme Court of Canada in </w:t>
      </w:r>
      <w:r>
        <w:rPr>
          <w:rFonts w:ascii="arial" w:eastAsia="arial" w:hAnsi="arial" w:cs="arial"/>
          <w:i/>
          <w:color w:val="000000"/>
          <w:sz w:val="20"/>
          <w:lang w:val="en-US" w:eastAsia="en-US" w:bidi="ar-SA"/>
        </w:rPr>
        <w:t>R. v. Spence</w:t>
      </w:r>
      <w:r>
        <w:rPr>
          <w:rFonts w:ascii="arial" w:eastAsia="arial" w:hAnsi="arial" w:cs="arial"/>
          <w:color w:val="000000"/>
          <w:sz w:val="20"/>
          <w:lang w:val="en-US" w:eastAsia="en-US" w:bidi="ar-SA"/>
        </w:rPr>
        <w:t xml:space="preserve">, </w:t>
      </w:r>
      <w:hyperlink r:id="rId138" w:history="1">
        <w:r>
          <w:rPr>
            <w:rFonts w:ascii="arial" w:eastAsia="arial" w:hAnsi="arial" w:cs="arial"/>
            <w:i/>
            <w:color w:val="0077CC"/>
            <w:sz w:val="20"/>
            <w:u w:val="single"/>
            <w:shd w:val="clear" w:color="auto" w:fill="FFFFFF"/>
            <w:lang w:val="en-US" w:eastAsia="en-US" w:bidi="ar-SA"/>
          </w:rPr>
          <w:t>2005 SCC 71</w:t>
        </w:r>
      </w:hyperlink>
      <w:r>
        <w:rPr>
          <w:rFonts w:ascii="arial" w:eastAsia="arial" w:hAnsi="arial" w:cs="arial"/>
          <w:color w:val="000000"/>
          <w:sz w:val="20"/>
          <w:lang w:val="en-US" w:eastAsia="en-US" w:bidi="ar-SA"/>
        </w:rPr>
        <w:t>, a case on judicial notice. There, Justice Binnie drew a distinction at para. 58 between "social facts" and "adjudicative facts." The latter category encompasses "the where, when and why of what the accused is alleged to have done". Social facts, on the other hand, are those facts that are "used to construct a frame of reference or background context for deciding factual issues crucial to the resolution of a particular case". He noted at paras. 56-57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[Social facts are] difficult to prove, and they do not strictly relate to the adjudication of guilt or innocence, but rather to the framework within which that adjudication is to take place... "social facts" are general. They are not specific to the circumstances of a particular case, but if properly linked to the adjudicative facts, they help to explain aspects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Mahjoub v. Canada</w:t>
      </w:r>
      <w:r>
        <w:rPr>
          <w:rFonts w:ascii="arial" w:eastAsia="arial" w:hAnsi="arial" w:cs="arial"/>
          <w:color w:val="000000"/>
          <w:sz w:val="20"/>
          <w:lang w:val="en-US" w:eastAsia="en-US" w:bidi="ar-SA"/>
        </w:rPr>
        <w:t xml:space="preserve"> </w:t>
      </w:r>
      <w:hyperlink r:id="rId139" w:history="1">
        <w:r>
          <w:rPr>
            <w:rFonts w:ascii="arial" w:eastAsia="arial" w:hAnsi="arial" w:cs="arial"/>
            <w:i/>
            <w:color w:val="0077CC"/>
            <w:sz w:val="20"/>
            <w:u w:val="single"/>
            <w:shd w:val="clear" w:color="auto" w:fill="FFFFFF"/>
            <w:lang w:val="en-US" w:eastAsia="en-US" w:bidi="ar-SA"/>
          </w:rPr>
          <w:t>[2006] F.C.J. No. 1862</w:t>
        </w:r>
      </w:hyperlink>
      <w:r>
        <w:rPr>
          <w:rFonts w:ascii="arial" w:eastAsia="arial" w:hAnsi="arial" w:cs="arial"/>
          <w:color w:val="000000"/>
          <w:sz w:val="20"/>
          <w:lang w:val="en-US" w:eastAsia="en-US" w:bidi="ar-SA"/>
        </w:rPr>
        <w:t xml:space="preserve"> at paras. 72-75, Tremblay-Lamer J. referred to two decisions of the Supreme Court of Canada which dealt with social facts in granting judicial review of a decision of the Minister of Citizenship and Immigration's delegate. The delegate found that the applicant posed a danger to the security of Canada and, in finding that there were sufficient grounds for believing the applicant would not be at substantial risk of torture or other ill-treatment in Egypt, that he should be returned there. Tremblay-Lamer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72 The delegate's blanket rejection of information from agencies with worldwide reputations for credibility such as AI and HRW is puzzling, especially given the institutional reliance of Canadian courts and tribunals on these very sources. Indeed, the Minister of Citizenship and Immigration frequently relies on information from these organizations in creating country condition reports, which in turn are used by Immigration and Refugee tribunals, in recognition of their general reputation for credibility (France Houle, "Le fonctionnement du régime de preuve libre dans un système non-expert: le traitement symptomatique des preuves par la Section de la protection des réfugiés" </w:t>
      </w:r>
      <w:hyperlink r:id="rId140" w:history="1">
        <w:r>
          <w:rPr>
            <w:rFonts w:ascii="arial" w:eastAsia="arial" w:hAnsi="arial" w:cs="arial"/>
            <w:i/>
            <w:color w:val="0077CC"/>
            <w:sz w:val="20"/>
            <w:u w:val="single"/>
            <w:shd w:val="clear" w:color="auto" w:fill="FFFFFF"/>
            <w:lang w:val="en-US" w:eastAsia="en-US" w:bidi="ar-SA"/>
          </w:rPr>
          <w:t>(2004) 38 R.J.T. 263</w:t>
        </w:r>
      </w:hyperlink>
      <w:r>
        <w:rPr>
          <w:rFonts w:ascii="arial" w:eastAsia="arial" w:hAnsi="arial" w:cs="arial"/>
          <w:color w:val="000000"/>
          <w:sz w:val="20"/>
          <w:lang w:val="en-US" w:eastAsia="en-US" w:bidi="ar-SA"/>
        </w:rPr>
        <w:t xml:space="preserve"> at para. 71 and at n. 136).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This reputation for credibility has been affirmed by Canadian courts at all levels. The Supreme Court of Canada relied on information compiled by AI, as well as one of its reports, in </w:t>
      </w:r>
      <w:r>
        <w:rPr>
          <w:rFonts w:ascii="arial" w:eastAsia="arial" w:hAnsi="arial" w:cs="arial"/>
          <w:i/>
          <w:color w:val="000000"/>
          <w:sz w:val="20"/>
          <w:lang w:val="en-US" w:eastAsia="en-US" w:bidi="ar-SA"/>
        </w:rPr>
        <w:t>Kindler v. Canada (Minister of Justice)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2 S.C.R. 779</w:t>
      </w:r>
      <w:r>
        <w:rPr>
          <w:rFonts w:ascii="arial" w:eastAsia="arial" w:hAnsi="arial" w:cs="arial"/>
          <w:color w:val="000000"/>
          <w:sz w:val="20"/>
          <w:lang w:val="en-US" w:eastAsia="en-US" w:bidi="ar-SA"/>
        </w:rPr>
        <w:t xml:space="preserve"> (S.C.C.)(at 829, 830, 839). That Court also cited AI in </w:t>
      </w:r>
      <w:r>
        <w:rPr>
          <w:rFonts w:ascii="arial" w:eastAsia="arial" w:hAnsi="arial" w:cs="arial"/>
          <w:i/>
          <w:color w:val="000000"/>
          <w:sz w:val="20"/>
          <w:lang w:val="en-US" w:eastAsia="en-US" w:bidi="ar-SA"/>
        </w:rPr>
        <w:t>Suresh</w:t>
      </w:r>
      <w:r>
        <w:rPr>
          <w:rFonts w:ascii="arial" w:eastAsia="arial" w:hAnsi="arial" w:cs="arial"/>
          <w:color w:val="000000"/>
          <w:sz w:val="20"/>
          <w:lang w:val="en-US" w:eastAsia="en-US" w:bidi="ar-SA"/>
        </w:rPr>
        <w:t xml:space="preserve">, </w:t>
      </w:r>
      <w:hyperlink r:id="rId141" w:history="1">
        <w:r>
          <w:rPr>
            <w:rFonts w:ascii="arial" w:eastAsia="arial" w:hAnsi="arial" w:cs="arial"/>
            <w:i/>
            <w:color w:val="0077CC"/>
            <w:sz w:val="20"/>
            <w:u w:val="single"/>
            <w:shd w:val="clear" w:color="auto" w:fill="FFFFFF"/>
            <w:lang w:val="en-US" w:eastAsia="en-US" w:bidi="ar-SA"/>
          </w:rPr>
          <w:t>[2002] 1 S.C.R. 3</w:t>
        </w:r>
      </w:hyperlink>
      <w:r>
        <w:rPr>
          <w:rFonts w:ascii="arial" w:eastAsia="arial" w:hAnsi="arial" w:cs="arial"/>
          <w:color w:val="000000"/>
          <w:sz w:val="20"/>
          <w:lang w:val="en-US" w:eastAsia="en-US" w:bidi="ar-SA"/>
        </w:rPr>
        <w:t xml:space="preserve"> above, at paragraph 11 in noting the use of torture in the context of that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74 Similarly, the Federal Court has recognized the reliability of both Amnesty International and Human Rights Watch. For instance, my colleague Justice Michael Kelen referred to a HRW report as "credible" (</w:t>
      </w:r>
      <w:r>
        <w:rPr>
          <w:rFonts w:ascii="arial" w:eastAsia="arial" w:hAnsi="arial" w:cs="arial"/>
          <w:i/>
          <w:color w:val="000000"/>
          <w:sz w:val="20"/>
          <w:lang w:val="en-US" w:eastAsia="en-US" w:bidi="ar-SA"/>
        </w:rPr>
        <w:t>Buri v. Canada (Minister of Citizenship and Immigration)</w:t>
      </w:r>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2001 FCT 1358</w:t>
        </w:r>
      </w:hyperlink>
      <w:r>
        <w:rPr>
          <w:rFonts w:ascii="arial" w:eastAsia="arial" w:hAnsi="arial" w:cs="arial"/>
          <w:color w:val="000000"/>
          <w:sz w:val="20"/>
          <w:lang w:val="en-US" w:eastAsia="en-US" w:bidi="ar-SA"/>
        </w:rPr>
        <w:t xml:space="preserve">, </w:t>
      </w:r>
      <w:hyperlink r:id="rId142" w:history="1">
        <w:r>
          <w:rPr>
            <w:rFonts w:ascii="arial" w:eastAsia="arial" w:hAnsi="arial" w:cs="arial"/>
            <w:i/>
            <w:color w:val="0077CC"/>
            <w:sz w:val="20"/>
            <w:u w:val="single"/>
            <w:shd w:val="clear" w:color="auto" w:fill="FFFFFF"/>
            <w:lang w:val="en-US" w:eastAsia="en-US" w:bidi="ar-SA"/>
          </w:rPr>
          <w:t>[2001] F.C.J. No. 1867</w:t>
        </w:r>
      </w:hyperlink>
      <w:r>
        <w:rPr>
          <w:rFonts w:ascii="arial" w:eastAsia="arial" w:hAnsi="arial" w:cs="arial"/>
          <w:color w:val="000000"/>
          <w:sz w:val="20"/>
          <w:lang w:val="en-US" w:eastAsia="en-US" w:bidi="ar-SA"/>
        </w:rPr>
        <w:t xml:space="preserve"> (Fed T.D.) at para. 22); another colleague, Justice François Lemieux, stated that an immigration officer erred in failing to consider a current AI report relating to country conditions, where the report was not among the documents she had considered and where the officer's views were contrary to its findings (</w:t>
      </w:r>
      <w:r>
        <w:rPr>
          <w:rFonts w:ascii="arial" w:eastAsia="arial" w:hAnsi="arial" w:cs="arial"/>
          <w:i/>
          <w:color w:val="000000"/>
          <w:sz w:val="20"/>
          <w:lang w:val="en-US" w:eastAsia="en-US" w:bidi="ar-SA"/>
        </w:rPr>
        <w:t>Kazi v. Canada (Minister of Citizenship and Immigration),</w:t>
      </w:r>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2002 FCT 178</w:t>
        </w:r>
      </w:hyperlink>
      <w:r>
        <w:rPr>
          <w:rFonts w:ascii="arial" w:eastAsia="arial" w:hAnsi="arial" w:cs="arial"/>
          <w:color w:val="000000"/>
          <w:sz w:val="20"/>
          <w:lang w:val="en-US" w:eastAsia="en-US" w:bidi="ar-SA"/>
        </w:rPr>
        <w:t xml:space="preserve">, </w:t>
      </w:r>
      <w:hyperlink r:id="rId143" w:history="1">
        <w:r>
          <w:rPr>
            <w:rFonts w:ascii="arial" w:eastAsia="arial" w:hAnsi="arial" w:cs="arial"/>
            <w:i/>
            <w:color w:val="0077CC"/>
            <w:sz w:val="20"/>
            <w:u w:val="single"/>
            <w:shd w:val="clear" w:color="auto" w:fill="FFFFFF"/>
            <w:lang w:val="en-US" w:eastAsia="en-US" w:bidi="ar-SA"/>
          </w:rPr>
          <w:t>[2002] F.C.J. No. 223</w:t>
        </w:r>
      </w:hyperlink>
      <w:r>
        <w:rPr>
          <w:rFonts w:ascii="arial" w:eastAsia="arial" w:hAnsi="arial" w:cs="arial"/>
          <w:color w:val="000000"/>
          <w:sz w:val="20"/>
          <w:lang w:val="en-US" w:eastAsia="en-US" w:bidi="ar-SA"/>
        </w:rPr>
        <w:t xml:space="preserve"> (Fed. T.D.) at paras. 28, 30).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75 In </w:t>
      </w:r>
      <w:r>
        <w:rPr>
          <w:rFonts w:ascii="arial" w:eastAsia="arial" w:hAnsi="arial" w:cs="arial"/>
          <w:i/>
          <w:color w:val="000000"/>
          <w:sz w:val="20"/>
          <w:lang w:val="en-US" w:eastAsia="en-US" w:bidi="ar-SA"/>
        </w:rPr>
        <w:t>Thang v. Canada (Solicitor General)</w:t>
      </w:r>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2004 FC 457</w:t>
        </w:r>
      </w:hyperlink>
      <w:r>
        <w:rPr>
          <w:rFonts w:ascii="arial" w:eastAsia="arial" w:hAnsi="arial" w:cs="arial"/>
          <w:color w:val="000000"/>
          <w:sz w:val="20"/>
          <w:lang w:val="en-US" w:eastAsia="en-US" w:bidi="ar-SA"/>
        </w:rPr>
        <w:t xml:space="preserve">, </w:t>
      </w:r>
      <w:hyperlink r:id="rId144" w:history="1">
        <w:r>
          <w:rPr>
            <w:rFonts w:ascii="arial" w:eastAsia="arial" w:hAnsi="arial" w:cs="arial"/>
            <w:i/>
            <w:color w:val="0077CC"/>
            <w:sz w:val="20"/>
            <w:u w:val="single"/>
            <w:shd w:val="clear" w:color="auto" w:fill="FFFFFF"/>
            <w:lang w:val="en-US" w:eastAsia="en-US" w:bidi="ar-SA"/>
          </w:rPr>
          <w:t>[2004] F.C.J. No. 559</w:t>
        </w:r>
      </w:hyperlink>
      <w:r>
        <w:rPr>
          <w:rFonts w:ascii="arial" w:eastAsia="arial" w:hAnsi="arial" w:cs="arial"/>
          <w:color w:val="000000"/>
          <w:sz w:val="20"/>
          <w:lang w:val="en-US" w:eastAsia="en-US" w:bidi="ar-SA"/>
        </w:rPr>
        <w:t xml:space="preserve"> (Fed. T.D.) at para.8, Justice James O'Reilly seemingly recognized that the credibility of AI did not necessarily mandate that a decision-maker agree with the conclusions of its reports, but it did require her to state why she found the report unpersuasive. It remains open to this reviewing Court to assess whether the delegate's treatment of evidence from such credible sources was done arbitrarily or by ignoring crucial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A.B. v. Bragg Communications Inc</w:t>
      </w:r>
      <w:r>
        <w:rPr>
          <w:rFonts w:ascii="arial" w:eastAsia="arial" w:hAnsi="arial" w:cs="arial"/>
          <w:color w:val="000000"/>
          <w:sz w:val="20"/>
          <w:lang w:val="en-US" w:eastAsia="en-US" w:bidi="ar-SA"/>
        </w:rPr>
        <w:t xml:space="preserve">., </w:t>
      </w:r>
      <w:hyperlink r:id="rId145" w:history="1">
        <w:r>
          <w:rPr>
            <w:rFonts w:ascii="arial" w:eastAsia="arial" w:hAnsi="arial" w:cs="arial"/>
            <w:i/>
            <w:color w:val="0077CC"/>
            <w:sz w:val="20"/>
            <w:u w:val="single"/>
            <w:shd w:val="clear" w:color="auto" w:fill="FFFFFF"/>
            <w:lang w:val="en-US" w:eastAsia="en-US" w:bidi="ar-SA"/>
          </w:rPr>
          <w:t>2012 SCC 46</w:t>
        </w:r>
      </w:hyperlink>
      <w:r>
        <w:rPr>
          <w:rFonts w:ascii="arial" w:eastAsia="arial" w:hAnsi="arial" w:cs="arial"/>
          <w:color w:val="000000"/>
          <w:sz w:val="20"/>
          <w:lang w:val="en-US" w:eastAsia="en-US" w:bidi="ar-SA"/>
        </w:rPr>
        <w:t xml:space="preserve"> at paras. 20-24; </w:t>
      </w:r>
      <w:r>
        <w:rPr>
          <w:rFonts w:ascii="arial" w:eastAsia="arial" w:hAnsi="arial" w:cs="arial"/>
          <w:i/>
          <w:color w:val="000000"/>
          <w:sz w:val="20"/>
          <w:lang w:val="en-US" w:eastAsia="en-US" w:bidi="ar-SA"/>
        </w:rPr>
        <w:t>PHS Community Services Society v. Attorney General of Canada</w:t>
      </w:r>
      <w:r>
        <w:rPr>
          <w:rFonts w:ascii="arial" w:eastAsia="arial" w:hAnsi="arial" w:cs="arial"/>
          <w:color w:val="000000"/>
          <w:sz w:val="20"/>
          <w:lang w:val="en-US" w:eastAsia="en-US" w:bidi="ar-SA"/>
        </w:rPr>
        <w:t xml:space="preserve">, </w:t>
      </w:r>
      <w:hyperlink r:id="rId146" w:history="1">
        <w:r>
          <w:rPr>
            <w:rFonts w:ascii="arial" w:eastAsia="arial" w:hAnsi="arial" w:cs="arial"/>
            <w:i/>
            <w:color w:val="0077CC"/>
            <w:sz w:val="20"/>
            <w:u w:val="single"/>
            <w:shd w:val="clear" w:color="auto" w:fill="FFFFFF"/>
            <w:lang w:val="en-US" w:eastAsia="en-US" w:bidi="ar-SA"/>
          </w:rPr>
          <w:t>2008 BCSC 661</w:t>
        </w:r>
      </w:hyperlink>
      <w:r>
        <w:rPr>
          <w:rFonts w:ascii="arial" w:eastAsia="arial" w:hAnsi="arial" w:cs="arial"/>
          <w:color w:val="000000"/>
          <w:sz w:val="20"/>
          <w:lang w:val="en-US" w:eastAsia="en-US" w:bidi="ar-SA"/>
        </w:rPr>
        <w:t xml:space="preserve"> at para. 86, where this Court relied on an Expert Advisory Committee report for both specific, mathematical and general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my view, the secondary reports are admissible at a minimum to "connect the dots" of otherwise asserted facts. This was the conclusion reached by Associate Chief Justice Rooke of the Alberta Court of Queen's Bench in </w:t>
      </w:r>
      <w:r>
        <w:rPr>
          <w:rFonts w:ascii="arial" w:eastAsia="arial" w:hAnsi="arial" w:cs="arial"/>
          <w:i/>
          <w:color w:val="000000"/>
          <w:sz w:val="20"/>
          <w:lang w:val="en-US" w:eastAsia="en-US" w:bidi="ar-SA"/>
        </w:rPr>
        <w:t>Harrison v. XL Foods Inc.</w:t>
      </w:r>
      <w:r>
        <w:rPr>
          <w:rFonts w:ascii="arial" w:eastAsia="arial" w:hAnsi="arial" w:cs="arial"/>
          <w:color w:val="000000"/>
          <w:sz w:val="20"/>
          <w:lang w:val="en-US" w:eastAsia="en-US" w:bidi="ar-SA"/>
        </w:rPr>
        <w:t xml:space="preserve">, </w:t>
      </w:r>
      <w:hyperlink r:id="rId147" w:history="1">
        <w:r>
          <w:rPr>
            <w:rFonts w:ascii="arial" w:eastAsia="arial" w:hAnsi="arial" w:cs="arial"/>
            <w:i/>
            <w:color w:val="0077CC"/>
            <w:sz w:val="20"/>
            <w:u w:val="single"/>
            <w:shd w:val="clear" w:color="auto" w:fill="FFFFFF"/>
            <w:lang w:val="en-US" w:eastAsia="en-US" w:bidi="ar-SA"/>
          </w:rPr>
          <w:t>2014 ABQB 720</w:t>
        </w:r>
      </w:hyperlink>
      <w:r>
        <w:rPr>
          <w:rFonts w:ascii="arial" w:eastAsia="arial" w:hAnsi="arial" w:cs="arial"/>
          <w:color w:val="000000"/>
          <w:sz w:val="20"/>
          <w:lang w:val="en-US" w:eastAsia="en-US" w:bidi="ar-SA"/>
        </w:rPr>
        <w:t xml:space="preserve">, although the scope of admissibility was very narrow. At issue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xml:space="preserve"> was a report of an independent panel appointed by the federal government to investigate a beef recall. Associate Chief Justice Rooke held that three pages of the report could be admitted, despite the hearsay nature of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xml:space="preserve">  A similar conclusion was recently reached in </w:t>
      </w:r>
      <w:r>
        <w:rPr>
          <w:rFonts w:ascii="arial" w:eastAsia="arial" w:hAnsi="arial" w:cs="arial"/>
          <w:i/>
          <w:color w:val="000000"/>
          <w:sz w:val="20"/>
          <w:lang w:val="en-US" w:eastAsia="en-US" w:bidi="ar-SA"/>
        </w:rPr>
        <w:t>Ewert v. Canada (Attorney General)</w:t>
      </w:r>
      <w:r>
        <w:rPr>
          <w:rFonts w:ascii="arial" w:eastAsia="arial" w:hAnsi="arial" w:cs="arial"/>
          <w:color w:val="000000"/>
          <w:sz w:val="20"/>
          <w:lang w:val="en-US" w:eastAsia="en-US" w:bidi="ar-SA"/>
        </w:rPr>
        <w:t xml:space="preserve"> </w:t>
      </w:r>
      <w:hyperlink r:id="rId148" w:history="1">
        <w:r>
          <w:rPr>
            <w:rFonts w:ascii="arial" w:eastAsia="arial" w:hAnsi="arial" w:cs="arial"/>
            <w:i/>
            <w:color w:val="0077CC"/>
            <w:sz w:val="20"/>
            <w:u w:val="single"/>
            <w:shd w:val="clear" w:color="auto" w:fill="FFFFFF"/>
            <w:lang w:val="en-US" w:eastAsia="en-US" w:bidi="ar-SA"/>
          </w:rPr>
          <w:t>[2016] B.C.J. No. 1104</w:t>
        </w:r>
      </w:hyperlink>
      <w:r>
        <w:rPr>
          <w:rFonts w:ascii="arial" w:eastAsia="arial" w:hAnsi="arial" w:cs="arial"/>
          <w:color w:val="000000"/>
          <w:sz w:val="20"/>
          <w:lang w:val="en-US" w:eastAsia="en-US" w:bidi="ar-SA"/>
        </w:rPr>
        <w:t xml:space="preserve"> where Blok J. on a class action certification proceeding stated at para.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For these reasons I conclude that the OCI Report is not admissible for proof of the facts stated in it, although it is helpful, in the sense described in </w:t>
      </w:r>
      <w:r>
        <w:rPr>
          <w:rFonts w:ascii="arial" w:eastAsia="arial" w:hAnsi="arial" w:cs="arial"/>
          <w:i/>
          <w:color w:val="000000"/>
          <w:sz w:val="20"/>
          <w:lang w:val="en-US" w:eastAsia="en-US" w:bidi="ar-SA"/>
        </w:rPr>
        <w:t>Harrison</w:t>
      </w:r>
      <w:r>
        <w:rPr>
          <w:rFonts w:ascii="arial" w:eastAsia="arial" w:hAnsi="arial" w:cs="arial"/>
          <w:color w:val="000000"/>
          <w:sz w:val="20"/>
          <w:lang w:val="en-US" w:eastAsia="en-US" w:bidi="ar-SA"/>
        </w:rPr>
        <w:t>, in placing otherwise asserted facts in context. It is helpful as well in understanding why a class action may be necessary to encourage a modification in CSC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Mr. Connell's Reports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plaintiffs' written argument summarizes Mr. Connell's qualifications. He has spent 39 years researching, reporting, studying and lecturing on the history and politics of Eritrea. He is a Visiting Scholar at Boston University's African Studies Center and the author of seven books and numerous articles on Eritrea. He has lectured and presented papers on Eritrea and has consulted to the US Department of Homeland Security, the Immigration Board of Canada, the EASO, the Norwegian Ministry of Foreign Affairs and Justice and the Swedish Foreign Ministry.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Mr. Connell is tendered as an expert who is qualified to provide an opinion on Eritrean history, historical trends and events, and how those trends and events have shaped current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Nevsun's position is that Mr. Connell is not qualified to provide expert evidence to the Court and submits that his background makes it clear he has a bias and "agenda", being regime change in Eritrea. Nevsun describes him as a journalist who has not been to Eritrea in well over a decade.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Churchill Falls (Labrador) Corporation Ltd. c. Hydro-Québec</w:t>
      </w:r>
      <w:r>
        <w:rPr>
          <w:rFonts w:ascii="arial" w:eastAsia="arial" w:hAnsi="arial" w:cs="arial"/>
          <w:color w:val="000000"/>
          <w:sz w:val="20"/>
          <w:lang w:val="en-US" w:eastAsia="en-US" w:bidi="ar-SA"/>
        </w:rPr>
        <w:t xml:space="preserve">, </w:t>
      </w:r>
      <w:hyperlink r:id="rId149" w:history="1">
        <w:r>
          <w:rPr>
            <w:rFonts w:ascii="arial" w:eastAsia="arial" w:hAnsi="arial" w:cs="arial"/>
            <w:i/>
            <w:color w:val="0077CC"/>
            <w:sz w:val="20"/>
            <w:u w:val="single"/>
            <w:shd w:val="clear" w:color="auto" w:fill="FFFFFF"/>
            <w:lang w:val="en-US" w:eastAsia="en-US" w:bidi="ar-SA"/>
          </w:rPr>
          <w:t>2014 QCCS 3590</w:t>
        </w:r>
      </w:hyperlink>
      <w:r>
        <w:rPr>
          <w:rFonts w:ascii="arial" w:eastAsia="arial" w:hAnsi="arial" w:cs="arial"/>
          <w:color w:val="000000"/>
          <w:sz w:val="20"/>
          <w:lang w:val="en-US" w:eastAsia="en-US" w:bidi="ar-SA"/>
        </w:rPr>
        <w:t xml:space="preserve"> at para. 345, Nevsun also submits that Mr. Connell's reports repeatedly and egregiously violate the rules governing expert opinion evidence. Nevsun claims Mr. Connell does not have expertise, having significant deficiencies in respect of his independence, objectivity, reliability, and transparency, all of which lead inescapably to a conclusion that he is not an "expert witness" in any sense of the word.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White Burgess Langille Inman v. Abbott and Haliburton Co</w:t>
      </w:r>
      <w:r>
        <w:rPr>
          <w:rFonts w:ascii="arial" w:eastAsia="arial" w:hAnsi="arial" w:cs="arial"/>
          <w:color w:val="000000"/>
          <w:sz w:val="20"/>
          <w:lang w:val="en-US" w:eastAsia="en-US" w:bidi="ar-SA"/>
        </w:rPr>
        <w:t xml:space="preserve">., </w:t>
      </w:r>
      <w:hyperlink r:id="rId150" w:history="1">
        <w:r>
          <w:rPr>
            <w:rFonts w:ascii="arial" w:eastAsia="arial" w:hAnsi="arial" w:cs="arial"/>
            <w:i/>
            <w:color w:val="0077CC"/>
            <w:sz w:val="20"/>
            <w:u w:val="single"/>
            <w:shd w:val="clear" w:color="auto" w:fill="FFFFFF"/>
            <w:lang w:val="en-US" w:eastAsia="en-US" w:bidi="ar-SA"/>
          </w:rPr>
          <w:t>2015 SCC 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the Supreme Court of Canada summarized the law governing the admissibility of expert opinion evidence. For the Court, Cromwell J. noted at para. 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 opinion evidence can be a key element in the search for truth, but it may also pose special dangers. To guard against them, the Court over the last 20 years or so has progressively tightened the rules of admissibility and enhanced the trial judge's gatekeeping role. These developments seek to ensure that expert opinion evidence meets certain basic standards before it is admitted.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xml:space="preserve">  At paras. 18-20 of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Justice Cromwell summarized the framework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The point is to preserve trial by judge and jury, not devolve to trial by expert. There is a risk that the jury "will be unable to make an effective and critical assessment of the evidence": </w:t>
      </w:r>
      <w:r>
        <w:rPr>
          <w:rFonts w:ascii="arial" w:eastAsia="arial" w:hAnsi="arial" w:cs="arial"/>
          <w:i/>
          <w:color w:val="000000"/>
          <w:sz w:val="20"/>
          <w:lang w:val="en-US" w:eastAsia="en-US" w:bidi="ar-SA"/>
        </w:rPr>
        <w:t>R. v. Abbey</w:t>
      </w:r>
      <w:r>
        <w:rPr>
          <w:rFonts w:ascii="arial" w:eastAsia="arial" w:hAnsi="arial" w:cs="arial"/>
          <w:color w:val="000000"/>
          <w:sz w:val="20"/>
          <w:lang w:val="en-US" w:eastAsia="en-US" w:bidi="ar-SA"/>
        </w:rPr>
        <w:t xml:space="preserve">, </w:t>
      </w:r>
      <w:hyperlink r:id="rId151" w:history="1">
        <w:r>
          <w:rPr>
            <w:rFonts w:ascii="arial" w:eastAsia="arial" w:hAnsi="arial" w:cs="arial"/>
            <w:i/>
            <w:color w:val="0077CC"/>
            <w:sz w:val="20"/>
            <w:u w:val="single"/>
            <w:shd w:val="clear" w:color="auto" w:fill="FFFFFF"/>
            <w:lang w:val="en-US" w:eastAsia="en-US" w:bidi="ar-SA"/>
          </w:rPr>
          <w:t>2009 ONCA 624</w:t>
        </w:r>
      </w:hyperlink>
      <w:r>
        <w:rPr>
          <w:rFonts w:ascii="arial" w:eastAsia="arial" w:hAnsi="arial" w:cs="arial"/>
          <w:color w:val="000000"/>
          <w:sz w:val="20"/>
          <w:lang w:val="en-US" w:eastAsia="en-US" w:bidi="ar-SA"/>
        </w:rPr>
        <w:t xml:space="preserve"> , </w:t>
      </w:r>
      <w:hyperlink r:id="rId151" w:history="1">
        <w:r>
          <w:rPr>
            <w:rFonts w:ascii="arial" w:eastAsia="arial" w:hAnsi="arial" w:cs="arial"/>
            <w:i/>
            <w:color w:val="0077CC"/>
            <w:sz w:val="20"/>
            <w:u w:val="single"/>
            <w:shd w:val="clear" w:color="auto" w:fill="FFFFFF"/>
            <w:lang w:val="en-US" w:eastAsia="en-US" w:bidi="ar-SA"/>
          </w:rPr>
          <w:t>97 O.R. (3d) 330</w:t>
        </w:r>
      </w:hyperlink>
      <w:r>
        <w:rPr>
          <w:rFonts w:ascii="arial" w:eastAsia="arial" w:hAnsi="arial" w:cs="arial"/>
          <w:color w:val="000000"/>
          <w:sz w:val="20"/>
          <w:lang w:val="en-US" w:eastAsia="en-US" w:bidi="ar-SA"/>
        </w:rPr>
        <w:t xml:space="preserve">, at para. 90, leave to appeal refused, </w:t>
      </w:r>
      <w:hyperlink r:id="rId152" w:history="1">
        <w:r>
          <w:rPr>
            <w:rFonts w:ascii="arial" w:eastAsia="arial" w:hAnsi="arial" w:cs="arial"/>
            <w:i/>
            <w:color w:val="0077CC"/>
            <w:sz w:val="20"/>
            <w:u w:val="single"/>
            <w:shd w:val="clear" w:color="auto" w:fill="FFFFFF"/>
            <w:lang w:val="en-US" w:eastAsia="en-US" w:bidi="ar-SA"/>
          </w:rPr>
          <w:t>[2010] S.C.C.A. No. 125</w:t>
        </w:r>
      </w:hyperlink>
      <w:r>
        <w:rPr>
          <w:rFonts w:ascii="arial" w:eastAsia="arial" w:hAnsi="arial" w:cs="arial"/>
          <w:color w:val="000000"/>
          <w:sz w:val="20"/>
          <w:lang w:val="en-US" w:eastAsia="en-US" w:bidi="ar-SA"/>
        </w:rPr>
        <w:t xml:space="preserve"> , [2010] 2 S.C.R. v. The trier of fact must be able to use its "informed judgment", not simply decide on the basis of an "act of faith" in the expert's opinion: </w:t>
      </w:r>
      <w:r>
        <w:rPr>
          <w:rFonts w:ascii="arial" w:eastAsia="arial" w:hAnsi="arial" w:cs="arial"/>
          <w:i/>
          <w:color w:val="000000"/>
          <w:sz w:val="20"/>
          <w:lang w:val="en-US" w:eastAsia="en-US" w:bidi="ar-SA"/>
        </w:rPr>
        <w:t>J.- L.J</w:t>
      </w:r>
      <w:r>
        <w:rPr>
          <w:rFonts w:ascii="arial" w:eastAsia="arial" w:hAnsi="arial" w:cs="arial"/>
          <w:color w:val="000000"/>
          <w:sz w:val="20"/>
          <w:lang w:val="en-US" w:eastAsia="en-US" w:bidi="ar-SA"/>
        </w:rPr>
        <w:t xml:space="preserve">., </w:t>
      </w:r>
      <w:hyperlink r:id="rId153" w:history="1">
        <w:r>
          <w:rPr>
            <w:rFonts w:ascii="arial" w:eastAsia="arial" w:hAnsi="arial" w:cs="arial"/>
            <w:i/>
            <w:color w:val="0077CC"/>
            <w:sz w:val="20"/>
            <w:u w:val="single"/>
            <w:shd w:val="clear" w:color="auto" w:fill="FFFFFF"/>
            <w:lang w:val="en-US" w:eastAsia="en-US" w:bidi="ar-SA"/>
          </w:rPr>
          <w:t>[2000] 2 S.C.R. 600</w:t>
        </w:r>
      </w:hyperlink>
      <w:r>
        <w:rPr>
          <w:rFonts w:ascii="arial" w:eastAsia="arial" w:hAnsi="arial" w:cs="arial"/>
          <w:color w:val="000000"/>
          <w:sz w:val="20"/>
          <w:lang w:val="en-US" w:eastAsia="en-US" w:bidi="ar-SA"/>
        </w:rPr>
        <w:t xml:space="preserve"> at para. 56. The risk of "attornment to the opinion of the expert" is also exacerbated by the fact that expert evidence is resistant to effective cross-examination by counsel who are not experts in that field: </w:t>
      </w:r>
      <w:r>
        <w:rPr>
          <w:rFonts w:ascii="arial" w:eastAsia="arial" w:hAnsi="arial" w:cs="arial"/>
          <w:i/>
          <w:color w:val="000000"/>
          <w:sz w:val="20"/>
          <w:lang w:val="en-US" w:eastAsia="en-US" w:bidi="ar-SA"/>
        </w:rPr>
        <w:t>D.D.,</w:t>
      </w:r>
      <w:r>
        <w:rPr>
          <w:rFonts w:ascii="arial" w:eastAsia="arial" w:hAnsi="arial" w:cs="arial"/>
          <w:color w:val="000000"/>
          <w:sz w:val="20"/>
          <w:lang w:val="en-US" w:eastAsia="en-US" w:bidi="ar-SA"/>
        </w:rPr>
        <w:t xml:space="preserve"> </w:t>
      </w:r>
      <w:hyperlink r:id="rId154" w:history="1">
        <w:r>
          <w:rPr>
            <w:rFonts w:ascii="arial" w:eastAsia="arial" w:hAnsi="arial" w:cs="arial"/>
            <w:i/>
            <w:color w:val="0077CC"/>
            <w:sz w:val="20"/>
            <w:u w:val="single"/>
            <w:shd w:val="clear" w:color="auto" w:fill="FFFFFF"/>
            <w:lang w:val="en-US" w:eastAsia="en-US" w:bidi="ar-SA"/>
          </w:rPr>
          <w:t>[2000] 2 S.C.R. 275</w:t>
        </w:r>
      </w:hyperlink>
      <w:r>
        <w:rPr>
          <w:rFonts w:ascii="arial" w:eastAsia="arial" w:hAnsi="arial" w:cs="arial"/>
          <w:color w:val="000000"/>
          <w:sz w:val="20"/>
          <w:lang w:val="en-US" w:eastAsia="en-US" w:bidi="ar-SA"/>
        </w:rPr>
        <w:t xml:space="preserve"> at para. 54. The cases address a number of other related concerns: the potential prejudice created by the expert's reliance on unproven material not subject to cross-examination (</w:t>
      </w:r>
      <w:r>
        <w:rPr>
          <w:rFonts w:ascii="arial" w:eastAsia="arial" w:hAnsi="arial" w:cs="arial"/>
          <w:i/>
          <w:color w:val="000000"/>
          <w:sz w:val="20"/>
          <w:lang w:val="en-US" w:eastAsia="en-US" w:bidi="ar-SA"/>
        </w:rPr>
        <w:t>D.D</w:t>
      </w:r>
      <w:r>
        <w:rPr>
          <w:rFonts w:ascii="arial" w:eastAsia="arial" w:hAnsi="arial" w:cs="arial"/>
          <w:color w:val="000000"/>
          <w:sz w:val="20"/>
          <w:lang w:val="en-US" w:eastAsia="en-US" w:bidi="ar-SA"/>
        </w:rPr>
        <w:t>., at para. 55); the risk of admitting "junk science" (</w:t>
      </w:r>
      <w:r>
        <w:rPr>
          <w:rFonts w:ascii="arial" w:eastAsia="arial" w:hAnsi="arial" w:cs="arial"/>
          <w:i/>
          <w:color w:val="000000"/>
          <w:sz w:val="20"/>
          <w:lang w:val="en-US" w:eastAsia="en-US" w:bidi="ar-SA"/>
        </w:rPr>
        <w:t>J.-L.J</w:t>
      </w:r>
      <w:r>
        <w:rPr>
          <w:rFonts w:ascii="arial" w:eastAsia="arial" w:hAnsi="arial" w:cs="arial"/>
          <w:color w:val="000000"/>
          <w:sz w:val="20"/>
          <w:lang w:val="en-US" w:eastAsia="en-US" w:bidi="ar-SA"/>
        </w:rPr>
        <w:t>., at para. 25); and the risk that a "contest of experts" distracts rather than assists the trier of fact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w:t>
      </w:r>
      <w:hyperlink r:id="rId155" w:history="1">
        <w:r>
          <w:rPr>
            <w:rFonts w:ascii="arial" w:eastAsia="arial" w:hAnsi="arial" w:cs="arial"/>
            <w:i/>
            <w:color w:val="0077CC"/>
            <w:sz w:val="20"/>
            <w:u w:val="single"/>
            <w:shd w:val="clear" w:color="auto" w:fill="FFFFFF"/>
            <w:lang w:val="en-US" w:eastAsia="en-US" w:bidi="ar-SA"/>
          </w:rPr>
          <w:t>[1994] 2 S.C.R. 9</w:t>
        </w:r>
      </w:hyperlink>
      <w:r>
        <w:rPr>
          <w:rFonts w:ascii="arial" w:eastAsia="arial" w:hAnsi="arial" w:cs="arial"/>
          <w:color w:val="000000"/>
          <w:sz w:val="20"/>
          <w:lang w:val="en-US" w:eastAsia="en-US" w:bidi="ar-SA"/>
        </w:rPr>
        <w:t xml:space="preserve"> at p. 24). Another well-known danger associated with the admissibility of expert evidence is that it may lead to an inordinate expenditure of time and money: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at p. 21; </w:t>
      </w:r>
      <w:r>
        <w:rPr>
          <w:rFonts w:ascii="arial" w:eastAsia="arial" w:hAnsi="arial" w:cs="arial"/>
          <w:i/>
          <w:color w:val="000000"/>
          <w:sz w:val="20"/>
          <w:lang w:val="en-US" w:eastAsia="en-US" w:bidi="ar-SA"/>
        </w:rPr>
        <w:t>D.D</w:t>
      </w:r>
      <w:r>
        <w:rPr>
          <w:rFonts w:ascii="arial" w:eastAsia="arial" w:hAnsi="arial" w:cs="arial"/>
          <w:color w:val="000000"/>
          <w:sz w:val="20"/>
          <w:lang w:val="en-US" w:eastAsia="en-US" w:bidi="ar-SA"/>
        </w:rPr>
        <w:t xml:space="preserve">., at para. 56; </w:t>
      </w:r>
      <w:r>
        <w:rPr>
          <w:rFonts w:ascii="arial" w:eastAsia="arial" w:hAnsi="arial" w:cs="arial"/>
          <w:i/>
          <w:color w:val="000000"/>
          <w:sz w:val="20"/>
          <w:lang w:val="en-US" w:eastAsia="en-US" w:bidi="ar-SA"/>
        </w:rPr>
        <w:t>Masterpiece Inc. v. Alavida Lifestyles Inc</w:t>
      </w:r>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2011 SCC 27</w:t>
        </w:r>
      </w:hyperlink>
      <w:r>
        <w:rPr>
          <w:rFonts w:ascii="arial" w:eastAsia="arial" w:hAnsi="arial" w:cs="arial"/>
          <w:color w:val="000000"/>
          <w:sz w:val="20"/>
          <w:lang w:val="en-US" w:eastAsia="en-US" w:bidi="ar-SA"/>
        </w:rPr>
        <w:t xml:space="preserve">, </w:t>
      </w:r>
      <w:hyperlink r:id="rId156" w:history="1">
        <w:r>
          <w:rPr>
            <w:rFonts w:ascii="arial" w:eastAsia="arial" w:hAnsi="arial" w:cs="arial"/>
            <w:i/>
            <w:color w:val="0077CC"/>
            <w:sz w:val="20"/>
            <w:u w:val="single"/>
            <w:shd w:val="clear" w:color="auto" w:fill="FFFFFF"/>
            <w:lang w:val="en-US" w:eastAsia="en-US" w:bidi="ar-SA"/>
          </w:rPr>
          <w:t>[2011] 2 S.C.R. 387</w:t>
        </w:r>
      </w:hyperlink>
      <w:r>
        <w:rPr>
          <w:rFonts w:ascii="arial" w:eastAsia="arial" w:hAnsi="arial" w:cs="arial"/>
          <w:color w:val="000000"/>
          <w:sz w:val="20"/>
          <w:lang w:val="en-US" w:eastAsia="en-US" w:bidi="ar-SA"/>
        </w:rPr>
        <w:t>, at para. 76.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To address these dangers,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established a basic structure for the law relating to the admissibility of expert opinion evidence. That structure has two main components. First, there are four threshold requirements that the proponent of the evidence must establish in order for proposed expert opinion evidence to be admissible: (1) relevance; (2) necessity in assisting the trier of fact; (3) absence of an exclusionary rule; and (4) a properly qualified expert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at pp. 20-25; see also </w:t>
      </w:r>
      <w:r>
        <w:rPr>
          <w:rFonts w:ascii="arial" w:eastAsia="arial" w:hAnsi="arial" w:cs="arial"/>
          <w:i/>
          <w:color w:val="000000"/>
          <w:sz w:val="20"/>
          <w:lang w:val="en-US" w:eastAsia="en-US" w:bidi="ar-SA"/>
        </w:rPr>
        <w:t>Sekhon</w:t>
      </w:r>
      <w:r>
        <w:rPr>
          <w:rFonts w:ascii="arial" w:eastAsia="arial" w:hAnsi="arial" w:cs="arial"/>
          <w:color w:val="000000"/>
          <w:sz w:val="20"/>
          <w:lang w:val="en-US" w:eastAsia="en-US" w:bidi="ar-SA"/>
        </w:rPr>
        <w:t xml:space="preserve">, at para. 43).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also underlined the important role of trial judges in assessing whether otherwise admissible expert evidence should be excluded because its probative value was overborne by its prejudicial effect -- a residual discretion to exclude evidence based on a cost-benefit analysis: p. 21. This is the second component, which the subsequent jurisprudence has further emphasized: Lederman, Bryant and Fuerst, at pp. 789-90; </w:t>
      </w:r>
      <w:r>
        <w:rPr>
          <w:rFonts w:ascii="arial" w:eastAsia="arial" w:hAnsi="arial" w:cs="arial"/>
          <w:i/>
          <w:color w:val="000000"/>
          <w:sz w:val="20"/>
          <w:lang w:val="en-US" w:eastAsia="en-US" w:bidi="ar-SA"/>
        </w:rPr>
        <w:t>J.-L.J.,</w:t>
      </w:r>
      <w:r>
        <w:rPr>
          <w:rFonts w:ascii="arial" w:eastAsia="arial" w:hAnsi="arial" w:cs="arial"/>
          <w:color w:val="000000"/>
          <w:sz w:val="20"/>
          <w:lang w:val="en-US" w:eastAsia="en-US" w:bidi="ar-SA"/>
        </w:rPr>
        <w:t xml:space="preserve"> at para. 28.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and the jurisprudence since, however, have not explicitly addressed how this "cost-benefit" component fits into the overall analysis. The reasons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engaged in a cost-benefit analysis with respect to particular elements of the four threshold requirements, but they also noted that the cost-benefit analysis could be an aspect of exercising the overall discretion to exclude evidence whose probative value does not justify its admission in light of its potentially prejudicial effects: p. 21. The jurisprudence since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has also focused on particular aspects of expert opinion evidence, but again without always being explicit about where additional concerns fit into the analysis. The unmistakable overall trend of the jurisprudence, however, has been to tighten the admissibility requirements and to enhance the judge's gatekeeping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The Court outlined a two-step process. In the first step, the proponent of the evidence must establish the four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 xml:space="preserve"> criteria. Expert evidence that does not meet the threshold requirements must be excluded. In the second stage, the trial judge as gatekeeper must balance the potential probative benefits of the evidence against the prejudicial effects to determine whether the potential benefits justify the risks. Once the admissibility criteria are met, the expert's function is to provide the trier of fact with a ready-made inference for the facts to be proven at trial: paras. 23-24.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Justice Cromwell also held that:</w:t>
      </w:r>
      <w:r>
        <w:rPr>
          <w:rFonts w:ascii="arial" w:eastAsia="arial" w:hAnsi="arial" w:cs="arial"/>
          <w:sz w:val="20"/>
          <w:lang w:val="en-US" w:eastAsia="en-US" w:bidi="ar-SA"/>
        </w:rPr>
        <w:cr/>
      </w:r>
    </w:p>
    <w:p>
      <w:pPr>
        <w:numPr>
          <w:numId w:val="1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expert's duty is to the court to provide independent assistance by way of objective unbiased opinion. Within that duty are three related concepts, namely: impartiality, independence and absence of bias: paras. 30, 32;</w:t>
      </w:r>
    </w:p>
    <w:p>
      <w:pPr>
        <w:numPr>
          <w:numId w:val="1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"acid test is whether the expert's opinion would not change regardless of which party retained him or her": para. 32;</w:t>
      </w:r>
    </w:p>
    <w:p>
      <w:pPr>
        <w:numPr>
          <w:numId w:val="1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once the expert attests or testifies that his duty was to the court, the burden is on the party opposing the admission of evidence to show that there was a realistic concern the expert is unable or unwilling to comply with that duty: para. 48; and</w:t>
      </w:r>
    </w:p>
    <w:p>
      <w:pPr>
        <w:numPr>
          <w:numId w:val="1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threshold requirement is not particularly onerous and it would only be in rare circumstances that a proposed expert's evidence would be ruled inadmissible for failing to meet it: para. 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While the formal requirements of Part 11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may only apply to expert evidence at trial, not on interlocutory applications (see </w:t>
      </w:r>
      <w:r>
        <w:rPr>
          <w:rFonts w:ascii="arial" w:eastAsia="arial" w:hAnsi="arial" w:cs="arial"/>
          <w:i/>
          <w:color w:val="000000"/>
          <w:sz w:val="20"/>
          <w:lang w:val="en-US" w:eastAsia="en-US" w:bidi="ar-SA"/>
        </w:rPr>
        <w:t>L.S. v. G.S</w:t>
      </w:r>
      <w:r>
        <w:rPr>
          <w:rFonts w:ascii="arial" w:eastAsia="arial" w:hAnsi="arial" w:cs="arial"/>
          <w:color w:val="000000"/>
          <w:sz w:val="20"/>
          <w:lang w:val="en-US" w:eastAsia="en-US" w:bidi="ar-SA"/>
        </w:rPr>
        <w:t xml:space="preserve">., </w:t>
      </w:r>
      <w:hyperlink r:id="rId157" w:history="1">
        <w:r>
          <w:rPr>
            <w:rFonts w:ascii="arial" w:eastAsia="arial" w:hAnsi="arial" w:cs="arial"/>
            <w:i/>
            <w:color w:val="0077CC"/>
            <w:sz w:val="20"/>
            <w:u w:val="single"/>
            <w:shd w:val="clear" w:color="auto" w:fill="FFFFFF"/>
            <w:lang w:val="en-US" w:eastAsia="en-US" w:bidi="ar-SA"/>
          </w:rPr>
          <w:t>2015 BCSC 377</w:t>
        </w:r>
      </w:hyperlink>
      <w:r>
        <w:rPr>
          <w:rFonts w:ascii="arial" w:eastAsia="arial" w:hAnsi="arial" w:cs="arial"/>
          <w:color w:val="000000"/>
          <w:sz w:val="20"/>
          <w:lang w:val="en-US" w:eastAsia="en-US" w:bidi="ar-SA"/>
        </w:rPr>
        <w:t xml:space="preserve"> at para. 17), it remains a fundamental rule of the common law that no expert opinion evidence can be received in evidence without: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essential components of qualifications, education, experience, information and assumptions on which the opinion is based, the instructions given, and the research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r>
        <w:rPr>
          <w:rFonts w:ascii="arial" w:eastAsia="arial" w:hAnsi="arial" w:cs="arial"/>
          <w:i/>
          <w:color w:val="000000"/>
          <w:sz w:val="20"/>
          <w:lang w:val="en-US" w:eastAsia="en-US" w:bidi="ar-SA"/>
        </w:rPr>
        <w:t>Healey v. Chung</w:t>
      </w:r>
      <w:r>
        <w:rPr>
          <w:rFonts w:ascii="arial" w:eastAsia="arial" w:hAnsi="arial" w:cs="arial"/>
          <w:color w:val="000000"/>
          <w:sz w:val="20"/>
          <w:lang w:val="en-US" w:eastAsia="en-US" w:bidi="ar-SA"/>
        </w:rPr>
        <w:t xml:space="preserve">, </w:t>
      </w:r>
      <w:hyperlink r:id="rId158" w:history="1">
        <w:r>
          <w:rPr>
            <w:rFonts w:ascii="arial" w:eastAsia="arial" w:hAnsi="arial" w:cs="arial"/>
            <w:i/>
            <w:color w:val="0077CC"/>
            <w:sz w:val="20"/>
            <w:u w:val="single"/>
            <w:shd w:val="clear" w:color="auto" w:fill="FFFFFF"/>
            <w:lang w:val="en-US" w:eastAsia="en-US" w:bidi="ar-SA"/>
          </w:rPr>
          <w:t>2015 BCCA 38</w:t>
        </w:r>
      </w:hyperlink>
      <w:r>
        <w:rPr>
          <w:rFonts w:ascii="arial" w:eastAsia="arial" w:hAnsi="arial" w:cs="arial"/>
          <w:color w:val="000000"/>
          <w:sz w:val="20"/>
          <w:lang w:val="en-US" w:eastAsia="en-US" w:bidi="ar-SA"/>
        </w:rPr>
        <w:t xml:space="preserve"> at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R. v. Lavallee</w:t>
      </w:r>
      <w:r>
        <w:rPr>
          <w:rFonts w:ascii="arial" w:eastAsia="arial" w:hAnsi="arial" w:cs="arial"/>
          <w:color w:val="000000"/>
          <w:sz w:val="20"/>
          <w:lang w:val="en-US" w:eastAsia="en-US" w:bidi="ar-SA"/>
        </w:rPr>
        <w:t xml:space="preserve">, </w:t>
      </w:r>
      <w:hyperlink r:id="rId159" w:history="1">
        <w:r>
          <w:rPr>
            <w:rFonts w:ascii="arial" w:eastAsia="arial" w:hAnsi="arial" w:cs="arial"/>
            <w:i/>
            <w:color w:val="0077CC"/>
            <w:sz w:val="20"/>
            <w:u w:val="single"/>
            <w:shd w:val="clear" w:color="auto" w:fill="FFFFFF"/>
            <w:lang w:val="en-US" w:eastAsia="en-US" w:bidi="ar-SA"/>
          </w:rPr>
          <w:t>[1990] 1 S.C.R. 852</w:t>
        </w:r>
      </w:hyperlink>
      <w:r>
        <w:rPr>
          <w:rFonts w:ascii="arial" w:eastAsia="arial" w:hAnsi="arial" w:cs="arial"/>
          <w:color w:val="000000"/>
          <w:sz w:val="20"/>
          <w:lang w:val="en-US" w:eastAsia="en-US" w:bidi="ar-SA"/>
        </w:rPr>
        <w:t xml:space="preserve"> at 893 [</w:t>
      </w:r>
      <w:r>
        <w:rPr>
          <w:rFonts w:ascii="arial" w:eastAsia="arial" w:hAnsi="arial" w:cs="arial"/>
          <w:i/>
          <w:color w:val="000000"/>
          <w:sz w:val="20"/>
          <w:lang w:val="en-US" w:eastAsia="en-US" w:bidi="ar-SA"/>
        </w:rPr>
        <w:t>Lavallee</w:t>
      </w:r>
      <w:r>
        <w:rPr>
          <w:rFonts w:ascii="arial" w:eastAsia="arial" w:hAnsi="arial" w:cs="arial"/>
          <w:color w:val="000000"/>
          <w:sz w:val="20"/>
          <w:lang w:val="en-US" w:eastAsia="en-US" w:bidi="ar-SA"/>
        </w:rPr>
        <w:t>] is authority for the following common law requirements:</w:t>
      </w:r>
      <w:r>
        <w:rPr>
          <w:rFonts w:ascii="arial" w:eastAsia="arial" w:hAnsi="arial" w:cs="arial"/>
          <w:sz w:val="20"/>
          <w:lang w:val="en-US" w:eastAsia="en-US" w:bidi="ar-SA"/>
        </w:rPr>
        <w:cr/>
      </w:r>
    </w:p>
    <w:p>
      <w:pPr>
        <w:numPr>
          <w:numId w:val="1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expert opinion is admissible if relevant, even if based on second-hand evidence;</w:t>
      </w:r>
    </w:p>
    <w:p>
      <w:pPr>
        <w:numPr>
          <w:numId w:val="1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second-hand evidence (hearsay) is admissible to show the information on which the expert opinion is based, not as evidence going to the existence of the facts on which the opinion is based;</w:t>
      </w:r>
    </w:p>
    <w:p>
      <w:pPr>
        <w:numPr>
          <w:numId w:val="1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expert evidence is comprised of hearsay evidence, the problem is the weight to be attributed to the opinion; and</w:t>
      </w:r>
    </w:p>
    <w:p>
      <w:pPr>
        <w:numPr>
          <w:numId w:val="2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any weight can be given to an expert's opinion, the facts upon which the opinion is based must be found to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The Court of Appeal addressed the issue this way in </w:t>
      </w:r>
      <w:r>
        <w:rPr>
          <w:rFonts w:ascii="arial" w:eastAsia="arial" w:hAnsi="arial" w:cs="arial"/>
          <w:i/>
          <w:color w:val="000000"/>
          <w:sz w:val="20"/>
          <w:lang w:val="en-US" w:eastAsia="en-US" w:bidi="ar-SA"/>
        </w:rPr>
        <w:t>Jones v Zimmer GMBH</w:t>
      </w:r>
      <w:r>
        <w:rPr>
          <w:rFonts w:ascii="arial" w:eastAsia="arial" w:hAnsi="arial" w:cs="arial"/>
          <w:color w:val="000000"/>
          <w:sz w:val="20"/>
          <w:lang w:val="en-US" w:eastAsia="en-US" w:bidi="ar-SA"/>
        </w:rPr>
        <w:t xml:space="preserve">, </w:t>
      </w:r>
      <w:hyperlink r:id="rId160" w:history="1">
        <w:r>
          <w:rPr>
            <w:rFonts w:ascii="arial" w:eastAsia="arial" w:hAnsi="arial" w:cs="arial"/>
            <w:i/>
            <w:color w:val="0077CC"/>
            <w:sz w:val="20"/>
            <w:u w:val="single"/>
            <w:shd w:val="clear" w:color="auto" w:fill="FFFFFF"/>
            <w:lang w:val="en-US" w:eastAsia="en-US" w:bidi="ar-SA"/>
          </w:rPr>
          <w:t>2013 BCCA 21</w:t>
        </w:r>
      </w:hyperlink>
      <w:r>
        <w:rPr>
          <w:rFonts w:ascii="arial" w:eastAsia="arial" w:hAnsi="arial" w:cs="arial"/>
          <w:color w:val="000000"/>
          <w:sz w:val="20"/>
          <w:lang w:val="en-US" w:eastAsia="en-US" w:bidi="ar-SA"/>
        </w:rPr>
        <w:t xml:space="preserve"> at para. 50: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Experts must as a matter of practical necessity rely on second-hand source material for their opinions. Proponents of expert opinions cannot be expected to prove independently the truth of what the experts were taught by others during their education, training, and experience or the truth of second-hand information of a type customarily and reasonably relied upon by experts in the field. Accordingly, the degree to which an expert opinion is based on hearsay evidence is a matter to be considered in assessing the weight to be given the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When I apply these principles to Mr. Connell's reports, I conclude that they contain certain deficiencies, including:</w:t>
      </w:r>
      <w:r>
        <w:rPr>
          <w:rFonts w:ascii="arial" w:eastAsia="arial" w:hAnsi="arial" w:cs="arial"/>
          <w:sz w:val="20"/>
          <w:lang w:val="en-US" w:eastAsia="en-US" w:bidi="ar-SA"/>
        </w:rPr>
        <w:cr/>
      </w:r>
    </w:p>
    <w:p>
      <w:pPr>
        <w:numPr>
          <w:numId w:val="2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dismissal of the DIS report which is based, at best, on a superficial analysis of its conclusions;</w:t>
      </w:r>
    </w:p>
    <w:p>
      <w:pPr>
        <w:numPr>
          <w:numId w:val="2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purporting to make findings of fact, an example being the statement that "interviews with refugees confirmed that these practices continued unabated";</w:t>
      </w:r>
    </w:p>
    <w:p>
      <w:pPr>
        <w:numPr>
          <w:numId w:val="2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commenting on the credibility of anonymous refugees when he states "there was little possibility that answers had been coached or prepared"; and</w:t>
      </w:r>
    </w:p>
    <w:p>
      <w:pPr>
        <w:numPr>
          <w:numId w:val="2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problematic at times to differentiate between his "concerns" regarding the human rights situation in Eritrea and his opinions although one is likely largely synonymous with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There are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Notwithstanding these deficiencies, I have concluded that the Connell reports should be admitted into evidence for a limited purpose being to describe "social" or "historical" facts which are of assistance to the Court in giving context to the first-hand evidence of the plaintiffs' affiants and opinions arising therefrom. My reasons include:</w:t>
      </w:r>
      <w:r>
        <w:rPr>
          <w:rFonts w:ascii="arial" w:eastAsia="arial" w:hAnsi="arial" w:cs="arial"/>
          <w:sz w:val="20"/>
          <w:lang w:val="en-US" w:eastAsia="en-US" w:bidi="ar-SA"/>
        </w:rPr>
        <w:cr/>
      </w:r>
    </w:p>
    <w:p>
      <w:pPr>
        <w:numPr>
          <w:numId w:val="2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Mr. Connell has the necessary qualifications to provide opinion evidence. He has also provided an attestation recognizing and accepting that his primary duty is to the court;</w:t>
      </w:r>
    </w:p>
    <w:p>
      <w:pPr>
        <w:numPr>
          <w:numId w:val="2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do not accept Nevsun's argument that this is one of those "rare circumstances" that the opinion evidence is inadmissible at the first stage of the White </w:t>
      </w:r>
      <w:r>
        <w:rPr>
          <w:rFonts w:ascii="arial" w:eastAsia="arial" w:hAnsi="arial" w:cs="arial"/>
          <w:i/>
          <w:color w:val="000000"/>
          <w:sz w:val="20"/>
          <w:lang w:val="en-US" w:eastAsia="en-US" w:bidi="ar-SA"/>
        </w:rPr>
        <w:t>Burgess</w:t>
      </w:r>
      <w:r>
        <w:rPr>
          <w:rFonts w:ascii="arial" w:eastAsia="arial" w:hAnsi="arial" w:cs="arial"/>
          <w:color w:val="000000"/>
          <w:sz w:val="20"/>
          <w:lang w:val="en-US" w:eastAsia="en-US" w:bidi="ar-SA"/>
        </w:rPr>
        <w:t xml:space="preserve"> analytical framework. Mr. Connell explains in his second report the context of a speech he made in May 2013 that included comments regarding the exertion of pressure on foreign mining interests to cause regime change in Eritrea;</w:t>
      </w:r>
    </w:p>
    <w:p>
      <w:pPr>
        <w:numPr>
          <w:numId w:val="2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Nevsun must establish that there is a "realistic concern" that Mr. Connell's evidence should not be received because he is unable and/or unwilling to comply with his duty to the court. It has not done so. Anything less than clear unwillingness or inability to provide the court with fair, objective and non-partisan evidence should not lead to exclusion, but be taken into account in the overall weighing of the costs and benefits of receiving the evidence at the second stage of the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 xml:space="preserve"> framework;</w:t>
      </w:r>
    </w:p>
    <w:p>
      <w:pPr>
        <w:numPr>
          <w:numId w:val="2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accept that the opinions are the result of independent judgment and that they do not unfairly favour the plaintiffs' position in the litigation over that of Nevsun. I am satisfied that Mr. Connell's opinions would not change regardless of which party had retained him;</w:t>
      </w:r>
    </w:p>
    <w:p>
      <w:pPr>
        <w:numPr>
          <w:numId w:val="2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unlike in </w:t>
      </w:r>
      <w:r>
        <w:rPr>
          <w:rFonts w:ascii="arial" w:eastAsia="arial" w:hAnsi="arial" w:cs="arial"/>
          <w:i/>
          <w:color w:val="000000"/>
          <w:sz w:val="20"/>
          <w:lang w:val="en-US" w:eastAsia="en-US" w:bidi="ar-SA"/>
        </w:rPr>
        <w:t>Churchill Falls,</w:t>
      </w:r>
      <w:r>
        <w:rPr>
          <w:rFonts w:ascii="arial" w:eastAsia="arial" w:hAnsi="arial" w:cs="arial"/>
          <w:color w:val="000000"/>
          <w:sz w:val="20"/>
          <w:lang w:val="en-US" w:eastAsia="en-US" w:bidi="ar-SA"/>
        </w:rPr>
        <w:t xml:space="preserve"> Mr. Connell is not providing a historical narrative or acting as an "intermediary", synthesizing source materials into a historical narrative. He has provided his own assessment based substantially on his own work that includes researching the history and politics of Eritrea;</w:t>
      </w:r>
    </w:p>
    <w:p>
      <w:pPr>
        <w:numPr>
          <w:numId w:val="2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secondary reports to which Mr. Connell refers are the type of research found to be acceptable in an expert's methodology in formulating his/her opinion. Experts are expected to identify the research they conducted or relied on in formulating their opinion. The fact that the research itself may consist of studies or reports potentially containing hearsay or unattributed hearsay does not render the expert's opinion inadmissible. That is an issue to be explored on cross examination, the results of which may or may not affect the weight the court gives to the opinion; and</w:t>
      </w:r>
    </w:p>
    <w:p>
      <w:pPr>
        <w:numPr>
          <w:numId w:val="2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these preliminary applications, Nevsun chose not to cross examine Mr. Connell on his reports. Had it done so, it may have been better placed to impugn his research and/or methodology.</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E: The Evidence of the Former Judges and Lawyers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The plaintiffs rely on affidavits from former Eritrean judges and lawyers who give evidence about interference in the Eritrean justice system: Yonas Gebreselassie, Biniam Ghebremichael, Abdalla Khiyar, Tsegazghi Tesfaldet, Isaias Tesfalidet, and Kifleyonhanes Teweldebrhan Yeibio. I have referred to portions of their evidence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Nevsun's position with respect to the admissibility of this evidence includes the assertion that this evidence:</w:t>
      </w:r>
      <w:r>
        <w:rPr>
          <w:rFonts w:ascii="arial" w:eastAsia="arial" w:hAnsi="arial" w:cs="arial"/>
          <w:sz w:val="20"/>
          <w:lang w:val="en-US" w:eastAsia="en-US" w:bidi="ar-SA"/>
        </w:rPr>
        <w:cr/>
      </w:r>
    </w:p>
    <w:p>
      <w:pPr>
        <w:numPr>
          <w:numId w:val="2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non-compliant with the requirements for the admissibility of expert evidence, specifically, the former judges and lawyers are neither qualified nor objective and they do not disclose counsel's instructions nor provide answers to those instructions;</w:t>
      </w:r>
    </w:p>
    <w:p>
      <w:pPr>
        <w:numPr>
          <w:numId w:val="2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contains impermissible hearsay and argument;</w:t>
      </w:r>
    </w:p>
    <w:p>
      <w:pPr>
        <w:numPr>
          <w:numId w:val="2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generalized and anecdotal; and</w:t>
      </w:r>
    </w:p>
    <w:p>
      <w:pPr>
        <w:numPr>
          <w:numId w:val="2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of limited relevance.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The plaintiffs' position with respect to the admissibility of this evidence includes the following assertions:</w:t>
      </w:r>
      <w:r>
        <w:rPr>
          <w:rFonts w:ascii="arial" w:eastAsia="arial" w:hAnsi="arial" w:cs="arial"/>
          <w:sz w:val="20"/>
          <w:lang w:val="en-US" w:eastAsia="en-US" w:bidi="ar-SA"/>
        </w:rPr>
        <w:cr/>
      </w:r>
    </w:p>
    <w:p>
      <w:pPr>
        <w:numPr>
          <w:numId w:val="2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technical non-compliance with Part 11 of the Rules, to the extent they apply on interlocutory applications, should not defeat the interests of justice; in any event Messrs. Ghebremichael, Gebresslassie and Tesfalidet have provided attestations accepting their duty to the court;</w:t>
      </w:r>
    </w:p>
    <w:p>
      <w:pPr>
        <w:numPr>
          <w:numId w:val="2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meets the common law requirements for the admissibility of expert evidence;</w:t>
      </w:r>
    </w:p>
    <w:p>
      <w:pPr>
        <w:numPr>
          <w:numId w:val="2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has not provided any basis on which to conclude that the affidavits are in fact biased; and</w:t>
      </w:r>
    </w:p>
    <w:p>
      <w:pPr>
        <w:numPr>
          <w:numId w:val="2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hybrid in nature in that it contains both first hand facts and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xml:space="preserve">  The plaintiffs are correct as to the dual nature of this evidence. To the extent that it is based on the personal observations and experiences of the affiant, it is properly admissible. In that regard, I do not consider the term "anecdotal" in the sense it was used in </w:t>
      </w:r>
      <w:r>
        <w:rPr>
          <w:rFonts w:ascii="arial" w:eastAsia="arial" w:hAnsi="arial" w:cs="arial"/>
          <w:i/>
          <w:color w:val="000000"/>
          <w:sz w:val="20"/>
          <w:lang w:val="en-US" w:eastAsia="en-US" w:bidi="ar-SA"/>
        </w:rPr>
        <w:t>R. v. Sekhon</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2014 SCC 15</w:t>
        </w:r>
      </w:hyperlink>
      <w:r>
        <w:rPr>
          <w:rFonts w:ascii="arial" w:eastAsia="arial" w:hAnsi="arial" w:cs="arial"/>
          <w:color w:val="000000"/>
          <w:sz w:val="20"/>
          <w:lang w:val="en-US" w:eastAsia="en-US" w:bidi="ar-SA"/>
        </w:rPr>
        <w:t>, that is of the "never" or "always" kind to be accurate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also conclude that to the extent the affidavits of the former judges and lawyers contain opinions, the affidavits can be admitted into evidence even if certain of them do not contain the attestation required by Rule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I accept the plaintiffs' submission that the evidence provided by the former Eritrean judges and lawyers meets the common law requirements for the admissibility of expert evidence set out in </w:t>
      </w:r>
      <w:r>
        <w:rPr>
          <w:rFonts w:ascii="arial" w:eastAsia="arial" w:hAnsi="arial" w:cs="arial"/>
          <w:i/>
          <w:color w:val="000000"/>
          <w:sz w:val="20"/>
          <w:lang w:val="en-US" w:eastAsia="en-US" w:bidi="ar-SA"/>
        </w:rPr>
        <w:t>Mohan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relevant to an issue in dispute, namely, whether Eritrea is a clearly more appropriate forum for the resolution of the plaintiffs' claims;</w:t>
      </w:r>
    </w:p>
    <w:p>
      <w:pPr>
        <w:numPr>
          <w:numId w:val="2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opinions are necessary in assisting the Court to appreciate the facts and form a correct judgment on the evidence, including:</w:t>
      </w:r>
    </w:p>
    <w:p>
      <w:pPr>
        <w:numPr>
          <w:numId w:val="2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executive interference with the judiciary is sufficiently widespread that there is a real risk of the plaintiffs not obtaining a fair trial in Eritrea. Nevsun's expert, Prof. Andemariam, refers to executive interference in his evidence and this, together with the direct evidence of the former judges and lawyers, provides a factual matrix from which it could be concluded that executive interference with the judiciary is not geographically constrained nor constrained to a particular court; and</w:t>
      </w:r>
    </w:p>
    <w:p>
      <w:pPr>
        <w:numPr>
          <w:numId w:val="2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executive interference in judicial function has taken different forms, ranging from suggestions of desired outcomes in cases all the way to violence and imprisonment of judges;</w:t>
      </w:r>
    </w:p>
    <w:p>
      <w:pPr>
        <w:numPr>
          <w:numId w:val="2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not excluded under another rule of evidence; and</w:t>
      </w:r>
    </w:p>
    <w:p>
      <w:pPr>
        <w:numPr>
          <w:numId w:val="2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is given by properly qualified experts, that is individuals who by their experience have acquired a special or peculiar knowledge of the subject upon which they are giving evidence. This special knowledge was acquired through personal experience with interference and intimidation in the performance of their respective professions. They have knowledge or experience outside that of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As was the case with the evidence of Mr. Connell, I do not need to consider the entirety of the evidence of the former judges and lawyers to have the proper evidentiary foundation for analysing the issues. The evidence I have considered is contained in Part III above.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 The IRB Decisions and the Subcommittee Transcripts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The plaintiffs rely on IRB decisions appended as exhibits to the affidavit of Mr. Jared Will, an immigration lawyer who practices in Toronto.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These are 14 redacted decisions on applications for refugee status made by Eritrean nationals. None involved the plaintiffs or putative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plaintiffs submit that they rely on these decisions primarily for purposes other than the truth of their contents. Accordingly, they are not hearsay. They argue that at a minimum, the decisions are admissible for the fact the IRB reached the conclusions 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They also submit that the IRB maintains a central repository of relevant documents for each country of origin referred to as the National Documentation Package (the "NDP"). The NDP is updated at regular intervals, and each document is screened by a panel of experts for reliability. Many of the reports relied on by the plaintiffs are, or have been, included in the IRB's NDP for Eritrea. They say that the IRB has a highly specialized expertise in making the kinds of factual determinations at issue on these applications. Accordingly, they invite the Court to find the IRB decisions reliable and to accept as reliable the documents that are or have been contained in the IRB's NDP.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I accept Nevsun's argument that the IRB decisions should not be admitted into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selected decisions do not appear to be a random or statistically valid sample of the "well over one hundred" cases involving Eritrean refugee claimants that Mr. Will's firm has worked on over the past two years, not all of which have been successful.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Furthermore, the standard applied by the IRB in reaching its decisions is that "[t]he affirmed testimony of refugee claimants is presumed to be true unless it is internally inconsistent, inherently implausible or contradicted by documentary evidence on country conditions". That is not the standard of proof in this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In any event, as stated in </w:t>
      </w:r>
      <w:r>
        <w:rPr>
          <w:rFonts w:ascii="arial" w:eastAsia="arial" w:hAnsi="arial" w:cs="arial"/>
          <w:i/>
          <w:color w:val="000000"/>
          <w:sz w:val="20"/>
          <w:lang w:val="en-US" w:eastAsia="en-US" w:bidi="ar-SA"/>
        </w:rPr>
        <w:t>Dhillon v. Dhillon</w:t>
      </w:r>
      <w:r>
        <w:rPr>
          <w:rFonts w:ascii="arial" w:eastAsia="arial" w:hAnsi="arial" w:cs="arial"/>
          <w:color w:val="000000"/>
          <w:sz w:val="20"/>
          <w:lang w:val="en-US" w:eastAsia="en-US" w:bidi="ar-SA"/>
        </w:rPr>
        <w:t xml:space="preserve">, </w:t>
      </w:r>
      <w:hyperlink r:id="rId162" w:history="1">
        <w:r>
          <w:rPr>
            <w:rFonts w:ascii="arial" w:eastAsia="arial" w:hAnsi="arial" w:cs="arial"/>
            <w:i/>
            <w:color w:val="0077CC"/>
            <w:sz w:val="20"/>
            <w:u w:val="single"/>
            <w:shd w:val="clear" w:color="auto" w:fill="FFFFFF"/>
            <w:lang w:val="en-US" w:eastAsia="en-US" w:bidi="ar-SA"/>
          </w:rPr>
          <w:t>2006 BCCA 524</w:t>
        </w:r>
      </w:hyperlink>
      <w:r>
        <w:rPr>
          <w:rFonts w:ascii="arial" w:eastAsia="arial" w:hAnsi="arial" w:cs="arial"/>
          <w:color w:val="000000"/>
          <w:sz w:val="20"/>
          <w:lang w:val="en-US" w:eastAsia="en-US" w:bidi="ar-SA"/>
        </w:rPr>
        <w:t xml:space="preserve"> at paras. 56-61 by Thackray J.A. (Finch C.J.B.C. concurring), the reasons for judgment in one case are not admissible in evidence and have no probative value in other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Nevsun also objects to the admissibility of the transcripts from the House of Commons Subcommittee on International Human Rights of the Standing Committee on Foreign Affairs and International Development, from November 1, 2012, June 5, 2014, and March 12, 2015, all of which relate to hearings on human rights issues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The plaintiffs' position is that the Subcommittee transcripts are admissible as direct evidence of the views of the Canadian government. They are also admissible for the truth of their contents as an exception to the hearsay rule on the basis that they are both necessary and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 disagree. If the plaintiffs wished to lead the evidence of the Canadian Government on this issue, there are other ways this could have been accomplished including obtaining evidence directly from an authorized representative. I need not consider whether that evidence would have been admissible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I will consider the testimony of Mr. Lipsett, Mr. Romaine and Mr. Davis on the limited basis set out above. Although Nevsun objected to the admissibility of the transcripts, I am assisted by their testimony in the sense that it gives a broader context to the evidence of Nevsun's affidavits and Nevsun's objections to the secondary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Miscellaneous Objections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Nevsun objects to the admissibility of the report of Dr. Donald Payne, a Toronto psychiatrist, who in his affidavit, states that he has "been retained by the plaintiffs...to provide an opinion on the psychological and other barriers, if any, that members of the Claimant group may face in returning to Eritrea to seek access to justice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preparing his report, Dr. Payne considered various secondary materials, including a Human Rights Watch report. He also acknowledges he has: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not had the opportunity to examine the individuals in question, but based on the allegations in the NOCC and the facts provided regarding the claimants identified as B and F, including the severe and prolonged nature of their abuse, it would be expected that they would have PTSD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Dr. Payne opines that the matters he has considered would "act as a strong barrier preventing [B &amp; F] from returning to Eritrea to seek access to justice there".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In their submissions, the parties focussed on whether the fact Dr. Payne had not examined the claimants rendered the report inadmissible or went to the weight of the opinions expressed.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There are different views on this issue in this Court which I need not consider.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One of the prerequisites to expert evidence being admissible is that it will assist the trier of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will not be assisted by this report and it is not admitted into evidence. Common sense would suggest that certain psychological consequences would result if:</w:t>
      </w:r>
      <w:r>
        <w:rPr>
          <w:rFonts w:ascii="arial" w:eastAsia="arial" w:hAnsi="arial" w:cs="arial"/>
          <w:sz w:val="20"/>
          <w:lang w:val="en-US" w:eastAsia="en-US" w:bidi="ar-SA"/>
        </w:rPr>
        <w:cr/>
      </w:r>
    </w:p>
    <w:p>
      <w:pPr>
        <w:numPr>
          <w:numId w:val="2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the plaintiffs say is true as to what occurred at the Bisha Mine and the circumstances under which they fled Eritrea; and</w:t>
      </w:r>
    </w:p>
    <w:p>
      <w:pPr>
        <w:numPr>
          <w:numId w:val="2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face the consequences to which I refer in my decision on the Forum Application, in the event they be required to return to Eritrea to proceed with their claims against Nevsun.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Nevsun objects to the admissibility of five affidavits translated by Elisabeth Chyrum, an advocate for Eritrean human rights. It also objects to certain exhibits appended to two affidavits which are not in English and are without translation.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Nevsun argues that Ms Chyrum's precise involvement with the plaintiffs and their counsel team is unclear. It appears she may have been involved in bringing one or more of the plaintiffs to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Nevsun relies on </w:t>
      </w:r>
      <w:r>
        <w:rPr>
          <w:rFonts w:ascii="arial" w:eastAsia="arial" w:hAnsi="arial" w:cs="arial"/>
          <w:i/>
          <w:color w:val="000000"/>
          <w:sz w:val="20"/>
          <w:lang w:val="en-US" w:eastAsia="en-US" w:bidi="ar-SA"/>
        </w:rPr>
        <w:t>Luu v. Wang,</w:t>
      </w:r>
      <w:r>
        <w:rPr>
          <w:rFonts w:ascii="arial" w:eastAsia="arial" w:hAnsi="arial" w:cs="arial"/>
          <w:color w:val="000000"/>
          <w:sz w:val="20"/>
          <w:lang w:val="en-US" w:eastAsia="en-US" w:bidi="ar-SA"/>
        </w:rPr>
        <w:t xml:space="preserve"> </w:t>
      </w:r>
      <w:hyperlink r:id="rId163" w:history="1">
        <w:r>
          <w:rPr>
            <w:rFonts w:ascii="arial" w:eastAsia="arial" w:hAnsi="arial" w:cs="arial"/>
            <w:i/>
            <w:color w:val="0077CC"/>
            <w:sz w:val="20"/>
            <w:u w:val="single"/>
            <w:shd w:val="clear" w:color="auto" w:fill="FFFFFF"/>
            <w:lang w:val="en-US" w:eastAsia="en-US" w:bidi="ar-SA"/>
          </w:rPr>
          <w:t>2011 BCSC 1201</w:t>
        </w:r>
      </w:hyperlink>
      <w:r>
        <w:rPr>
          <w:rFonts w:ascii="arial" w:eastAsia="arial" w:hAnsi="arial" w:cs="arial"/>
          <w:color w:val="000000"/>
          <w:sz w:val="20"/>
          <w:lang w:val="en-US" w:eastAsia="en-US" w:bidi="ar-SA"/>
        </w:rPr>
        <w:t xml:space="preserve"> at paras. 13-16 for the proposition that where there are legitimate reasons to doubt the objectivity and impartiality of an interpreter, an interpreted affidavit will be inadmissible.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But at paragraphs 15 and 16 of </w:t>
      </w:r>
      <w:r>
        <w:rPr>
          <w:rFonts w:ascii="arial" w:eastAsia="arial" w:hAnsi="arial" w:cs="arial"/>
          <w:i/>
          <w:color w:val="000000"/>
          <w:sz w:val="20"/>
          <w:lang w:val="en-US" w:eastAsia="en-US" w:bidi="ar-SA"/>
        </w:rPr>
        <w:t>Luu</w:t>
      </w:r>
      <w:r>
        <w:rPr>
          <w:rFonts w:ascii="arial" w:eastAsia="arial" w:hAnsi="arial" w:cs="arial"/>
          <w:color w:val="000000"/>
          <w:sz w:val="20"/>
          <w:lang w:val="en-US" w:eastAsia="en-US" w:bidi="ar-SA"/>
        </w:rPr>
        <w:t>, Burnyeat J. stated: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Where, like here, </w:t>
      </w:r>
      <w:r>
        <w:rPr>
          <w:rFonts w:ascii="arial" w:eastAsia="arial" w:hAnsi="arial" w:cs="arial"/>
          <w:color w:val="000000"/>
          <w:sz w:val="20"/>
          <w:u w:val="single"/>
          <w:lang w:val="en-US" w:eastAsia="en-US" w:bidi="ar-SA"/>
        </w:rPr>
        <w:t>a reasonable doubt has been raised about the interpretation,</w:t>
      </w:r>
      <w:r>
        <w:rPr>
          <w:rFonts w:ascii="arial" w:eastAsia="arial" w:hAnsi="arial" w:cs="arial"/>
          <w:color w:val="000000"/>
          <w:sz w:val="20"/>
          <w:lang w:val="en-US" w:eastAsia="en-US" w:bidi="ar-SA"/>
        </w:rPr>
        <w:t xml:space="preserve"> the Court is in a position to conduct an inquiry into the qualifications of the interpreter or to set into motion a new interpretation which complies with the qualifications that should be expected of all interpreters.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[16] Here, there are legitimate reasons to doubt the objectivity of the interpreter. In the circumstances, I am satisfied that the Plaintiff has raised sufficient doubt regarding the competency and neutrality of the interpreter that it is appropriate to require a new affidavit from Songbai Zou</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There is nothing before the Court which raises a reasonable doubt regarding the translations of the affidavits in question. That Ms. Chyrum's advocacy for regime change in Eritrea may have affected the objectivity and partiality of her translations is purely speculation.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Accordingly, the affidavits are admitted into evidence in accordance with my other rulings on the Evidence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I agree with Nevsun that the untranslated exhibits cannot be received into evidence: </w:t>
      </w:r>
      <w:r>
        <w:rPr>
          <w:rFonts w:ascii="arial" w:eastAsia="arial" w:hAnsi="arial" w:cs="arial"/>
          <w:i/>
          <w:color w:val="000000"/>
          <w:sz w:val="20"/>
          <w:lang w:val="en-US" w:eastAsia="en-US" w:bidi="ar-SA"/>
        </w:rPr>
        <w:t>Conseil scolaire francophone de la Colombie-Britannique v. British Columbia,</w:t>
      </w:r>
      <w:r>
        <w:rPr>
          <w:rFonts w:ascii="arial" w:eastAsia="arial" w:hAnsi="arial" w:cs="arial"/>
          <w:color w:val="000000"/>
          <w:sz w:val="20"/>
          <w:lang w:val="en-US" w:eastAsia="en-US" w:bidi="ar-SA"/>
        </w:rPr>
        <w:t xml:space="preserve"> </w:t>
      </w:r>
      <w:hyperlink r:id="rId164" w:history="1">
        <w:r>
          <w:rPr>
            <w:rFonts w:ascii="arial" w:eastAsia="arial" w:hAnsi="arial" w:cs="arial"/>
            <w:i/>
            <w:color w:val="0077CC"/>
            <w:sz w:val="20"/>
            <w:u w:val="single"/>
            <w:shd w:val="clear" w:color="auto" w:fill="FFFFFF"/>
            <w:lang w:val="en-US" w:eastAsia="en-US" w:bidi="ar-SA"/>
          </w:rPr>
          <w:t>2013 SCC 42</w:t>
        </w:r>
      </w:hyperlink>
      <w:r>
        <w:rPr>
          <w:rFonts w:ascii="arial" w:eastAsia="arial" w:hAnsi="arial" w:cs="arial"/>
          <w:color w:val="000000"/>
          <w:sz w:val="20"/>
          <w:lang w:val="en-US" w:eastAsia="en-US" w:bidi="ar-SA"/>
        </w:rPr>
        <w:t xml:space="preserve"> at paras.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Nevsun also submits that four affidavits delivered in late November and early December 2015 should not be admitted into evidence since they were not served in accordance with what it describes as "the parties' ambitious schedule for these motions". One of those affidavits contained Mr. Connell's second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disagree. While the parties are to be complimented on the manner in which they worked collaboratively to have these preliminary applications heard, the substantive issues are such that it would be prejudicial in the extreme to the plaintiffs if these affidavits were not received into evidence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This proceeding had been under judicial case management for some time as at late November 2015 with the applications set to be heard commencing January 5, 2016 for four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One of the benefits of case management is that the Court may be in a better position to attempt to accommodate the parties if situations such as what happened here, occurs.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fact, at the request of the parties, the hearing of the last of the preliminary applications was adjourned for several weeks when the plaintiffs delivered a revised litigation plan.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have little if any doubt that a similar accommodation could have been arranged had Nevsun sought an adjournment of the preliminary applications on the basis that it had been prejudiced by the timing of the delivery of these affidavits.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H:</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In arriving at my decisions on the many issues raised on the Evidence Application, I have been guided primarily by two principles:</w:t>
      </w:r>
      <w:r>
        <w:rPr>
          <w:rFonts w:ascii="arial" w:eastAsia="arial" w:hAnsi="arial" w:cs="arial"/>
          <w:sz w:val="20"/>
          <w:lang w:val="en-US" w:eastAsia="en-US" w:bidi="ar-SA"/>
        </w:rPr>
        <w:cr/>
      </w:r>
    </w:p>
    <w:p>
      <w:pPr>
        <w:numPr>
          <w:numId w:val="2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flexible adaptation of the rules of evidence to the particular circumstances of this case in accordance with </w:t>
      </w:r>
      <w:r>
        <w:rPr>
          <w:rFonts w:ascii="arial" w:eastAsia="arial" w:hAnsi="arial" w:cs="arial"/>
          <w:i/>
          <w:color w:val="000000"/>
          <w:sz w:val="20"/>
          <w:lang w:val="en-US" w:eastAsia="en-US" w:bidi="ar-SA"/>
        </w:rPr>
        <w:t>Mitchell v. CPR</w:t>
      </w:r>
      <w:r>
        <w:rPr>
          <w:rFonts w:ascii="arial" w:eastAsia="arial" w:hAnsi="arial" w:cs="arial"/>
          <w:color w:val="000000"/>
          <w:sz w:val="20"/>
          <w:lang w:val="en-US" w:eastAsia="en-US" w:bidi="ar-SA"/>
        </w:rPr>
        <w:t xml:space="preserve"> above; and</w:t>
      </w:r>
    </w:p>
    <w:p>
      <w:pPr>
        <w:numPr>
          <w:numId w:val="2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importance of the cost/benefit analysis and the Court's role as gatekeeper as articulated in </w:t>
      </w:r>
      <w:r>
        <w:rPr>
          <w:rFonts w:ascii="arial" w:eastAsia="arial" w:hAnsi="arial" w:cs="arial"/>
          <w:i/>
          <w:color w:val="000000"/>
          <w:sz w:val="20"/>
          <w:lang w:val="en-US" w:eastAsia="en-US" w:bidi="ar-SA"/>
        </w:rPr>
        <w:t>White Burgess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846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w:t>
            </w:r>
          </w:p>
        </w:tc>
        <w:tc>
          <w:tcPr>
            <w:tcW w:w="82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FORUM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This Court has presumptive jurisdiction over this proceeding since Nevsun is a British Columbia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Nevsun applies pursuant to R. 21-8(2) and s.11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for a stay of proceedings on the basis that the courts of the State of Eritrea are a more appropriate forum for the proceeding. The object of the s. 11 inquiry is "to ensure, if possible, that the action is tried in the jurisdiction that has the closest connection with the action and the parties". Nevsun asserts that jurisdiction is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The plaintiffs oppose the application. They say that Nevsun is seeking to avoid all judicial scrutiny of its conduct by having this case transferred to the very country which they assert violated their human rights and caused them significant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Legal Framework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Section 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outlines how the court may exercise its discretion with respect to territorial competence and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(1) After considering the interests of the parties to a proceeding and the ends of justice, a court may decline to exercise its territorial competence in the proceeding on the ground that a court of another state is a more appropriate forum in which to hear the proceeding.</w:t>
      </w:r>
    </w:p>
    <w:p>
      <w:pPr>
        <w:numPr>
          <w:numId w:val="2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court, in deciding the question of whether it or a court outside British Columbia is the more appropriate forum in which to hear a proceeding, must consider the circumstances relevant to the proceeding, including</w:t>
      </w:r>
    </w:p>
    <w:p>
      <w:pPr>
        <w:numPr>
          <w:numId w:val="2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to the proceeding and for their witnesses, in litigating in the court or in any alternative forum,</w:t>
      </w:r>
    </w:p>
    <w:p>
      <w:pPr>
        <w:numPr>
          <w:numId w:val="2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 to be applied to issues in the proceeding,</w:t>
      </w:r>
    </w:p>
    <w:p>
      <w:pPr>
        <w:numPr>
          <w:numId w:val="2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multiplicity of legal proceedings,</w:t>
      </w:r>
    </w:p>
    <w:p>
      <w:pPr>
        <w:numPr>
          <w:numId w:val="2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of avoiding conflicting decisions in different courts,</w:t>
      </w:r>
    </w:p>
    <w:p>
      <w:pPr>
        <w:numPr>
          <w:numId w:val="2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enforcement of an eventual judgment, and</w:t>
      </w:r>
    </w:p>
    <w:p>
      <w:pPr>
        <w:numPr>
          <w:numId w:val="2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Garcia v. Tahoe Resources Inc.,</w:t>
      </w:r>
      <w:r>
        <w:rPr>
          <w:rFonts w:ascii="arial" w:eastAsia="arial" w:hAnsi="arial" w:cs="arial"/>
          <w:color w:val="000000"/>
          <w:sz w:val="20"/>
          <w:lang w:val="en-US" w:eastAsia="en-US" w:bidi="ar-SA"/>
        </w:rPr>
        <w:t xml:space="preserve"> </w:t>
      </w:r>
      <w:hyperlink r:id="rId165" w:history="1">
        <w:r>
          <w:rPr>
            <w:rFonts w:ascii="arial" w:eastAsia="arial" w:hAnsi="arial" w:cs="arial"/>
            <w:i/>
            <w:color w:val="0077CC"/>
            <w:sz w:val="20"/>
            <w:u w:val="single"/>
            <w:shd w:val="clear" w:color="auto" w:fill="FFFFFF"/>
            <w:lang w:val="en-US" w:eastAsia="en-US" w:bidi="ar-SA"/>
          </w:rPr>
          <w:t>2015 BCSC 2045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Justice Gerow summarized certain applicable principles: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The factors set out in s. 11(2)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are not exhaustive: </w:t>
      </w:r>
      <w:r>
        <w:rPr>
          <w:rFonts w:ascii="arial" w:eastAsia="arial" w:hAnsi="arial" w:cs="arial"/>
          <w:i/>
          <w:color w:val="000000"/>
          <w:sz w:val="20"/>
          <w:lang w:val="en-US" w:eastAsia="en-US" w:bidi="ar-SA"/>
        </w:rPr>
        <w:t>Laxton v. Anstalt</w:t>
      </w:r>
      <w:r>
        <w:rPr>
          <w:rFonts w:ascii="arial" w:eastAsia="arial" w:hAnsi="arial" w:cs="arial"/>
          <w:color w:val="000000"/>
          <w:sz w:val="20"/>
          <w:lang w:val="en-US" w:eastAsia="en-US" w:bidi="ar-SA"/>
        </w:rPr>
        <w:t xml:space="preserve">, </w:t>
      </w:r>
      <w:hyperlink r:id="rId166" w:history="1">
        <w:r>
          <w:rPr>
            <w:rFonts w:ascii="arial" w:eastAsia="arial" w:hAnsi="arial" w:cs="arial"/>
            <w:i/>
            <w:color w:val="0077CC"/>
            <w:sz w:val="20"/>
            <w:u w:val="single"/>
            <w:shd w:val="clear" w:color="auto" w:fill="FFFFFF"/>
            <w:lang w:val="en-US" w:eastAsia="en-US" w:bidi="ar-SA"/>
          </w:rPr>
          <w:t>2011 BCCA 212</w:t>
        </w:r>
      </w:hyperlink>
      <w:r>
        <w:rPr>
          <w:rFonts w:ascii="arial" w:eastAsia="arial" w:hAnsi="arial" w:cs="arial"/>
          <w:color w:val="000000"/>
          <w:sz w:val="20"/>
          <w:lang w:val="en-US" w:eastAsia="en-US" w:bidi="ar-SA"/>
        </w:rPr>
        <w:t xml:space="preserve">, at para. 44. In </w:t>
      </w:r>
      <w:r>
        <w:rPr>
          <w:rFonts w:ascii="arial" w:eastAsia="arial" w:hAnsi="arial" w:cs="arial"/>
          <w:i/>
          <w:color w:val="000000"/>
          <w:sz w:val="20"/>
          <w:lang w:val="en-US" w:eastAsia="en-US" w:bidi="ar-SA"/>
        </w:rPr>
        <w:t>Huang v. Silvercorp Metal Inc.</w:t>
      </w:r>
      <w:r>
        <w:rPr>
          <w:rFonts w:ascii="arial" w:eastAsia="arial" w:hAnsi="arial" w:cs="arial"/>
          <w:color w:val="000000"/>
          <w:sz w:val="20"/>
          <w:lang w:val="en-US" w:eastAsia="en-US" w:bidi="ar-SA"/>
        </w:rPr>
        <w:t xml:space="preserve">, </w:t>
      </w:r>
      <w:hyperlink r:id="rId167" w:history="1">
        <w:r>
          <w:rPr>
            <w:rFonts w:ascii="arial" w:eastAsia="arial" w:hAnsi="arial" w:cs="arial"/>
            <w:i/>
            <w:color w:val="0077CC"/>
            <w:sz w:val="20"/>
            <w:u w:val="single"/>
            <w:shd w:val="clear" w:color="auto" w:fill="FFFFFF"/>
            <w:lang w:val="en-US" w:eastAsia="en-US" w:bidi="ar-SA"/>
          </w:rPr>
          <w:t>2015 BCSC 549</w:t>
        </w:r>
      </w:hyperlink>
      <w:r>
        <w:rPr>
          <w:rFonts w:ascii="arial" w:eastAsia="arial" w:hAnsi="arial" w:cs="arial"/>
          <w:color w:val="000000"/>
          <w:sz w:val="20"/>
          <w:lang w:val="en-US" w:eastAsia="en-US" w:bidi="ar-SA"/>
        </w:rPr>
        <w:t xml:space="preserve"> at para. 33, discussed the additional factors set out in </w:t>
      </w:r>
      <w:r>
        <w:rPr>
          <w:rFonts w:ascii="arial" w:eastAsia="arial" w:hAnsi="arial" w:cs="arial"/>
          <w:i/>
          <w:color w:val="000000"/>
          <w:sz w:val="20"/>
          <w:lang w:val="en-US" w:eastAsia="en-US" w:bidi="ar-SA"/>
        </w:rPr>
        <w:t>Spar Aerospace Ltd. v. American Mobile Satellite Corp.</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2002 SCC 78</w:t>
        </w:r>
      </w:hyperlink>
      <w:r>
        <w:rPr>
          <w:rFonts w:ascii="arial" w:eastAsia="arial" w:hAnsi="arial" w:cs="arial"/>
          <w:color w:val="000000"/>
          <w:sz w:val="20"/>
          <w:lang w:val="en-US" w:eastAsia="en-US" w:bidi="ar-SA"/>
        </w:rPr>
        <w:t>, which include:</w:t>
      </w:r>
    </w:p>
    <w:p>
      <w:pPr>
        <w:numPr>
          <w:numId w:val="2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residence of the parties, witnesses, and experts;</w:t>
      </w:r>
    </w:p>
    <w:p>
      <w:pPr>
        <w:numPr>
          <w:numId w:val="2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material evidence;</w:t>
      </w:r>
    </w:p>
    <w:p>
      <w:pPr>
        <w:numPr>
          <w:numId w:val="2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place where the contract was negotiated and executed;</w:t>
      </w:r>
    </w:p>
    <w:p>
      <w:pPr>
        <w:numPr>
          <w:numId w:val="2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proceedings pending between the parties in another jurisdiction;</w:t>
      </w:r>
    </w:p>
    <w:p>
      <w:pPr>
        <w:numPr>
          <w:numId w:val="2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defendant's assets;</w:t>
      </w:r>
    </w:p>
    <w:p>
      <w:pPr>
        <w:numPr>
          <w:numId w:val="2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applicable law;</w:t>
      </w:r>
    </w:p>
    <w:p>
      <w:pPr>
        <w:numPr>
          <w:numId w:val="2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advantages conferred on the plaintiff by its choice of forum, if any;</w:t>
      </w:r>
    </w:p>
    <w:p>
      <w:pPr>
        <w:numPr>
          <w:numId w:val="2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justice; and</w:t>
      </w:r>
    </w:p>
    <w:p>
      <w:pPr>
        <w:numPr>
          <w:numId w:val="2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interests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The weight to be attributed to the various factors is a matter of discretion. The analysis does not require that all the factors point to a single forum or involve a simple numerical tallying up of the relevant factors. However, it does require that one forum ultimately emerge as </w:t>
      </w:r>
      <w:r>
        <w:rPr>
          <w:rFonts w:ascii="arial" w:eastAsia="arial" w:hAnsi="arial" w:cs="arial"/>
          <w:i/>
          <w:color w:val="000000"/>
          <w:sz w:val="20"/>
          <w:lang w:val="en-US" w:eastAsia="en-US" w:bidi="ar-SA"/>
        </w:rPr>
        <w:t>clearly</w:t>
      </w:r>
      <w:r>
        <w:rPr>
          <w:rFonts w:ascii="arial" w:eastAsia="arial" w:hAnsi="arial" w:cs="arial"/>
          <w:color w:val="000000"/>
          <w:sz w:val="20"/>
          <w:lang w:val="en-US" w:eastAsia="en-US" w:bidi="ar-SA"/>
        </w:rPr>
        <w:t xml:space="preserve"> more appropriate: </w:t>
      </w:r>
      <w:r>
        <w:rPr>
          <w:rFonts w:ascii="arial" w:eastAsia="arial" w:hAnsi="arial" w:cs="arial"/>
          <w:i/>
          <w:color w:val="000000"/>
          <w:sz w:val="20"/>
          <w:lang w:val="en-US" w:eastAsia="en-US" w:bidi="ar-SA"/>
        </w:rPr>
        <w:t>Breeden v. Black,</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2012 SCC 19</w:t>
        </w:r>
      </w:hyperlink>
      <w:r>
        <w:rPr>
          <w:rFonts w:ascii="arial" w:eastAsia="arial" w:hAnsi="arial" w:cs="arial"/>
          <w:color w:val="000000"/>
          <w:sz w:val="20"/>
          <w:lang w:val="en-US" w:eastAsia="en-US" w:bidi="ar-SA"/>
        </w:rPr>
        <w:t xml:space="preserve"> at para. 37.</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w:t>
      </w:r>
      <w:r>
        <w:rPr>
          <w:rFonts w:ascii="arial" w:eastAsia="arial" w:hAnsi="arial" w:cs="arial"/>
          <w:color w:val="000000"/>
          <w:sz w:val="20"/>
          <w:u w:val="single"/>
          <w:lang w:val="en-US" w:eastAsia="en-US" w:bidi="ar-SA"/>
        </w:rPr>
        <w:t>The defendant must establish an alternate forum is clearly more appropriate and should be preferred.</w:t>
      </w:r>
      <w:r>
        <w:rPr>
          <w:rFonts w:ascii="arial" w:eastAsia="arial" w:hAnsi="arial" w:cs="arial"/>
          <w:color w:val="000000"/>
          <w:sz w:val="20"/>
          <w:lang w:val="en-US" w:eastAsia="en-US" w:bidi="ar-SA"/>
        </w:rPr>
        <w:t xml:space="preserve"> As stated in </w:t>
      </w:r>
      <w:r>
        <w:rPr>
          <w:rFonts w:ascii="arial" w:eastAsia="arial" w:hAnsi="arial" w:cs="arial"/>
          <w:i/>
          <w:color w:val="000000"/>
          <w:sz w:val="20"/>
          <w:lang w:val="en-US" w:eastAsia="en-US" w:bidi="ar-SA"/>
        </w:rPr>
        <w:t>Club Resorts Ltd. v. Van Breda</w:t>
      </w:r>
      <w:r>
        <w:rPr>
          <w:rFonts w:ascii="arial" w:eastAsia="arial" w:hAnsi="arial" w:cs="arial"/>
          <w:color w:val="000000"/>
          <w:sz w:val="20"/>
          <w:lang w:val="en-US" w:eastAsia="en-US" w:bidi="ar-SA"/>
        </w:rPr>
        <w:t xml:space="preserve">, </w:t>
      </w:r>
      <w:hyperlink r:id="rId170" w:history="1">
        <w:r>
          <w:rPr>
            <w:rFonts w:ascii="arial" w:eastAsia="arial" w:hAnsi="arial" w:cs="arial"/>
            <w:i/>
            <w:color w:val="0077CC"/>
            <w:sz w:val="20"/>
            <w:u w:val="single"/>
            <w:shd w:val="clear" w:color="auto" w:fill="FFFFFF"/>
            <w:lang w:val="en-US" w:eastAsia="en-US" w:bidi="ar-SA"/>
          </w:rPr>
          <w:t>2012 SCC 17</w:t>
        </w:r>
      </w:hyperlink>
      <w:r>
        <w:rPr>
          <w:rFonts w:ascii="arial" w:eastAsia="arial" w:hAnsi="arial" w:cs="arial"/>
          <w:color w:val="000000"/>
          <w:sz w:val="20"/>
          <w:lang w:val="en-US" w:eastAsia="en-US" w:bidi="ar-SA"/>
        </w:rPr>
        <w:t xml:space="preserve"> at para. 103: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103 If a defendant raises an issue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the burden is on him or her to show why the court should decline to exercise its jurisdiction and displace the forum chosen by the plaintiff. The defendant must identify another forum that has an appropriate connection under the conflicts rules and that should be allowed to dispose of the action. The defendant must show, using the same analytical approach the court followed to establish the existence of a real and substantial connection with the local forum, what connections this alternative forum has with the subject matter of the litigation. Finally, the party asking for a stay on the basis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must demonstrate why the proposed alternative forum should be preferred and considered to be more appropriate.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w:t>
      </w:r>
      <w:r>
        <w:rPr>
          <w:rFonts w:ascii="arial" w:eastAsia="arial" w:hAnsi="arial" w:cs="arial"/>
          <w:color w:val="000000"/>
          <w:sz w:val="20"/>
          <w:u w:val="single"/>
          <w:lang w:val="en-US" w:eastAsia="en-US" w:bidi="ar-SA"/>
        </w:rPr>
        <w:t xml:space="preserve">The objective of the court in deciding a </w:t>
      </w:r>
      <w:r>
        <w:rPr>
          <w:rFonts w:ascii="arial" w:eastAsia="arial" w:hAnsi="arial" w:cs="arial"/>
          <w:i/>
          <w:color w:val="000000"/>
          <w:sz w:val="20"/>
          <w:u w:val="single"/>
          <w:lang w:val="en-US" w:eastAsia="en-US" w:bidi="ar-SA"/>
        </w:rPr>
        <w:t>forum non conveniens</w:t>
      </w:r>
      <w:r>
        <w:rPr>
          <w:rFonts w:ascii="arial" w:eastAsia="arial" w:hAnsi="arial" w:cs="arial"/>
          <w:color w:val="000000"/>
          <w:sz w:val="20"/>
          <w:u w:val="single"/>
          <w:lang w:val="en-US" w:eastAsia="en-US" w:bidi="ar-SA"/>
        </w:rPr>
        <w:t xml:space="preserve"> application is to ensure fairness to the parties and a more efficient resolution of their dispute.</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the Court stated at paras.108-110: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108 Regarding the burden imposed on a party asking for a stay on the basis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the courts have held that the party must show that the alternative forum is clearly more appropriate. The expression "clearly more appropriate" is well established. It was used in </w:t>
      </w:r>
      <w:r>
        <w:rPr>
          <w:rFonts w:ascii="arial" w:eastAsia="arial" w:hAnsi="arial" w:cs="arial"/>
          <w:i/>
          <w:color w:val="000000"/>
          <w:sz w:val="20"/>
          <w:lang w:val="en-US" w:eastAsia="en-US" w:bidi="ar-SA"/>
        </w:rPr>
        <w:t>Spiliada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Amchem</w:t>
      </w:r>
      <w:r>
        <w:rPr>
          <w:rFonts w:ascii="arial" w:eastAsia="arial" w:hAnsi="arial" w:cs="arial"/>
          <w:color w:val="000000"/>
          <w:sz w:val="20"/>
          <w:lang w:val="en-US" w:eastAsia="en-US" w:bidi="ar-SA"/>
        </w:rPr>
        <w:t xml:space="preserve"> </w:t>
      </w:r>
      <w:hyperlink r:id="rId171" w:history="1">
        <w:r>
          <w:rPr>
            <w:rFonts w:ascii="arial" w:eastAsia="arial" w:hAnsi="arial" w:cs="arial"/>
            <w:i/>
            <w:color w:val="0077CC"/>
            <w:sz w:val="20"/>
            <w:u w:val="single"/>
            <w:shd w:val="clear" w:color="auto" w:fill="FFFFFF"/>
            <w:lang w:val="en-US" w:eastAsia="en-US" w:bidi="ar-SA"/>
          </w:rPr>
          <w:t>[1993] 1 S.C.R. 897</w:t>
        </w:r>
      </w:hyperlink>
      <w:r>
        <w:rPr>
          <w:rFonts w:ascii="arial" w:eastAsia="arial" w:hAnsi="arial" w:cs="arial"/>
          <w:color w:val="000000"/>
          <w:sz w:val="20"/>
          <w:lang w:val="en-US" w:eastAsia="en-US" w:bidi="ar-SA"/>
        </w:rPr>
        <w:t xml:space="preserve"> . On the other hand, it has not always been used consistently and does not appear in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or any of the statutes based on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which simply require that the party moving for a stay establish that there is a "more appropriate forum" elsewhere. Nor is this expression found in art. 3135 of the </w:t>
      </w:r>
      <w:r>
        <w:rPr>
          <w:rFonts w:ascii="arial" w:eastAsia="arial" w:hAnsi="arial" w:cs="arial"/>
          <w:i/>
          <w:color w:val="000000"/>
          <w:sz w:val="20"/>
          <w:lang w:val="en-US" w:eastAsia="en-US" w:bidi="ar-SA"/>
        </w:rPr>
        <w:t>Civil Code of Québec</w:t>
      </w:r>
      <w:r>
        <w:rPr>
          <w:rFonts w:ascii="arial" w:eastAsia="arial" w:hAnsi="arial" w:cs="arial"/>
          <w:color w:val="000000"/>
          <w:sz w:val="20"/>
          <w:lang w:val="en-US" w:eastAsia="en-US" w:bidi="ar-SA"/>
        </w:rPr>
        <w:t>, which refers instead to the exceptional nature of the power conferred on a Quebec authority to decline jurisdiction: "... it may exceptionally and on an application by a party, decline jurisdiction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u w:val="single"/>
          <w:lang w:val="en-US" w:eastAsia="en-US" w:bidi="ar-SA"/>
        </w:rPr>
        <w:t>109 The use of the words "clearly" and "exceptionally" should be interpreted as an acknowledgment that the normal state of affairs is that jurisdiction should be exercised once it is properly assumed. The burden is on a party who seeks to depart from this normal state of affairs to show that, in light of the characteristics of the alternative forum, it would be fairer and more efficient to do so and that the plaintiff should be denied the benefits of his or her decision to select a forum that is appropriate under the conflicts rules.</w:t>
      </w:r>
      <w:r>
        <w:rPr>
          <w:rFonts w:ascii="arial" w:eastAsia="arial" w:hAnsi="arial" w:cs="arial"/>
          <w:color w:val="000000"/>
          <w:sz w:val="20"/>
          <w:lang w:val="en-US" w:eastAsia="en-US" w:bidi="ar-SA"/>
        </w:rPr>
        <w:t xml:space="preserve"> The court should not exercise its discretion in favour of a stay solely because it finds, once all relevant concerns and factors are weighed, that comparable forums exist in other provinces or states. It is not a matter of flipping a coin. A court hearing an application for a stay of proceedings must find that a forum exists that is in a better position to dispose fairly and efficiently of the litigation. But the court must be mindful that jurisdiction may sometimes be established on a rather low threshold under the conflicts rules.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may play an important role in identifying a forum that is clearly more appropriate for disposing of the litigation and thus ensuring fairness to the parties and a more efficient process for resolving their dispute.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110 As I mentioned above, the factors that a court may consider in deciding whether to apply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may vary depending on the context and might include the locations of parties and witnesses, the cost of transferring the case to another jurisdiction or of declining the stay, the impact of a transfer on the conduct of the litigation or on related or parallel proceedings, the possibility of conflicting judgments, problems related to the recognition and enforcement of judgments, and the relative strengths of the connections of the two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These "factors are simply a more detailed articulation of the criteria set out in s.11(2)" and "[t]he only inquiry mandated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a consideration of the enumerated factors in s.11(2)": </w:t>
      </w:r>
      <w:r>
        <w:rPr>
          <w:rFonts w:ascii="arial" w:eastAsia="arial" w:hAnsi="arial" w:cs="arial"/>
          <w:i/>
          <w:color w:val="000000"/>
          <w:sz w:val="20"/>
          <w:lang w:val="en-US" w:eastAsia="en-US" w:bidi="ar-SA"/>
        </w:rPr>
        <w:t>JTG Management Service Ltd v. Bank of Nanjing Co. Ltd.</w:t>
      </w:r>
      <w:r>
        <w:rPr>
          <w:rFonts w:ascii="arial" w:eastAsia="arial" w:hAnsi="arial" w:cs="arial"/>
          <w:color w:val="000000"/>
          <w:sz w:val="20"/>
          <w:lang w:val="en-US" w:eastAsia="en-US" w:bidi="ar-SA"/>
        </w:rPr>
        <w:t xml:space="preserve">, </w:t>
      </w:r>
      <w:hyperlink r:id="rId172" w:history="1">
        <w:r>
          <w:rPr>
            <w:rFonts w:ascii="arial" w:eastAsia="arial" w:hAnsi="arial" w:cs="arial"/>
            <w:i/>
            <w:color w:val="0077CC"/>
            <w:sz w:val="20"/>
            <w:u w:val="single"/>
            <w:shd w:val="clear" w:color="auto" w:fill="FFFFFF"/>
            <w:lang w:val="en-US" w:eastAsia="en-US" w:bidi="ar-SA"/>
          </w:rPr>
          <w:t>2015 BCCA 200</w:t>
        </w:r>
      </w:hyperlink>
      <w:r>
        <w:rPr>
          <w:rFonts w:ascii="arial" w:eastAsia="arial" w:hAnsi="arial" w:cs="arial"/>
          <w:color w:val="000000"/>
          <w:sz w:val="20"/>
          <w:lang w:val="en-US" w:eastAsia="en-US" w:bidi="ar-SA"/>
        </w:rPr>
        <w:t xml:space="preserve"> at para. 23 [</w:t>
      </w:r>
      <w:r>
        <w:rPr>
          <w:rFonts w:ascii="arial" w:eastAsia="arial" w:hAnsi="arial" w:cs="arial"/>
          <w:i/>
          <w:color w:val="000000"/>
          <w:sz w:val="20"/>
          <w:lang w:val="en-US" w:eastAsia="en-US" w:bidi="ar-SA"/>
        </w:rPr>
        <w:t>JTG Management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As Nevsun outlines in its written submissions:</w:t>
      </w:r>
      <w:r>
        <w:rPr>
          <w:rFonts w:ascii="arial" w:eastAsia="arial" w:hAnsi="arial" w:cs="arial"/>
          <w:sz w:val="20"/>
          <w:lang w:val="en-US" w:eastAsia="en-US" w:bidi="ar-SA"/>
        </w:rPr>
        <w:cr/>
      </w:r>
    </w:p>
    <w:p>
      <w:pPr>
        <w:numPr>
          <w:numId w:val="2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exercising its s. 11 discretion, if the court has regard to considerations of juridical advantage, it must do so within appropriate limits. The Supreme Court of Canada has cautioned that "an emphasis on juridical advantage may be inconsistent with the principles of comity" and may erroneously lead courts to view difference or disadvantage "as a sign of inferiority". Juridical advantage also balances out, since a juridical advantage to one party to proceeding in a forum is a corresponding juridical disadvantage to the other. Indeed, "simply to give the plaintiff his advantage at the expense of the defendant is not consistent with the objective approach" to conflicts rules, or indeed, to order, fairness and the actual language of s. 11. "[I]t is in the interests of both that the case should be tried in the best way and in the best tribunal, and that the best man should win". It follows that juridical advantage should "not weigh too heavily" in the forum analysis: </w:t>
      </w:r>
      <w:r>
        <w:rPr>
          <w:rFonts w:ascii="arial" w:eastAsia="arial" w:hAnsi="arial" w:cs="arial"/>
          <w:i/>
          <w:color w:val="000000"/>
          <w:sz w:val="20"/>
          <w:lang w:val="en-US" w:eastAsia="en-US" w:bidi="ar-SA"/>
        </w:rPr>
        <w:t>Breeden v. Black,</w:t>
      </w:r>
      <w:r>
        <w:rPr>
          <w:rFonts w:ascii="arial" w:eastAsia="arial" w:hAnsi="arial" w:cs="arial"/>
          <w:color w:val="000000"/>
          <w:sz w:val="20"/>
          <w:lang w:val="en-US" w:eastAsia="en-US" w:bidi="ar-SA"/>
        </w:rPr>
        <w:t xml:space="preserve"> </w:t>
      </w:r>
      <w:hyperlink r:id="rId169" w:history="1">
        <w:r>
          <w:rPr>
            <w:rFonts w:ascii="arial" w:eastAsia="arial" w:hAnsi="arial" w:cs="arial"/>
            <w:i/>
            <w:color w:val="0077CC"/>
            <w:sz w:val="20"/>
            <w:u w:val="single"/>
            <w:shd w:val="clear" w:color="auto" w:fill="FFFFFF"/>
            <w:lang w:val="en-US" w:eastAsia="en-US" w:bidi="ar-SA"/>
          </w:rPr>
          <w:t>2012 SCC 19</w:t>
        </w:r>
      </w:hyperlink>
      <w:r>
        <w:rPr>
          <w:rFonts w:ascii="arial" w:eastAsia="arial" w:hAnsi="arial" w:cs="arial"/>
          <w:color w:val="000000"/>
          <w:sz w:val="20"/>
          <w:lang w:val="en-US" w:eastAsia="en-US" w:bidi="ar-SA"/>
        </w:rPr>
        <w:t xml:space="preserve"> at paras. 26-27 [Breeden];</w:t>
      </w:r>
    </w:p>
    <w:p>
      <w:pPr>
        <w:numPr>
          <w:numId w:val="2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seeking a stay under s. 11 bears the burden of demonstrating that an alternative forum is a "more appropriate forum in which to hear the proceeding". The central consideration is whether the alternative forum is "in a better position to dispose fairly and efficiently of the litigation". At the same time, the discretion to decline to exercise territorial competence serves as an "important" counterweight to the liberal standard for assuming territorial competence: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But the court must be mindful that jurisdiction may sometimes be established on a rather low threshold under the conflicts rules.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may play an important role in identifying a forum that is clearly more appropriate for disposing of the litigation and thus ensuring fairness to the parties and a more efficient process for resolving their dispute.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[Club Resorts Ltd.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Van Breda, </w:t>
      </w:r>
      <w:hyperlink r:id="rId170" w:history="1">
        <w:r>
          <w:rPr>
            <w:rFonts w:ascii="arial" w:eastAsia="arial" w:hAnsi="arial" w:cs="arial"/>
            <w:i/>
            <w:color w:val="0077CC"/>
            <w:sz w:val="20"/>
            <w:u w:val="single"/>
            <w:shd w:val="clear" w:color="auto" w:fill="FFFFFF"/>
            <w:lang w:val="en-US" w:eastAsia="en-US" w:bidi="ar-SA"/>
          </w:rPr>
          <w:t>2012 SCC 17</w:t>
        </w:r>
      </w:hyperlink>
      <w:r>
        <w:rPr>
          <w:rFonts w:ascii="arial" w:eastAsia="arial" w:hAnsi="arial" w:cs="arial"/>
          <w:color w:val="000000"/>
          <w:sz w:val="20"/>
          <w:lang w:val="en-US" w:eastAsia="en-US" w:bidi="ar-SA"/>
        </w:rPr>
        <w:t xml:space="preserve"> at para. 109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w:t>
      </w:r>
    </w:p>
    <w:p>
      <w:pPr>
        <w:numPr>
          <w:numId w:val="2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has been held that "a court will generally be reluctant to stay proceedings without some evidence that the proposed alternate forum will have territorial competence". This concern can also be addressed by the agreement of the party seeking the stay to attorn to the alternate forum, as a term of the order: Douez v. Facebook, Inc., </w:t>
      </w:r>
      <w:hyperlink r:id="rId173" w:history="1">
        <w:r>
          <w:rPr>
            <w:rFonts w:ascii="arial" w:eastAsia="arial" w:hAnsi="arial" w:cs="arial"/>
            <w:i/>
            <w:color w:val="0077CC"/>
            <w:sz w:val="20"/>
            <w:u w:val="single"/>
            <w:shd w:val="clear" w:color="auto" w:fill="FFFFFF"/>
            <w:lang w:val="en-US" w:eastAsia="en-US" w:bidi="ar-SA"/>
          </w:rPr>
          <w:t>2015 BCCA 279</w:t>
        </w:r>
      </w:hyperlink>
      <w:r>
        <w:rPr>
          <w:rFonts w:ascii="arial" w:eastAsia="arial" w:hAnsi="arial" w:cs="arial"/>
          <w:color w:val="000000"/>
          <w:sz w:val="20"/>
          <w:lang w:val="en-US" w:eastAsia="en-US" w:bidi="ar-SA"/>
        </w:rPr>
        <w:t xml:space="preserve"> at para. 38, leave to appeal to the SCC granted </w:t>
      </w:r>
      <w:hyperlink r:id="rId174" w:history="1">
        <w:r>
          <w:rPr>
            <w:rFonts w:ascii="arial" w:eastAsia="arial" w:hAnsi="arial" w:cs="arial"/>
            <w:i/>
            <w:color w:val="0077CC"/>
            <w:sz w:val="20"/>
            <w:u w:val="single"/>
            <w:shd w:val="clear" w:color="auto" w:fill="FFFFFF"/>
            <w:lang w:val="en-US" w:eastAsia="en-US" w:bidi="ar-SA"/>
          </w:rPr>
          <w:t>2016 CanLII 12162</w:t>
        </w:r>
      </w:hyperlink>
      <w:r>
        <w:rPr>
          <w:rFonts w:ascii="arial" w:eastAsia="arial" w:hAnsi="arial" w:cs="arial"/>
          <w:color w:val="000000"/>
          <w:sz w:val="20"/>
          <w:lang w:val="en-US" w:eastAsia="en-US" w:bidi="ar-SA"/>
        </w:rPr>
        <w:t xml:space="preserve">, citing Lubbe </w:t>
      </w:r>
      <w:r>
        <w:rPr>
          <w:rFonts w:ascii="arial" w:eastAsia="arial" w:hAnsi="arial" w:cs="arial"/>
          <w:i/>
          <w:color w:val="000000"/>
          <w:sz w:val="20"/>
          <w:lang w:val="en-US" w:eastAsia="en-US" w:bidi="ar-SA"/>
        </w:rPr>
        <w:t>v.</w:t>
      </w:r>
      <w:r>
        <w:rPr>
          <w:rFonts w:ascii="arial" w:eastAsia="arial" w:hAnsi="arial" w:cs="arial"/>
          <w:color w:val="000000"/>
          <w:sz w:val="20"/>
          <w:lang w:val="en-US" w:eastAsia="en-US" w:bidi="ar-SA"/>
        </w:rPr>
        <w:t xml:space="preserve"> Cape Plc, [2000] UKHL 41 at para. 50;</w:t>
      </w:r>
    </w:p>
    <w:p>
      <w:pPr>
        <w:numPr>
          <w:numId w:val="2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 forum challenge under s. 11, the court makes a global assessment of relevant considerations: Breeden at para. 37. The relevance and weight given to individual factors will vary depending on the context and "the actual circumstances of the parties":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at para. 104. The "doctrine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focuses on the contexts of individual cases":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at para. 105. The exercise of the court's discretion must be guided by "the mandates of order and fairness, not a mechanical counting of contacts or connections": </w:t>
      </w:r>
      <w:r>
        <w:rPr>
          <w:rFonts w:ascii="arial" w:eastAsia="arial" w:hAnsi="arial" w:cs="arial"/>
          <w:i/>
          <w:color w:val="000000"/>
          <w:sz w:val="20"/>
          <w:lang w:val="en-US" w:eastAsia="en-US" w:bidi="ar-SA"/>
        </w:rPr>
        <w:t>Young v. Tyco International of Canada Ltd.,</w:t>
      </w:r>
      <w:r>
        <w:rPr>
          <w:rFonts w:ascii="arial" w:eastAsia="arial" w:hAnsi="arial" w:cs="arial"/>
          <w:color w:val="000000"/>
          <w:sz w:val="20"/>
          <w:lang w:val="en-US" w:eastAsia="en-US" w:bidi="ar-SA"/>
        </w:rPr>
        <w:t xml:space="preserve"> </w:t>
      </w:r>
      <w:hyperlink r:id="rId175" w:history="1">
        <w:r>
          <w:rPr>
            <w:rFonts w:ascii="arial" w:eastAsia="arial" w:hAnsi="arial" w:cs="arial"/>
            <w:i/>
            <w:color w:val="0077CC"/>
            <w:sz w:val="20"/>
            <w:u w:val="single"/>
            <w:shd w:val="clear" w:color="auto" w:fill="FFFFFF"/>
            <w:lang w:val="en-US" w:eastAsia="en-US" w:bidi="ar-SA"/>
          </w:rPr>
          <w:t>2008 ONCA 709</w:t>
        </w:r>
      </w:hyperlink>
      <w:r>
        <w:rPr>
          <w:rFonts w:ascii="arial" w:eastAsia="arial" w:hAnsi="arial" w:cs="arial"/>
          <w:color w:val="000000"/>
          <w:sz w:val="20"/>
          <w:lang w:val="en-US" w:eastAsia="en-US" w:bidi="ar-SA"/>
        </w:rPr>
        <w:t xml:space="preserve"> at para. 30, citing </w:t>
      </w:r>
      <w:r>
        <w:rPr>
          <w:rFonts w:ascii="arial" w:eastAsia="arial" w:hAnsi="arial" w:cs="arial"/>
          <w:i/>
          <w:color w:val="000000"/>
          <w:sz w:val="20"/>
          <w:lang w:val="en-US" w:eastAsia="en-US" w:bidi="ar-SA"/>
        </w:rPr>
        <w:t>Hunt v. T&amp;N plc,</w:t>
      </w:r>
      <w:r>
        <w:rPr>
          <w:rFonts w:ascii="arial" w:eastAsia="arial" w:hAnsi="arial" w:cs="arial"/>
          <w:color w:val="000000"/>
          <w:sz w:val="20"/>
          <w:lang w:val="en-US" w:eastAsia="en-US" w:bidi="ar-SA"/>
        </w:rPr>
        <w:t xml:space="preserve"> </w:t>
      </w:r>
      <w:hyperlink r:id="rId176" w:history="1">
        <w:r>
          <w:rPr>
            <w:rFonts w:ascii="arial" w:eastAsia="arial" w:hAnsi="arial" w:cs="arial"/>
            <w:i/>
            <w:color w:val="0077CC"/>
            <w:sz w:val="20"/>
            <w:u w:val="single"/>
            <w:shd w:val="clear" w:color="auto" w:fill="FFFFFF"/>
            <w:lang w:val="en-US" w:eastAsia="en-US" w:bidi="ar-SA"/>
          </w:rPr>
          <w:t>[1993] 4 S.C.R. 289</w:t>
        </w:r>
      </w:hyperlink>
      <w:r>
        <w:rPr>
          <w:rFonts w:ascii="arial" w:eastAsia="arial" w:hAnsi="arial" w:cs="arial"/>
          <w:color w:val="000000"/>
          <w:sz w:val="20"/>
          <w:lang w:val="en-US" w:eastAsia="en-US" w:bidi="ar-SA"/>
        </w:rPr>
        <w:t xml:space="preserve">. Ultimately, what is sought is a case-specific determination, the purpose of which is "to ensure that both parties are treated fairly and that the process for resolving their litigation is efficient":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at para. 105;</w:t>
      </w:r>
    </w:p>
    <w:p>
      <w:pPr>
        <w:numPr>
          <w:numId w:val="2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objective of the s. 11 analysis is "to ensure, if possible, that the action is tried in the jurisdiction that has the closest connection with the action and the parties": </w:t>
      </w:r>
      <w:r>
        <w:rPr>
          <w:rFonts w:ascii="arial" w:eastAsia="arial" w:hAnsi="arial" w:cs="arial"/>
          <w:i/>
          <w:color w:val="000000"/>
          <w:sz w:val="20"/>
          <w:lang w:val="en-US" w:eastAsia="en-US" w:bidi="ar-SA"/>
        </w:rPr>
        <w:t>Teck Cominco Metals Ltd. v. Lloyd's Underwriters,</w:t>
      </w:r>
      <w:r>
        <w:rPr>
          <w:rFonts w:ascii="arial" w:eastAsia="arial" w:hAnsi="arial" w:cs="arial"/>
          <w:color w:val="000000"/>
          <w:sz w:val="20"/>
          <w:lang w:val="en-US" w:eastAsia="en-US" w:bidi="ar-SA"/>
        </w:rPr>
        <w:t xml:space="preserve"> </w:t>
      </w:r>
      <w:hyperlink r:id="rId177" w:history="1">
        <w:r>
          <w:rPr>
            <w:rFonts w:ascii="arial" w:eastAsia="arial" w:hAnsi="arial" w:cs="arial"/>
            <w:i/>
            <w:color w:val="0077CC"/>
            <w:sz w:val="20"/>
            <w:u w:val="single"/>
            <w:shd w:val="clear" w:color="auto" w:fill="FFFFFF"/>
            <w:lang w:val="en-US" w:eastAsia="en-US" w:bidi="ar-SA"/>
          </w:rPr>
          <w:t>2009 SCC 11</w:t>
        </w:r>
      </w:hyperlink>
      <w:r>
        <w:rPr>
          <w:rFonts w:ascii="arial" w:eastAsia="arial" w:hAnsi="arial" w:cs="arial"/>
          <w:color w:val="000000"/>
          <w:sz w:val="20"/>
          <w:lang w:val="en-US" w:eastAsia="en-US" w:bidi="ar-SA"/>
        </w:rPr>
        <w:t xml:space="preserve"> at para. 38; and</w:t>
      </w:r>
    </w:p>
    <w:p>
      <w:pPr>
        <w:numPr>
          <w:numId w:val="2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order and fairness are the "twin objectives" of the "doctrine of international comity": </w:t>
      </w:r>
      <w:r>
        <w:rPr>
          <w:rFonts w:ascii="arial" w:eastAsia="arial" w:hAnsi="arial" w:cs="arial"/>
          <w:i/>
          <w:color w:val="000000"/>
          <w:sz w:val="20"/>
          <w:lang w:val="en-US" w:eastAsia="en-US" w:bidi="ar-SA"/>
        </w:rPr>
        <w:t>Spar Aerospace Ltd. v. American Mobile Satellite Corp.,</w:t>
      </w:r>
      <w:r>
        <w:rPr>
          <w:rFonts w:ascii="arial" w:eastAsia="arial" w:hAnsi="arial" w:cs="arial"/>
          <w:color w:val="000000"/>
          <w:sz w:val="20"/>
          <w:lang w:val="en-US" w:eastAsia="en-US" w:bidi="ar-SA"/>
        </w:rPr>
        <w:t xml:space="preserve"> </w:t>
      </w:r>
      <w:hyperlink r:id="rId168" w:history="1">
        <w:r>
          <w:rPr>
            <w:rFonts w:ascii="arial" w:eastAsia="arial" w:hAnsi="arial" w:cs="arial"/>
            <w:i/>
            <w:color w:val="0077CC"/>
            <w:sz w:val="20"/>
            <w:u w:val="single"/>
            <w:shd w:val="clear" w:color="auto" w:fill="FFFFFF"/>
            <w:lang w:val="en-US" w:eastAsia="en-US" w:bidi="ar-SA"/>
          </w:rPr>
          <w:t>2002 SCC 78</w:t>
        </w:r>
      </w:hyperlink>
      <w:r>
        <w:rPr>
          <w:rFonts w:ascii="arial" w:eastAsia="arial" w:hAnsi="arial" w:cs="arial"/>
          <w:color w:val="000000"/>
          <w:sz w:val="20"/>
          <w:lang w:val="en-US" w:eastAsia="en-US" w:bidi="ar-SA"/>
        </w:rPr>
        <w:t xml:space="preserve"> at para. 20. International comity, in turn, is one of the "key principles underpinning the various private international law rules": </w:t>
      </w:r>
      <w:r>
        <w:rPr>
          <w:rFonts w:ascii="arial" w:eastAsia="arial" w:hAnsi="arial" w:cs="arial"/>
          <w:i/>
          <w:color w:val="000000"/>
          <w:sz w:val="20"/>
          <w:lang w:val="en-US" w:eastAsia="en-US" w:bidi="ar-SA"/>
        </w:rPr>
        <w:t>Spar Aerospace</w:t>
      </w:r>
      <w:r>
        <w:rPr>
          <w:rFonts w:ascii="arial" w:eastAsia="arial" w:hAnsi="arial" w:cs="arial"/>
          <w:color w:val="000000"/>
          <w:sz w:val="20"/>
          <w:lang w:val="en-US" w:eastAsia="en-US" w:bidi="ar-SA"/>
        </w:rPr>
        <w:t xml:space="preserve"> at para. 15. Comity is "an attitude of respect for and deference to other states":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at para. 74. Comity serves to "ensure order in the conflicts system", prevent "parochialism", and to make our courts "more tolerant of foreign law than they might otherwise have been": </w:t>
      </w:r>
      <w:r>
        <w:rPr>
          <w:rFonts w:ascii="arial" w:eastAsia="arial" w:hAnsi="arial" w:cs="arial"/>
          <w:i/>
          <w:color w:val="000000"/>
          <w:sz w:val="20"/>
          <w:lang w:val="en-US" w:eastAsia="en-US" w:bidi="ar-SA"/>
        </w:rPr>
        <w:t>Spar Aerospace</w:t>
      </w:r>
      <w:r>
        <w:rPr>
          <w:rFonts w:ascii="arial" w:eastAsia="arial" w:hAnsi="arial" w:cs="arial"/>
          <w:color w:val="000000"/>
          <w:sz w:val="20"/>
          <w:lang w:val="en-US" w:eastAsia="en-US" w:bidi="ar-SA"/>
        </w:rPr>
        <w:t xml:space="preserve"> at para. 18. In this way, it serves the larger goals of the modern conflicts system, "to facilitate exchanges and communications between people in different jurisdictions that have different legal systems":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at para.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Furthermore, as Gerow J. noted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[105] In my view, the public interest requires that Canadian courts proceed extremely cautiously in finding that a foreign court is incapable of providing justice to its own citizens. To hold otherwise is to ignore the principle of comity and risk that other jurisdictions will treat the Canadian judicial system with similar disregard.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Nevsun's position is that both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and additional factors militate in favour of an order staying the proceedings. Its reasons include:</w:t>
      </w:r>
      <w:r>
        <w:rPr>
          <w:rFonts w:ascii="arial" w:eastAsia="arial" w:hAnsi="arial" w:cs="arial"/>
          <w:sz w:val="20"/>
          <w:lang w:val="en-US" w:eastAsia="en-US" w:bidi="ar-SA"/>
        </w:rPr>
        <w:cr/>
      </w:r>
    </w:p>
    <w:p>
      <w:pPr>
        <w:numPr>
          <w:numId w:val="2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comparative convenience and expense for the parties and their witnesses overwhelmingly favours proceeding in Eritrea. The representative plaintiffs and putative class members are all Eritrean nationals who were in Eritrea at the relevant times. The vast majority of the witnesses - hundreds, if not thousands - are in Eritrea. These witnesses will not be able to give evidence in person in British Columbia and this Court will be denied the ability to see them firsthand and assess their evidence. The grave nature of the allegations and the sharp contradictions in the evidence that already exist make this essential. The majority of the documentary evidence necessary to adjudicate the plaintiffs' claims, including the critical question of whether the three named plaintiffs were ever at the Bisha Mine, as they claim, is in Eritrea and in the Tigrinya language. Neither practical nor substantial justice can be done if this action proceeds in British Columbia;</w:t>
      </w:r>
    </w:p>
    <w:p>
      <w:pPr>
        <w:numPr>
          <w:numId w:val="2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Eritrean law applies results from a straightforward application of the </w:t>
      </w:r>
      <w:r>
        <w:rPr>
          <w:rFonts w:ascii="arial" w:eastAsia="arial" w:hAnsi="arial" w:cs="arial"/>
          <w:i/>
          <w:color w:val="000000"/>
          <w:sz w:val="20"/>
          <w:lang w:val="en-US" w:eastAsia="en-US" w:bidi="ar-SA"/>
        </w:rPr>
        <w:t>lex loci delicti</w:t>
      </w:r>
      <w:r>
        <w:rPr>
          <w:rFonts w:ascii="arial" w:eastAsia="arial" w:hAnsi="arial" w:cs="arial"/>
          <w:color w:val="000000"/>
          <w:sz w:val="20"/>
          <w:lang w:val="en-US" w:eastAsia="en-US" w:bidi="ar-SA"/>
        </w:rPr>
        <w:t xml:space="preserve"> rule. There is a strong preference to have a dispute that is governed by the law of a particular jurisdiction resolved there;</w:t>
      </w:r>
    </w:p>
    <w:p>
      <w:pPr>
        <w:numPr>
          <w:numId w:val="2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staying this proceeding ensures that the plaintiffs are not able to circumvent Eritrean law's allocation of subject matter competence over labour claims to specialised labour tribunals;</w:t>
      </w:r>
    </w:p>
    <w:p>
      <w:pPr>
        <w:numPr>
          <w:numId w:val="2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 in Eritrea avoids the jurisdictional problems posed by the class being composed entirely of persons outside British Columbia;</w:t>
      </w:r>
    </w:p>
    <w:p>
      <w:pPr>
        <w:numPr>
          <w:numId w:val="2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proceeding in Eritrea also avoids the jurisdictional limitation imposed by the act of state doctrine. This doctrine applies because this Court is not an international court, yet is being asked to sit in judgment on the acts of a foreign sovereign, the State of Eritrea, in its own territory. The rule has no application in Eritrea. In fact, its very purpose is to ensure that claims such as this are brought in Eritrea and not elsewhere;</w:t>
      </w:r>
    </w:p>
    <w:p>
      <w:pPr>
        <w:numPr>
          <w:numId w:val="2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overall mandates of order and fairness point to the courts and tribunals of Eritrea as the most appropriate fora for determining the issues between the parties; and</w:t>
      </w:r>
    </w:p>
    <w:p>
      <w:pPr>
        <w:numPr>
          <w:numId w:val="2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also for the plaintiffs to establish that there is a real risk that justice will not be obtained in Eritrea and to adduce positive and cogent evidence in that regard and they have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The plaintiffs' position is that Nevsun has failed to establish that Eritrea is clearly a more appropriate forum. Specifically, it has failed to demonstrate that in light of the political and judicial culture in Eritrea, it would be fairer and more efficient to have the proceeding heard there; and that the plaintiffs should be denied the benefits of their decision to select a forum under the conflicts rules, in this case the jurisdiction where Nevsun is incorporated and where it governs its affairs.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plaintiffs focus their submissions on whether there is a real risk that justice will not be obtained for them in Eritrea. They say they have adduced positive and cogent evidence that this is indeed the case which includes:</w:t>
      </w:r>
      <w:r>
        <w:rPr>
          <w:rFonts w:ascii="arial" w:eastAsia="arial" w:hAnsi="arial" w:cs="arial"/>
          <w:sz w:val="20"/>
          <w:lang w:val="en-US" w:eastAsia="en-US" w:bidi="ar-SA"/>
        </w:rPr>
        <w:cr/>
      </w:r>
    </w:p>
    <w:p>
      <w:pPr>
        <w:numPr>
          <w:numId w:val="2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face severe barriers to justice in Eritrea given their status as traitors who cannot return to Eritrea;</w:t>
      </w:r>
    </w:p>
    <w:p>
      <w:pPr>
        <w:numPr>
          <w:numId w:val="2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Eritrean judiciary is not independent and is subject to extensive interference by the executive, the military and the Special Courts;</w:t>
      </w:r>
    </w:p>
    <w:p>
      <w:pPr>
        <w:numPr>
          <w:numId w:val="2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 does not have a constitution or functioning legislature. The basis by which presidential decrees and statements become "law" is therefore obscure;</w:t>
      </w:r>
    </w:p>
    <w:p>
      <w:pPr>
        <w:numPr>
          <w:numId w:val="2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 does not recognize CIL;</w:t>
      </w:r>
    </w:p>
    <w:p>
      <w:pPr>
        <w:numPr>
          <w:numId w:val="2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Eritrean legal system is not fully developed and has significant gaps in the areas of evidence, jurisdiction and choice of law;</w:t>
      </w:r>
    </w:p>
    <w:p>
      <w:pPr>
        <w:numPr>
          <w:numId w:val="2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perhaps fewer than 10 lawyers remaining in the country who are licenced to practice in the High Court of Eritrea;</w:t>
      </w:r>
    </w:p>
    <w:p>
      <w:pPr>
        <w:numPr>
          <w:numId w:val="2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practice of representation by contingency fees arrangements is unknown for a case of any complexity; and</w:t>
      </w:r>
    </w:p>
    <w:p>
      <w:pPr>
        <w:numPr>
          <w:numId w:val="2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state operates an extensive surveillance and spy network within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CJPTA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xml:space="preserve">  I will now consider both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and additional factors referred to in the authorities bearing in mind that:</w:t>
      </w:r>
      <w:r>
        <w:rPr>
          <w:rFonts w:ascii="arial" w:eastAsia="arial" w:hAnsi="arial" w:cs="arial"/>
          <w:sz w:val="20"/>
          <w:lang w:val="en-US" w:eastAsia="en-US" w:bidi="ar-SA"/>
        </w:rPr>
        <w:cr/>
      </w:r>
    </w:p>
    <w:p>
      <w:pPr>
        <w:numPr>
          <w:numId w:val="2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analysis is highly individualized and contextualized to the circumstances of this case;</w:t>
      </w:r>
    </w:p>
    <w:p>
      <w:pPr>
        <w:numPr>
          <w:numId w:val="2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 is non-exhaustive, that all factors need not point to a single forum;</w:t>
      </w:r>
    </w:p>
    <w:p>
      <w:pPr>
        <w:numPr>
          <w:numId w:val="2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that the process is not to be a "tallying up" of the various factors, as per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It is for Nevsun to establish that Eritrea is clearly the more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First, the Court must determine when the analysis should occur of whether a fair and impartial trial is possible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The plaintiffs point out that the enumerated factors in s. 11(2)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do not specifically address the rare circumstances where the foreign court is not available to plaintiffs because of a fear of persecution or lack of judicial independence. Such factors are not easily captured under the notion of comparative convenience which tends to focus on such traditional factors as the location of the parties and the witnesses.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Accordingly, they submit that this should be considered as a threshold issue which they say was the case in the </w:t>
      </w:r>
      <w:r>
        <w:rPr>
          <w:rFonts w:ascii="arial" w:eastAsia="arial" w:hAnsi="arial" w:cs="arial"/>
          <w:i/>
          <w:color w:val="000000"/>
          <w:sz w:val="20"/>
          <w:lang w:val="en-US" w:eastAsia="en-US" w:bidi="ar-SA"/>
        </w:rPr>
        <w:t>889457 Alberta Inc. v. Katanga Mining Ltd</w:t>
      </w:r>
      <w:r>
        <w:rPr>
          <w:rFonts w:ascii="arial" w:eastAsia="arial" w:hAnsi="arial" w:cs="arial"/>
          <w:color w:val="000000"/>
          <w:sz w:val="20"/>
          <w:lang w:val="en-US" w:eastAsia="en-US" w:bidi="ar-SA"/>
        </w:rPr>
        <w:t>., [2008] EWHC 2679 at paras. 33-34.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 disagree. That is because, s. 11(2) contains mandatory language, that "the court must consider". In </w:t>
      </w:r>
      <w:r>
        <w:rPr>
          <w:rFonts w:ascii="arial" w:eastAsia="arial" w:hAnsi="arial" w:cs="arial"/>
          <w:i/>
          <w:color w:val="000000"/>
          <w:sz w:val="20"/>
          <w:lang w:val="en-US" w:eastAsia="en-US" w:bidi="ar-SA"/>
        </w:rPr>
        <w:t>Teck Cominco</w:t>
      </w:r>
      <w:r>
        <w:rPr>
          <w:rFonts w:ascii="arial" w:eastAsia="arial" w:hAnsi="arial" w:cs="arial"/>
          <w:color w:val="000000"/>
          <w:sz w:val="20"/>
          <w:lang w:val="en-US" w:eastAsia="en-US" w:bidi="ar-SA"/>
        </w:rPr>
        <w:t>, Chief Justice McLachlin for a unanimous court noted that consideration of the s.11 factors is mandatory in every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first argument is that s. 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does not apply where a foreign court has asserted jurisdiction. I cannot agree.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creates a comprehensive regime that applies to all cases where a stay of proceedings is sought on the ground that the action should be pursued in a different jurisdiction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It requires that in every case, including cases where a foreign judge has asserted jurisdiction in parallel proceedings, all the relevant factors listed in s. 11 be considered in order to determine if a stay of proceedings is warranted. This includes the desirability of avoiding multiplicity of legal proceedings. But the prior assertion of jurisdiction by a foreign court does not oust the s. 11 inquiry.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 Section 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was intended to codify the f</w:t>
      </w:r>
      <w:r>
        <w:rPr>
          <w:rFonts w:ascii="arial" w:eastAsia="arial" w:hAnsi="arial" w:cs="arial"/>
          <w:i/>
          <w:color w:val="000000"/>
          <w:sz w:val="20"/>
          <w:lang w:val="en-US" w:eastAsia="en-US" w:bidi="ar-SA"/>
        </w:rPr>
        <w:t>orum non conveniens</w:t>
      </w:r>
      <w:r>
        <w:rPr>
          <w:rFonts w:ascii="arial" w:eastAsia="arial" w:hAnsi="arial" w:cs="arial"/>
          <w:color w:val="000000"/>
          <w:sz w:val="20"/>
          <w:lang w:val="en-US" w:eastAsia="en-US" w:bidi="ar-SA"/>
        </w:rPr>
        <w:t xml:space="preserve"> test, not to supplement 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...Section 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thus constitutes a complete codification of the common law test for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It admits of no exceptions.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the comparative convenience and expense for the parties to the proceeding and for their witnesses, in litigating in the court or in any alternative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what I shall term the "real risk of an unfair trial" issue was dealt with in the s. 11(2)(a) analysis and I will do likewise in this case. The alternative was to consider the issue separately after examining the statutory factors. In my view, considerations such as the availability of witnesses and documents, for example, may overlap with the broader issue of the real risk of an unfair trial in that the issue of whether witnesses will in fact come forward if the trial occurs in Eritrea could relate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I intend to take a broad interpretation of the term "convenience" since a real risk of an unfair trial is likely not convenient for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There is no doubt this will be a complicated proceeding whether it takes place in British Columbia or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Expanding upon what is set out in paragraph 234 above, the factors raised by Nevsun that militate in favour of Eritrea include:</w:t>
      </w:r>
      <w:r>
        <w:rPr>
          <w:rFonts w:ascii="arial" w:eastAsia="arial" w:hAnsi="arial" w:cs="arial"/>
          <w:sz w:val="20"/>
          <w:lang w:val="en-US" w:eastAsia="en-US" w:bidi="ar-SA"/>
        </w:rPr>
        <w:cr/>
      </w:r>
    </w:p>
    <w:p>
      <w:pPr>
        <w:numPr>
          <w:numId w:val="2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may well be hundreds of witnesses and many thousands of documents depending on how the case proceeds. The witnesses include employees of BMSC, Segen and SENET, including those employed by BMSC and SENET, who supervised and worked alongside the Segen employees, the vast majority of whom were Eritreans. They also include Segen management and Segen supervisors at the Bisha Mine. Some of these are identified in the affidavits delivered by the plaintiffs and their witnesses. Others are mentioned in the minutes of weekly progress meetings. Segen witnesses also include:</w:t>
      </w:r>
    </w:p>
    <w:p>
      <w:pPr>
        <w:numPr>
          <w:numId w:val="2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employees who were housed at the Bisha Mine camp but who were exempt, released or demobilized from NSP;</w:t>
      </w:r>
    </w:p>
    <w:p>
      <w:pPr>
        <w:numPr>
          <w:numId w:val="2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NSP members who lived in the same camp but worked on the public road project described by Messrs. Weldemarian and Rogers;</w:t>
      </w:r>
    </w:p>
    <w:p>
      <w:pPr>
        <w:numPr>
          <w:numId w:val="2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witnesses may also include union officials (both from the Segen Base Union and the NCEW); officers and members of the Eritrean military; Mereb management, supervisors and employees; members of local communities like Mogoraib, where the Segen employees socialised during their time off; and Eritrean government officials. Those who entered into the unlawful conspiracy alleged by the plaintiffs may well be important witnesses, as will the Segen managers who made the alleged agreement in mid-2009 to bring in workers from Mereb and the mechanized branch of the armed forces designated as "74", as described by Mr. Alemayo;</w:t>
      </w:r>
    </w:p>
    <w:p>
      <w:pPr>
        <w:numPr>
          <w:numId w:val="2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Nevsun notes, the documentary evidence gives some indication of the order of magnitude of the number of witnesses: there were over 1,700 persons on site at the Bisha Mine in the month of August 2010 alone. BMSC had 934 employees in 2011 and 1,085 in 2012;</w:t>
      </w:r>
    </w:p>
    <w:p>
      <w:pPr>
        <w:numPr>
          <w:numId w:val="2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named plaintiffs suggest that if the class succeeds at trial, they expect the class members to be given "the opportunity to participate because their involvement may be necessary at that stage to prove their damages". This raises the prospect of individual inquiries to prove damages. This would in turn require witnesses, including family members, employers, health care professionals, and economists or other experts, in respect of each putative class member's claim for damages. Many of those witnesses, too, would be found in Eritrea, where the class members resided at the relevant times;</w:t>
      </w:r>
    </w:p>
    <w:p>
      <w:pPr>
        <w:numPr>
          <w:numId w:val="2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of the Eritrean witnesses will speak Tigrinya. The BMSC, SENET and Segen employees from the communities surrounding the Bisha Mine speak Tigre. The named plaintiffs themselves do not speak or read English. Obtaining and translating evidence will pose considerable challenges and will lengthen the trial;</w:t>
      </w:r>
    </w:p>
    <w:p>
      <w:pPr>
        <w:numPr>
          <w:numId w:val="2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most of the relevant documents, with the exception of Nevsun's own documents, are held in Eritrea or South Africa. These include documents held by the Eritrean government and military;</w:t>
      </w:r>
    </w:p>
    <w:p>
      <w:pPr>
        <w:numPr>
          <w:numId w:val="2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communications between the two countries, including telephone and internet is unreliable. Videoconferencing or communicating via Skype or other internet video communications is subject to similar difficulties. Travel time from Vancouver can range from 24 to 36 hours with the cost of economy airfare from Vancouver generally between $3,000-$4,000;</w:t>
      </w:r>
    </w:p>
    <w:p>
      <w:pPr>
        <w:numPr>
          <w:numId w:val="2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attempting to take evidence on commission in Eritrea from so many witnesses would be extremely difficult and would also deprive the Court of hearing this important evidence firsthand; and</w:t>
      </w:r>
    </w:p>
    <w:p>
      <w:pPr>
        <w:numPr>
          <w:numId w:val="2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Eritrean nationals are required to obtain entry visas before entering Canada. Similarly, Canadian or other nationals must obtain entry visas to travel to Eritrea. Further authorizations are required to travel within Eritrea, including to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Nevsun cites other factors as militating in favour of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 factors raised by the plaintiffs that militate against Eritrea include:</w:t>
      </w:r>
      <w:r>
        <w:rPr>
          <w:rFonts w:ascii="arial" w:eastAsia="arial" w:hAnsi="arial" w:cs="arial"/>
          <w:sz w:val="20"/>
          <w:lang w:val="en-US" w:eastAsia="en-US" w:bidi="ar-SA"/>
        </w:rPr>
        <w:cr/>
      </w:r>
    </w:p>
    <w:p>
      <w:pPr>
        <w:numPr>
          <w:numId w:val="2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may be considered to be traitors in Eritrea, and practically precluded from returning to that country. In any event they will not do so. There is a real risk that witnesses will not come forward to testify out of fear and that judges would be fearful to rule in the case. The former judges have given clear accounts of witnesses being intimidated, arrested and in some cases beaten as a result of their testimony in court;</w:t>
      </w:r>
    </w:p>
    <w:p>
      <w:pPr>
        <w:numPr>
          <w:numId w:val="2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Prof. Andemariam is that the military refuses to cooperate in the judicial process and will not make its personnel available to testify;</w:t>
      </w:r>
    </w:p>
    <w:p>
      <w:pPr>
        <w:numPr>
          <w:numId w:val="2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witnesses and counsel in Eritrea may be subject to internal travel restrictions;</w:t>
      </w:r>
    </w:p>
    <w:p>
      <w:pPr>
        <w:numPr>
          <w:numId w:val="2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for Nevsun to satisfy the court that there is a system in place in Eritrea whereby proper documentary disclosure could occur and also to demonstrate how the evidence would be made available in a court proceeding in that country. It has failed to do so;</w:t>
      </w:r>
    </w:p>
    <w:p>
      <w:pPr>
        <w:numPr>
          <w:numId w:val="2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Nevsun's own expert, Prof. Andemariam, has recently commented on "the problems and inconsistencies in the admission, analysis and weighing of evidence" in Eritrean courts in the absence of comprehensive evidence legislation. In particular, he notes that the law of evidence serves to secure fairness in trials. The Eritrean legal system exists in a legislative vacuum regarding comprehensive evidence law. This has resulted in Eritrean courts being unable to confidently answer questions of evidence and, consequently, discrepancies in rulings and judgments in similar cases;</w:t>
      </w:r>
    </w:p>
    <w:p>
      <w:pPr>
        <w:numPr>
          <w:numId w:val="2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additional difficulties raised by Prof. Andemariam including the fact there is no legal framework for the admission of foreign documents or testimony into evidence. It appears the practice is to require authentication of evidence by Eritrean embassies or consular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events forming the basis of the plaintiffs' claims occurred in Eritrea. While allegations of primary and secondary liability are advanced against Nevsun regarding decisions in its Canadian corporate offices, those decisions are all related to events the plaintiffs say occurred in Eritrea, allegedly in concert with Eritrean entities and SENET.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commence my analysis by noting that to the extent an ordinary or typical case exists, the numbers of witnesses and documents and their location in Eritrea would be granted significant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But this is far from being a typical case. It will be challenging to manage and conduct a trial fair to all the parties no matter the jurisdiction.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For the following reasons, I have concluded:</w:t>
      </w:r>
      <w:r>
        <w:rPr>
          <w:rFonts w:ascii="arial" w:eastAsia="arial" w:hAnsi="arial" w:cs="arial"/>
          <w:sz w:val="20"/>
          <w:lang w:val="en-US" w:eastAsia="en-US" w:bidi="ar-SA"/>
        </w:rPr>
        <w:cr/>
      </w:r>
    </w:p>
    <w:p>
      <w:pPr>
        <w:numPr>
          <w:numId w:val="2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has not established that comparative convenience and expense favours Eritrea as the appropriate forum; and</w:t>
      </w:r>
    </w:p>
    <w:p>
      <w:pPr>
        <w:numPr>
          <w:numId w:val="2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real risk of an unfair trial occurring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xml:space="preserve">  It is for Nevsun to establish that it would be fairer and more efficient for this action to be stayed and heard in Eritrea: </w:t>
      </w:r>
      <w:r>
        <w:rPr>
          <w:rFonts w:ascii="arial" w:eastAsia="arial" w:hAnsi="arial" w:cs="arial"/>
          <w:i/>
          <w:color w:val="000000"/>
          <w:sz w:val="20"/>
          <w:lang w:val="en-US" w:eastAsia="en-US" w:bidi="ar-SA"/>
        </w:rPr>
        <w:t>Van Breda</w:t>
      </w:r>
      <w:r>
        <w:rPr>
          <w:rFonts w:ascii="arial" w:eastAsia="arial" w:hAnsi="arial" w:cs="arial"/>
          <w:color w:val="000000"/>
          <w:sz w:val="20"/>
          <w:lang w:val="en-US" w:eastAsia="en-US" w:bidi="ar-SA"/>
        </w:rPr>
        <w:t xml:space="preserve"> at para. 109.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Nevsun relies on a line of English authorities and submits it is for the plaintiffs to establish that "there is a real risk that justice will not be obtained in the foreign court by reason of incompetence or lack of independence or corruption" and this must be supported by "positive and cogent" evidence, anecdotal evidence being insufficient: </w:t>
      </w:r>
      <w:r>
        <w:rPr>
          <w:rFonts w:ascii="arial" w:eastAsia="arial" w:hAnsi="arial" w:cs="arial"/>
          <w:i/>
          <w:color w:val="000000"/>
          <w:sz w:val="20"/>
          <w:lang w:val="en-US" w:eastAsia="en-US" w:bidi="ar-SA"/>
        </w:rPr>
        <w:t>AK Investment CJSC v. Kyrgyz Mobil Tel Ltd &amp; Ors (Isle of Man)(Rev 2)</w:t>
      </w:r>
      <w:r>
        <w:rPr>
          <w:rFonts w:ascii="arial" w:eastAsia="arial" w:hAnsi="arial" w:cs="arial"/>
          <w:color w:val="000000"/>
          <w:sz w:val="20"/>
          <w:lang w:val="en-US" w:eastAsia="en-US" w:bidi="ar-SA"/>
        </w:rPr>
        <w:t>, [2011] UKPC 7 at paras. 92, 95 [</w:t>
      </w:r>
      <w:r>
        <w:rPr>
          <w:rFonts w:ascii="arial" w:eastAsia="arial" w:hAnsi="arial" w:cs="arial"/>
          <w:i/>
          <w:color w:val="000000"/>
          <w:sz w:val="20"/>
          <w:lang w:val="en-US" w:eastAsia="en-US" w:bidi="ar-SA"/>
        </w:rPr>
        <w:t>AK Investment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Mengiste v. Endowment Fund for the Rehabilitation of Tigray</w:t>
      </w:r>
      <w:r>
        <w:rPr>
          <w:rFonts w:ascii="arial" w:eastAsia="arial" w:hAnsi="arial" w:cs="arial"/>
          <w:color w:val="000000"/>
          <w:sz w:val="20"/>
          <w:lang w:val="en-US" w:eastAsia="en-US" w:bidi="ar-SA"/>
        </w:rPr>
        <w:t xml:space="preserve">, [2013] EWHC 599 (Ch.) at para. 144 [Mengiste]; </w:t>
      </w:r>
      <w:r>
        <w:rPr>
          <w:rFonts w:ascii="arial" w:eastAsia="arial" w:hAnsi="arial" w:cs="arial"/>
          <w:i/>
          <w:color w:val="000000"/>
          <w:sz w:val="20"/>
          <w:lang w:val="en-US" w:eastAsia="en-US" w:bidi="ar-SA"/>
        </w:rPr>
        <w:t>Standard Bank Pic &amp; Anor v. Just Group LLC &amp; Ors,</w:t>
      </w:r>
      <w:r>
        <w:rPr>
          <w:rFonts w:ascii="arial" w:eastAsia="arial" w:hAnsi="arial" w:cs="arial"/>
          <w:color w:val="000000"/>
          <w:sz w:val="20"/>
          <w:lang w:val="en-US" w:eastAsia="en-US" w:bidi="ar-SA"/>
        </w:rPr>
        <w:t xml:space="preserve"> [2014], EWHC 2687 (Comm.) at para. 215; </w:t>
      </w:r>
      <w:r>
        <w:rPr>
          <w:rFonts w:ascii="arial" w:eastAsia="arial" w:hAnsi="arial" w:cs="arial"/>
          <w:i/>
          <w:color w:val="000000"/>
          <w:sz w:val="20"/>
          <w:lang w:val="en-US" w:eastAsia="en-US" w:bidi="ar-SA"/>
        </w:rPr>
        <w:t>Ferrexpo AG v. Gilson Investments Ltd.</w:t>
      </w:r>
      <w:r>
        <w:rPr>
          <w:rFonts w:ascii="arial" w:eastAsia="arial" w:hAnsi="arial" w:cs="arial"/>
          <w:color w:val="000000"/>
          <w:sz w:val="20"/>
          <w:lang w:val="en-US" w:eastAsia="en-US" w:bidi="ar-SA"/>
        </w:rPr>
        <w:t>, [2012] EWHC 721 (Comm) at paras. 44-57 [</w:t>
      </w:r>
      <w:r>
        <w:rPr>
          <w:rFonts w:ascii="arial" w:eastAsia="arial" w:hAnsi="arial" w:cs="arial"/>
          <w:i/>
          <w:color w:val="000000"/>
          <w:sz w:val="20"/>
          <w:lang w:val="en-US" w:eastAsia="en-US" w:bidi="ar-SA"/>
        </w:rPr>
        <w:t>Ferrexpo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The plaintiffs do not approach this issue from the perspective of whether they have the burden of proof on this issue. Rather, they submit that in assessing whether Nevsun has discharged its burden the Court should proceed on the basis of the plaintiffs' allegations, provided there is some basis in the record to support them. As stated by the Ontario Court of Appeal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However, the important point is that at this preliminary stage of the action, the motion judge's assessment and weighing of the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factors should be based on the plaintiff's claim if it has a reasonable basis in the record, not on the defendant's defence to that claim. This approach makes sense to me because the ultimate question is whether an Ontario court should take jurisdiction over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xml:space="preserve">  The Canadian approach to the issue is focussed not on whether Canada's legal system is fairer and more efficient than the foreign forum, but whether the foreign legal system is capable of providing justice to the parties in the proceeding: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at para. 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In my view, the correct approach is that while Nevsun must satisfy the court that the comparative convenience and expense for the parties favours Eritrea, the plaintiffs must provide sufficient evidence such that the court can conclude that there is a real risk that they will not receive a fair trial in that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In any event, as Justice Satanove [Kloegman] stated in Fraser Park South Estates Ltd. v. Lang Michener Lawrence &amp; Shaw, </w:t>
      </w:r>
      <w:hyperlink r:id="rId178" w:history="1">
        <w:r>
          <w:rPr>
            <w:rFonts w:ascii="arial" w:eastAsia="arial" w:hAnsi="arial" w:cs="arial"/>
            <w:i/>
            <w:color w:val="0077CC"/>
            <w:sz w:val="20"/>
            <w:u w:val="single"/>
            <w:shd w:val="clear" w:color="auto" w:fill="FFFFFF"/>
            <w:lang w:val="en-US" w:eastAsia="en-US" w:bidi="ar-SA"/>
          </w:rPr>
          <w:t>[1999] B.C.J. No. 150</w:t>
        </w:r>
      </w:hyperlink>
      <w:r>
        <w:rPr>
          <w:rFonts w:ascii="arial" w:eastAsia="arial" w:hAnsi="arial" w:cs="arial"/>
          <w:color w:val="000000"/>
          <w:sz w:val="20"/>
          <w:lang w:val="en-US" w:eastAsia="en-US" w:bidi="ar-SA"/>
        </w:rPr>
        <w:t xml:space="preserve"> at para. 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[d]eciding who carries the burden of proving something only becomes crucial if there is insufficient evidence on a point or an even balancing of evidence for and against a particular contention.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In my view, this is not one of those situations. There is sufficient cogent evidence from which I can conclude that there is a real risk that the plaintiffs could not be provided with justice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This evidence is set out in Part III to these reasons for judgment and includes:</w:t>
      </w:r>
      <w:r>
        <w:rPr>
          <w:rFonts w:ascii="arial" w:eastAsia="arial" w:hAnsi="arial" w:cs="arial"/>
          <w:sz w:val="20"/>
          <w:lang w:val="en-US" w:eastAsia="en-US" w:bidi="ar-SA"/>
        </w:rPr>
        <w:cr/>
      </w:r>
    </w:p>
    <w:p>
      <w:pPr>
        <w:numPr>
          <w:numId w:val="2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hand and opinion evidence of the former judges and lawyers and Mr. Biniam Ghebremichael;</w:t>
      </w:r>
    </w:p>
    <w:p>
      <w:pPr>
        <w:numPr>
          <w:numId w:val="2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portions of the opinion evidence of Mr. Connell and Prof. Andemariam;</w:t>
      </w:r>
    </w:p>
    <w:p>
      <w:pPr>
        <w:numPr>
          <w:numId w:val="2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portions of the secondary reports to which I have referred and have determined are admissible, and which place in context many of the asserted facts of the various affiants.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xml:space="preserve">  The circumstances in this case are much different from those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and the additional authorities relied on by Nevsun.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Garcia</w:t>
      </w:r>
      <w:r>
        <w:rPr>
          <w:rFonts w:ascii="arial" w:eastAsia="arial" w:hAnsi="arial" w:cs="arial"/>
          <w:color w:val="000000"/>
          <w:sz w:val="20"/>
          <w:lang w:val="en-US" w:eastAsia="en-US" w:bidi="ar-SA"/>
        </w:rPr>
        <w:t xml:space="preserve">, the plaintiffs were Guatemalan residents, not refugees who had fled the country having made allegations of persecution and repression. At the time of the hearing of the forum non conveniens motion, they were also civil claimants in Guatemala in the criminal proceedings brought against the head of the defendant mine's security forces. No similar proceedings are ongoing in this case in Eritrea and the plaintiffs have expressed their reasons for not returning to that country. In Garcia, the plaintiffs also had the benefit of </w:t>
      </w:r>
      <w:r>
        <w:rPr>
          <w:rFonts w:ascii="arial" w:eastAsia="arial" w:hAnsi="arial" w:cs="arial"/>
          <w:i/>
          <w:color w:val="000000"/>
          <w:sz w:val="20"/>
          <w:lang w:val="en-US" w:eastAsia="en-US" w:bidi="ar-SA"/>
        </w:rPr>
        <w:t>pro bono</w:t>
      </w:r>
      <w:r>
        <w:rPr>
          <w:rFonts w:ascii="arial" w:eastAsia="arial" w:hAnsi="arial" w:cs="arial"/>
          <w:color w:val="000000"/>
          <w:sz w:val="20"/>
          <w:lang w:val="en-US" w:eastAsia="en-US" w:bidi="ar-SA"/>
        </w:rPr>
        <w:t xml:space="preserve"> legal representation in Guatemala.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Nevsun submits that </w:t>
      </w:r>
      <w:r>
        <w:rPr>
          <w:rFonts w:ascii="arial" w:eastAsia="arial" w:hAnsi="arial" w:cs="arial"/>
          <w:i/>
          <w:color w:val="000000"/>
          <w:sz w:val="20"/>
          <w:lang w:val="en-US" w:eastAsia="en-US" w:bidi="ar-SA"/>
        </w:rPr>
        <w:t>Bil'in (Village Council) v. Green Park International Inc.,</w:t>
      </w:r>
      <w:r>
        <w:rPr>
          <w:rFonts w:ascii="arial" w:eastAsia="arial" w:hAnsi="arial" w:cs="arial"/>
          <w:color w:val="000000"/>
          <w:sz w:val="20"/>
          <w:lang w:val="en-US" w:eastAsia="en-US" w:bidi="ar-SA"/>
        </w:rPr>
        <w:t xml:space="preserve"> </w:t>
      </w:r>
      <w:hyperlink r:id="rId179" w:history="1">
        <w:r>
          <w:rPr>
            <w:rFonts w:ascii="arial" w:eastAsia="arial" w:hAnsi="arial" w:cs="arial"/>
            <w:i/>
            <w:color w:val="0077CC"/>
            <w:sz w:val="20"/>
            <w:u w:val="single"/>
            <w:shd w:val="clear" w:color="auto" w:fill="FFFFFF"/>
            <w:lang w:val="en-US" w:eastAsia="en-US" w:bidi="ar-SA"/>
          </w:rPr>
          <w:t>2009 QCCS 4151</w:t>
        </w:r>
      </w:hyperlink>
      <w:r>
        <w:rPr>
          <w:rFonts w:ascii="arial" w:eastAsia="arial" w:hAnsi="arial" w:cs="arial"/>
          <w:color w:val="000000"/>
          <w:sz w:val="20"/>
          <w:lang w:val="en-US" w:eastAsia="en-US" w:bidi="ar-SA"/>
        </w:rPr>
        <w:t xml:space="preserve">, aff'd </w:t>
      </w:r>
      <w:hyperlink r:id="rId180" w:history="1">
        <w:r>
          <w:rPr>
            <w:rFonts w:ascii="arial" w:eastAsia="arial" w:hAnsi="arial" w:cs="arial"/>
            <w:i/>
            <w:color w:val="0077CC"/>
            <w:sz w:val="20"/>
            <w:u w:val="single"/>
            <w:shd w:val="clear" w:color="auto" w:fill="FFFFFF"/>
            <w:lang w:val="en-US" w:eastAsia="en-US" w:bidi="ar-SA"/>
          </w:rPr>
          <w:t>2010 QCCA 1455</w:t>
        </w:r>
      </w:hyperlink>
      <w:r>
        <w:rPr>
          <w:rFonts w:ascii="arial" w:eastAsia="arial" w:hAnsi="arial" w:cs="arial"/>
          <w:color w:val="000000"/>
          <w:sz w:val="20"/>
          <w:lang w:val="en-US" w:eastAsia="en-US" w:bidi="ar-SA"/>
        </w:rPr>
        <w:t>, is closely analogous to this case. But there are several material distinguishing features which include:</w:t>
      </w:r>
      <w:r>
        <w:rPr>
          <w:rFonts w:ascii="arial" w:eastAsia="arial" w:hAnsi="arial" w:cs="arial"/>
          <w:sz w:val="20"/>
          <w:lang w:val="en-US" w:eastAsia="en-US" w:bidi="ar-SA"/>
        </w:rPr>
        <w:cr/>
      </w:r>
    </w:p>
    <w:p>
      <w:pPr>
        <w:numPr>
          <w:numId w:val="29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Bil'in</w:t>
      </w:r>
      <w:r>
        <w:rPr>
          <w:rFonts w:ascii="arial" w:eastAsia="arial" w:hAnsi="arial" w:cs="arial"/>
          <w:color w:val="000000"/>
          <w:sz w:val="20"/>
          <w:lang w:val="en-US" w:eastAsia="en-US" w:bidi="ar-SA"/>
        </w:rPr>
        <w:t xml:space="preserve"> did not involve a group of refugee plaintiffs who had fled what they alleged to be persecution in their country of origin;</w:t>
      </w:r>
    </w:p>
    <w:p>
      <w:pPr>
        <w:numPr>
          <w:numId w:val="2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were resident in the Israeli-occupied West Bank. There was no suggestion that Israeli courts lacked independence or that the rule of law was weak in Israel. In fact, the plaintiffs had engaged the Israeli courts on a number of actions relating generally to the same dispute as was brought to the Quebec courts;</w:t>
      </w:r>
    </w:p>
    <w:p>
      <w:pPr>
        <w:numPr>
          <w:numId w:val="2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also no suggestion that the Israeli state was engaged in widespread human rights violations against its citizenry;</w:t>
      </w:r>
    </w:p>
    <w:p>
      <w:pPr>
        <w:numPr>
          <w:numId w:val="2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corporation was registered in Quebec but had no active presence there which is not the case with Nevsun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Ferrexpo</w:t>
      </w:r>
      <w:r>
        <w:rPr>
          <w:rFonts w:ascii="arial" w:eastAsia="arial" w:hAnsi="arial" w:cs="arial"/>
          <w:color w:val="000000"/>
          <w:sz w:val="20"/>
          <w:lang w:val="en-US" w:eastAsia="en-US" w:bidi="ar-SA"/>
        </w:rPr>
        <w:t>, the suggested alternative forum was the Ukraine. That case is also readily distinguishable in that:</w:t>
      </w:r>
      <w:r>
        <w:rPr>
          <w:rFonts w:ascii="arial" w:eastAsia="arial" w:hAnsi="arial" w:cs="arial"/>
          <w:sz w:val="20"/>
          <w:lang w:val="en-US" w:eastAsia="en-US" w:bidi="ar-SA"/>
        </w:rPr>
        <w:cr/>
      </w:r>
    </w:p>
    <w:p>
      <w:pPr>
        <w:numPr>
          <w:numId w:val="2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no suggestion of widespread human rights violations by the state;</w:t>
      </w:r>
    </w:p>
    <w:p>
      <w:pPr>
        <w:numPr>
          <w:numId w:val="2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undisputed expert evidence was to the effect that "judicial decisions in civil and commercial cases are public, reasoned statements of the law" (at para. 46);</w:t>
      </w:r>
    </w:p>
    <w:p>
      <w:pPr>
        <w:numPr>
          <w:numId w:val="2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one of the court's principal concerns was that the plaintiffs' expert had not provided direct evidence of instances of corruption or political interference in the Ukrainian court process. In this case, the plaintiffs have presented first-hand accounts from former judges and lawyers of interference in the judicial process; and</w:t>
      </w:r>
    </w:p>
    <w:p>
      <w:pPr>
        <w:numPr>
          <w:numId w:val="2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was also concerned about the reliance by the expert on reports taken from the internet from two organizations, being Transparency International and the Heritage Foundation, without providing any information about those organizations. In this case, there is evidence regarding the methods and procedures utilized by Human Rights Watch. There is also Mr. Connell's evidence which includes references to certain of the secondary reports in particular the 2015 UN COI report and the report of the EASO and his reliance on them. At this preliminary stage, it is not for the plaintiffs to prove the assumptions in the Connell reports. In any event, as I have decided in the Evidentiary Application, I have considered excerpts from those reports for a limited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Mengiste</w:t>
      </w:r>
      <w:r>
        <w:rPr>
          <w:rFonts w:ascii="arial" w:eastAsia="arial" w:hAnsi="arial" w:cs="arial"/>
          <w:color w:val="000000"/>
          <w:sz w:val="20"/>
          <w:lang w:val="en-US" w:eastAsia="en-US" w:bidi="ar-SA"/>
        </w:rPr>
        <w:t xml:space="preserve"> can also be distinguished on certain material points from the circumstances of this case. It involved an application in the United Kingdom by defendants in lengthy litigation in Ethiopia challenging the continuation of proceedings in England on the basis that it was not a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In granting the application, Justice P. Smith of the High Court of Justice Chancery Division referred to the seven years of litigation in which the parties had been involved in Ethiopia and noted that "[i]n that litigation the Claimants substantially lost but they did not lose on every issue": at para. 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court reviewed several reports some of which were similar to the secondary reports in this case concluding that they were not supportive of the claimants' contention that there was a risk of an unfair trial in Ethiopia. Reference was made to, amongst others, a report from the Canadian International Development Agency which indicated substantial progress in the independence of the judiciary. This was supported by an article in the Ethiopian Bar Review and a report submitted by the applicants that judicial reform was: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"top priority of the Government and as a result there has been a significant improvement in terms of access to justice, case flow management, judicial autonomy and accountability as well as on the right to speedy trial particularly on civil and commercial matters [at para 244].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this case, Mr. Biniam Ghebremichael deposes as to his involvement in the Eritrean justice system over the years and, based on that experience, his belief that the plaintiffs would not receive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Prof. Andemariam has a different view. While identifying significant ongoing difficulties in the Eritrean justice system, he concludes that the plaintiffs would receive a fair trial. As one of the "tens of thousands" of civil and commercial trials to be heard, it would likely take place in a time frame of approximately 18 months to two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I referred above at para. 99 to the evidence of Washington State attorney, Mr. Sium as to his observations during his two visits to Eritrea in 2008 and 2011/2012.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Prof. Andemariam's conclusion that the plaintiffs will receive a fair trial if the case is brought before the High Court is made notwithstanding his evidence that it is not necessary for them to be personally present when the trial occurs since they can appear by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The evidence is contradictory as to whether the plaintiffs, as deserters, are considered as traitors in Eritrea and if they can even return to that country. The plaintiffs assert that they will be treated as such which is why they have not attempted to return. They say there is no likelihood they will commence proceedings in Eritrea if Nevsun's forum application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According to the EASO Report, the plaintiffs will be able to return to Eritrea but upon doing so will have to pay a fine or tax and undergo a six week training session "to reinforce their patriotic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Nevsun submits that the plaintiffs' evidence regarding the administration of justice in Eritrea is anecdotal, outdated and that the former judges have long since departed that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I disagree. Mr. Biniam Ghebremichael was a judge in Eritrea until he was expelled from the judiciary in 2007. This occurred after he was imprisoned for refusing to accept relocation to a remote area of the country for what he considered to be retribution for objecting to military interference in a case he was seized of. He describes in detail his experiences while in prison.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He remained in Eritrea as a legal officer at Eritrean Airways until he fled in late 2014. He is now considered a traitor since he has been absent for more than six months. While his accounts as a judge are limited to the time frame up to 2007, his evidence regarding the justice system, the role of the courts which have special jurisdiction, including the Special Court with its arbitrary powers, and the creation of the "Special of the Special" Court is apparently based on his knowledge until the time of his departure.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I considered Nevsun's objections to Mr. Connell's report including his alleged bias in my decision regarding the Evidence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I would add at this stage that Prof. Andemariam's curriculum vitae is to the effect that since 2007 he has been: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member of the team of advisors to the Minister of Justice of Eritrea. The team constantly meets with the Minister to advise her on legal matters pertaining to the functions of the Ministry, legal advices to the government as well as law making and other matters related to her mandate.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From the former judge Kifleyonhanes Teweldebrhan Yeibio's affidavit, this is the same Minister of Justice who was in office during the time frame identified in the plaintiffs' and the former judges' and lawyers'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There are some additional weaknesses in Prof. Andemariam's reports which include that:</w:t>
      </w:r>
      <w:r>
        <w:rPr>
          <w:rFonts w:ascii="arial" w:eastAsia="arial" w:hAnsi="arial" w:cs="arial"/>
          <w:sz w:val="20"/>
          <w:lang w:val="en-US" w:eastAsia="en-US" w:bidi="ar-SA"/>
        </w:rPr>
        <w:cr/>
      </w:r>
    </w:p>
    <w:p>
      <w:pPr>
        <w:numPr>
          <w:numId w:val="3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appears to be in a position to provide concrete examples to this Court as to the manner in which the administration of justice and the independence of the judiciary has improved over the years, but has not done so;</w:t>
      </w:r>
    </w:p>
    <w:p>
      <w:pPr>
        <w:numPr>
          <w:numId w:val="3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could also have provided examples of situations where complex civil trials, involving dozens of witnesses and hundreds if not thousands of documents, have taken place in Eritrea, but has not done so;</w:t>
      </w:r>
    </w:p>
    <w:p>
      <w:pPr>
        <w:numPr>
          <w:numId w:val="3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refers in his report to the availability of representative proceedings but provides no examples of any such cases in fact having occurred and how the Eritrean justice system handled them;</w:t>
      </w:r>
    </w:p>
    <w:p>
      <w:pPr>
        <w:numPr>
          <w:numId w:val="3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 says that there is no prohibition against contingency fees, but provides no examples of a practice of this occurring, particularly in a case such as this;</w:t>
      </w:r>
    </w:p>
    <w:p>
      <w:pPr>
        <w:numPr>
          <w:numId w:val="3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acknowledges proceedings have taken place against the government and its ruling party, nothing suggests he is aware of any proceedings in which claims have proceeded involving allegations of serious governmental misconduct or how the government would react if the plaintiffs' claims proceeded in Eritrea; and</w:t>
      </w:r>
    </w:p>
    <w:p>
      <w:pPr>
        <w:numPr>
          <w:numId w:val="3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Biniam Ghebremichael's evidence is that the Special Court, whose proceedings are held in private and where no representation is permitted, "has created chaos in the judicial system by reversing decisions of the ordinary courts..." While Prof. Andemariam is of the opinion that the parties would receive a fair trial in the High Court, he does not comment on a fair trial within the context of the Special Court or the "Special of Special"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In addition, although this is a preliminary application, I have significant difficulty in placing much weight on Prof. Andemariam's evidence regarding a fair trial for the plaintiffs in Eritrea. He is apparently providing "constant" advice to the government. Although the State of Eritrea is not a party in this proceeding, it is clear from the evidence that the State's role, which includes the military, will be a most important factor in the plaintiffs' ability to prove their case and/or Nevsun to establish its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There is also the fact that the plaintiffs will not be present in person if the case were to proceed in Eritrea, although they can, according to Prof. Andemariam, appear by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Nevsun submits that the plaintiffs have made no effort to have the case tried in Eritrea and that this is a factor which militates against the proceeding taking place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I do not agree. First of all, whether the plaintiffs have attempted to return to Eritrea is not part of the legal test to be applied on this application. In any event, the plaintiffs have detailed in their affidavits their reasoning for not returning to Eritrea and, as I have noted, there is a dispute in the evidence as to whether they would be treated as traitors.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But there is evidence on the record, which I find to be cogent, that corroborates the plaintiffs' expressed fears that they cannot return to Eritrea and obtain a fair trial against Nevsun in that forum. This evidence also corroborates Mr. Biniam Ghebremichael's assertions that the plaintiffs would not receive a fair trial in Eritrea and that any judge hearing the case and who ruled in their favour would place his or her career and personal safety in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xml:space="preserve">  The secondary reports dealing with this issue appear to be unanimous that the plaintiffs would face real consequences if they attempted to return. These vary from a minimum of paying a tax or fine and making a written apology to also being required to attend a six week training course "to enforce their patriotic feelings": EASO, </w:t>
      </w:r>
      <w:r>
        <w:rPr>
          <w:rFonts w:ascii="arial" w:eastAsia="arial" w:hAnsi="arial" w:cs="arial"/>
          <w:i/>
          <w:color w:val="000000"/>
          <w:sz w:val="20"/>
          <w:lang w:val="en-US" w:eastAsia="en-US" w:bidi="ar-SA"/>
        </w:rPr>
        <w:t>Court of Origin Report: Eritrea Country Focus,</w:t>
      </w:r>
      <w:r>
        <w:rPr>
          <w:rFonts w:ascii="arial" w:eastAsia="arial" w:hAnsi="arial" w:cs="arial"/>
          <w:color w:val="000000"/>
          <w:sz w:val="20"/>
          <w:lang w:val="en-US" w:eastAsia="en-US" w:bidi="ar-SA"/>
        </w:rPr>
        <w:t xml:space="preserve">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With respect, it would defy common sense for this Court to accept that the plaintiffs, as a pre-condition to returning to Eritrea, would have to:</w:t>
      </w:r>
      <w:r>
        <w:rPr>
          <w:rFonts w:ascii="arial" w:eastAsia="arial" w:hAnsi="arial" w:cs="arial"/>
          <w:sz w:val="20"/>
          <w:lang w:val="en-US" w:eastAsia="en-US" w:bidi="ar-SA"/>
        </w:rPr>
        <w:cr/>
      </w:r>
    </w:p>
    <w:p>
      <w:pPr>
        <w:numPr>
          <w:numId w:val="3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pay a tax or fine as punishment for having left the country illegally;</w:t>
      </w:r>
    </w:p>
    <w:p>
      <w:pPr>
        <w:numPr>
          <w:numId w:val="3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render a written apology for their conduct; and</w:t>
      </w:r>
    </w:p>
    <w:p>
      <w:pPr>
        <w:numPr>
          <w:numId w:val="3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possibly attend a six week course designed to enforce their patriotic feelings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not find that there is a real risk that the plaintiffs would not receive a fair trial in Eritrea. This is particularly the case if they then chose to commence legal proceedings in which they make the most unpatriotic allegations against the State and its military, and call into question the actions of a commercial enterprise which is the primary economic generator in one of the poorest countries in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There is also no evidence or only the most general statements from either Prof. Andemariam or Mr. Sium, who was not tendered as an expert witness, on such issues as:</w:t>
      </w:r>
      <w:r>
        <w:rPr>
          <w:rFonts w:ascii="arial" w:eastAsia="arial" w:hAnsi="arial" w:cs="arial"/>
          <w:sz w:val="20"/>
          <w:lang w:val="en-US" w:eastAsia="en-US" w:bidi="ar-SA"/>
        </w:rPr>
        <w:cr/>
      </w:r>
    </w:p>
    <w:p>
      <w:pPr>
        <w:numPr>
          <w:numId w:val="3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capabilities of the Eritrean justice system to manage what will be an extremely complex civil proceeding. In fact there is no evidence at all as to how complex commercial cases are managed. A case such as this does not appear to be contemplated in Prof. Andemariam's report; and</w:t>
      </w:r>
    </w:p>
    <w:p>
      <w:pPr>
        <w:numPr>
          <w:numId w:val="3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ability to access legal counsel and whether there are counsel who would take on a case such as this involving, as it does, the most serious allegations of egregious conduct by the State and its military.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There is also Prof. Andemariam's evidence relating to the role of the military and the difficulties posed by the lack of a proper body of the law of evidence. These are important factors for consideration that militate against Eritrea being the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I would reach the same conclusion should the plaintiffs not return to Eritrea. That is because this would result in proceedings commenced in Eritrea being made in abstentia through 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Conversely, in British Columbia:</w:t>
      </w:r>
      <w:r>
        <w:rPr>
          <w:rFonts w:ascii="arial" w:eastAsia="arial" w:hAnsi="arial" w:cs="arial"/>
          <w:sz w:val="20"/>
          <w:lang w:val="en-US" w:eastAsia="en-US" w:bidi="ar-SA"/>
        </w:rPr>
        <w:cr/>
      </w:r>
    </w:p>
    <w:p>
      <w:pPr>
        <w:numPr>
          <w:numId w:val="3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well established Rules of Court that include broad provisions for comprehensive case management which is routinely used in complex civil cases. Some of these are set out in Rule 12-2(9) with the court having a very broad discretion to make any orders that may make the trial more efficient and will further the objects of the Rules;</w:t>
      </w:r>
    </w:p>
    <w:p>
      <w:pPr>
        <w:numPr>
          <w:numId w:val="3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history of lengthy and complicated civil trials in such diverse fields as commercial litigation, and aboriginal and language rights claims to name a few. The court's experience in "mega" criminal trials is also indicative of its ability to effectively manage and provide justice to all the parties in this case; and</w:t>
      </w:r>
    </w:p>
    <w:p>
      <w:pPr>
        <w:numPr>
          <w:numId w:val="3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robust and well-established body of evidentiary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291</w:t>
      </w:r>
      <w:r>
        <w:rPr>
          <w:rFonts w:ascii="arial" w:eastAsia="arial" w:hAnsi="arial" w:cs="arial"/>
          <w:color w:val="000000"/>
          <w:sz w:val="20"/>
          <w:lang w:val="en-US" w:eastAsia="en-US" w:bidi="ar-SA"/>
        </w:rPr>
        <w:t>  Nevsun refers to the hundreds of witnesses who may have to give evidence in this case, the vast majority of whom are in Eritrea and the obstacles which arise due to the sheer volume and location of documents.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292</w:t>
      </w:r>
      <w:r>
        <w:rPr>
          <w:rFonts w:ascii="arial" w:eastAsia="arial" w:hAnsi="arial" w:cs="arial"/>
          <w:color w:val="000000"/>
          <w:sz w:val="20"/>
          <w:lang w:val="en-US" w:eastAsia="en-US" w:bidi="ar-SA"/>
        </w:rPr>
        <w:t>  I am of the view that with proper case management and the cooperation of the parties, the number of witnesses will be considerably less than what Nevsun submits may be the case. I note that the parties and their counsels' conduct and their cooperation in the manner in which this proceeding has proceeded to date has been exemplary.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293</w:t>
      </w:r>
      <w:r>
        <w:rPr>
          <w:rFonts w:ascii="arial" w:eastAsia="arial" w:hAnsi="arial" w:cs="arial"/>
          <w:color w:val="000000"/>
          <w:sz w:val="20"/>
          <w:lang w:val="en-US" w:eastAsia="en-US" w:bidi="ar-SA"/>
        </w:rPr>
        <w:t>  All this points to the likelihood that in the exercise of the trial management powers at my disposal as judicial management judge, the proceeding can be tailored to best serve the parties and the interests of justice. This may include:</w:t>
      </w:r>
      <w:r>
        <w:rPr>
          <w:rFonts w:ascii="arial" w:eastAsia="arial" w:hAnsi="arial" w:cs="arial"/>
          <w:sz w:val="20"/>
          <w:lang w:val="en-US" w:eastAsia="en-US" w:bidi="ar-SA"/>
        </w:rPr>
        <w:cr/>
      </w:r>
    </w:p>
    <w:p>
      <w:pPr>
        <w:numPr>
          <w:numId w:val="3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that certain issues be tried before others. This could involve determining certain threshold liability issues:</w:t>
      </w:r>
    </w:p>
    <w:p>
      <w:pPr>
        <w:numPr>
          <w:numId w:val="3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plaintiffs were at the Bisha Mine and when;</w:t>
      </w:r>
    </w:p>
    <w:p>
      <w:pPr>
        <w:numPr>
          <w:numId w:val="3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occurred at the Bisha Mine and when; and</w:t>
      </w:r>
    </w:p>
    <w:p>
      <w:pPr>
        <w:numPr>
          <w:numId w:val="3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substantive issues such as the applicable law and limitation defences;</w:t>
      </w:r>
    </w:p>
    <w:p>
      <w:pPr>
        <w:numPr>
          <w:numId w:val="3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directing that summaries of evidence of certain witnesses be provided and/or the use of depositions and affidavits as evidence for certain witnesses;</w:t>
      </w:r>
    </w:p>
    <w:p>
      <w:pPr>
        <w:numPr>
          <w:numId w:val="3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providing that certain witnesses give their evidence outside of British Columbia or Canada; and</w:t>
      </w:r>
    </w:p>
    <w:p>
      <w:pPr>
        <w:numPr>
          <w:numId w:val="3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making orders regarding documentary production which would presumably be coordinated with any directions made regarding the order in which certain issues will be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294</w:t>
      </w:r>
      <w:r>
        <w:rPr>
          <w:rFonts w:ascii="arial" w:eastAsia="arial" w:hAnsi="arial" w:cs="arial"/>
          <w:color w:val="000000"/>
          <w:sz w:val="20"/>
          <w:lang w:val="en-US" w:eastAsia="en-US" w:bidi="ar-SA"/>
        </w:rPr>
        <w:t>  I am sure there are many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295</w:t>
      </w:r>
      <w:r>
        <w:rPr>
          <w:rFonts w:ascii="arial" w:eastAsia="arial" w:hAnsi="arial" w:cs="arial"/>
          <w:color w:val="000000"/>
          <w:sz w:val="20"/>
          <w:lang w:val="en-US" w:eastAsia="en-US" w:bidi="ar-SA"/>
        </w:rPr>
        <w:t>  Taking all these factors into account, I have concluded that Nevsun has not established that the comparative convenience and expense favours Eritrea as the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296</w:t>
      </w:r>
      <w:r>
        <w:rPr>
          <w:rFonts w:ascii="arial" w:eastAsia="arial" w:hAnsi="arial" w:cs="arial"/>
          <w:color w:val="000000"/>
          <w:sz w:val="20"/>
          <w:lang w:val="en-US" w:eastAsia="en-US" w:bidi="ar-SA"/>
        </w:rPr>
        <w:t>  In reaching this decision, I have also concluded that there is a real risk to the plaintiffs of an unfair trial occurring in Eritrea.</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the law to be applied to issues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297</w:t>
      </w:r>
      <w:r>
        <w:rPr>
          <w:rFonts w:ascii="arial" w:eastAsia="arial" w:hAnsi="arial" w:cs="arial"/>
          <w:color w:val="000000"/>
          <w:sz w:val="20"/>
          <w:lang w:val="en-US" w:eastAsia="en-US" w:bidi="ar-SA"/>
        </w:rPr>
        <w:t xml:space="preserve">  Nevsun's position includes the assertion that the proper law to be applied to the plaintiffs' claims is that of Eritrea and the common law shows a strong preference to have the dispute determined in the forum whose substantive law applies. This is particularly the case since the alleged torts occurred in Eritrea. The </w:t>
      </w:r>
      <w:r>
        <w:rPr>
          <w:rFonts w:ascii="arial" w:eastAsia="arial" w:hAnsi="arial" w:cs="arial"/>
          <w:i/>
          <w:color w:val="000000"/>
          <w:sz w:val="20"/>
          <w:lang w:val="en-US" w:eastAsia="en-US" w:bidi="ar-SA"/>
        </w:rPr>
        <w:t>lex loci delicti</w:t>
      </w:r>
      <w:r>
        <w:rPr>
          <w:rFonts w:ascii="arial" w:eastAsia="arial" w:hAnsi="arial" w:cs="arial"/>
          <w:color w:val="000000"/>
          <w:sz w:val="20"/>
          <w:lang w:val="en-US" w:eastAsia="en-US" w:bidi="ar-SA"/>
        </w:rPr>
        <w:t xml:space="preserve"> should apply: </w:t>
      </w:r>
      <w:r>
        <w:rPr>
          <w:rFonts w:ascii="arial" w:eastAsia="arial" w:hAnsi="arial" w:cs="arial"/>
          <w:i/>
          <w:color w:val="000000"/>
          <w:sz w:val="20"/>
          <w:lang w:val="en-US" w:eastAsia="en-US" w:bidi="ar-SA"/>
        </w:rPr>
        <w:t>Kvaerner U.S. Inc. v. AMEC E&amp;C Services Limited</w:t>
      </w:r>
      <w:r>
        <w:rPr>
          <w:rFonts w:ascii="arial" w:eastAsia="arial" w:hAnsi="arial" w:cs="arial"/>
          <w:color w:val="000000"/>
          <w:sz w:val="20"/>
          <w:lang w:val="en-US" w:eastAsia="en-US" w:bidi="ar-SA"/>
        </w:rPr>
        <w:t xml:space="preserve">, </w:t>
      </w:r>
      <w:hyperlink r:id="rId181" w:history="1">
        <w:r>
          <w:rPr>
            <w:rFonts w:ascii="arial" w:eastAsia="arial" w:hAnsi="arial" w:cs="arial"/>
            <w:i/>
            <w:color w:val="0077CC"/>
            <w:sz w:val="20"/>
            <w:u w:val="single"/>
            <w:shd w:val="clear" w:color="auto" w:fill="FFFFFF"/>
            <w:lang w:val="en-US" w:eastAsia="en-US" w:bidi="ar-SA"/>
          </w:rPr>
          <w:t>2004 BCSC 635</w:t>
        </w:r>
      </w:hyperlink>
      <w:r>
        <w:rPr>
          <w:rFonts w:ascii="arial" w:eastAsia="arial" w:hAnsi="arial" w:cs="arial"/>
          <w:color w:val="000000"/>
          <w:sz w:val="20"/>
          <w:lang w:val="en-US" w:eastAsia="en-US" w:bidi="ar-SA"/>
        </w:rPr>
        <w:t xml:space="preserve"> at para. 26; </w:t>
      </w:r>
      <w:r>
        <w:rPr>
          <w:rFonts w:ascii="arial" w:eastAsia="arial" w:hAnsi="arial" w:cs="arial"/>
          <w:i/>
          <w:color w:val="000000"/>
          <w:sz w:val="20"/>
          <w:lang w:val="en-US" w:eastAsia="en-US" w:bidi="ar-SA"/>
        </w:rPr>
        <w:t>Tolofson v. Jensen</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at 1060. Accordingly, it submits that this factor weighs heavily in favour of Eritrea as the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298</w:t>
      </w:r>
      <w:r>
        <w:rPr>
          <w:rFonts w:ascii="arial" w:eastAsia="arial" w:hAnsi="arial" w:cs="arial"/>
          <w:color w:val="000000"/>
          <w:sz w:val="20"/>
          <w:lang w:val="en-US" w:eastAsia="en-US" w:bidi="ar-SA"/>
        </w:rPr>
        <w:t xml:space="preserve">  The plaintiffs do not accept that the choice of law is as simple as asserted by Nevsun. They argue that </w:t>
      </w:r>
      <w:r>
        <w:rPr>
          <w:rFonts w:ascii="arial" w:eastAsia="arial" w:hAnsi="arial" w:cs="arial"/>
          <w:i/>
          <w:color w:val="000000"/>
          <w:sz w:val="20"/>
          <w:lang w:val="en-US" w:eastAsia="en-US" w:bidi="ar-SA"/>
        </w:rPr>
        <w:t>Tolofson</w:t>
      </w:r>
      <w:r>
        <w:rPr>
          <w:rFonts w:ascii="arial" w:eastAsia="arial" w:hAnsi="arial" w:cs="arial"/>
          <w:color w:val="000000"/>
          <w:sz w:val="20"/>
          <w:lang w:val="en-US" w:eastAsia="en-US" w:bidi="ar-SA"/>
        </w:rPr>
        <w:t xml:space="preserve"> at 1047, provides a limitation to the normal rule where breaches of some overriding norms are alleged, such as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299</w:t>
      </w:r>
      <w:r>
        <w:rPr>
          <w:rFonts w:ascii="arial" w:eastAsia="arial" w:hAnsi="arial" w:cs="arial"/>
          <w:color w:val="000000"/>
          <w:sz w:val="20"/>
          <w:lang w:val="en-US" w:eastAsia="en-US" w:bidi="ar-SA"/>
        </w:rPr>
        <w:t xml:space="preserve">  In that regard they rely on </w:t>
      </w:r>
      <w:r>
        <w:rPr>
          <w:rFonts w:ascii="arial" w:eastAsia="arial" w:hAnsi="arial" w:cs="arial"/>
          <w:i/>
          <w:color w:val="000000"/>
          <w:sz w:val="20"/>
          <w:lang w:val="en-US" w:eastAsia="en-US" w:bidi="ar-SA"/>
        </w:rPr>
        <w:t>Oppenheimer v. Catermole</w:t>
      </w:r>
      <w:r>
        <w:rPr>
          <w:rFonts w:ascii="arial" w:eastAsia="arial" w:hAnsi="arial" w:cs="arial"/>
          <w:color w:val="000000"/>
          <w:sz w:val="20"/>
          <w:lang w:val="en-US" w:eastAsia="en-US" w:bidi="ar-SA"/>
        </w:rPr>
        <w:t>, [1976] A.C.249 (H.L.), where the House of Lords declined to give effect to a Nazi law purporting to strip Jews of their German citizenship, holding at 278: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my mind a law of this sort constitutes so grave an infringement of human rights that the courts of this country ought to refuse to recognise it as a law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300</w:t>
      </w:r>
      <w:r>
        <w:rPr>
          <w:rFonts w:ascii="arial" w:eastAsia="arial" w:hAnsi="arial" w:cs="arial"/>
          <w:color w:val="000000"/>
          <w:sz w:val="20"/>
          <w:lang w:val="en-US" w:eastAsia="en-US" w:bidi="ar-SA"/>
        </w:rPr>
        <w:t>  They also point to the fact that the record does not clearly establish how Eritrean law is to be applied. Both the President's office and the Special Court have the opportunity to intervene and, according to Prof. Andemariam, the lack of a substantive body of law of evidence means that there is a lack of consistency in judicial decisions.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301</w:t>
      </w:r>
      <w:r>
        <w:rPr>
          <w:rFonts w:ascii="arial" w:eastAsia="arial" w:hAnsi="arial" w:cs="arial"/>
          <w:color w:val="000000"/>
          <w:sz w:val="20"/>
          <w:lang w:val="en-US" w:eastAsia="en-US" w:bidi="ar-SA"/>
        </w:rPr>
        <w:t>  If this were a case where, at this stage of the proceeding, the foreign law were readily ascertainable from the various codes, promulgations, interpretations and applications, then I would be more inclined to accept Nevsun's submission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302</w:t>
      </w:r>
      <w:r>
        <w:rPr>
          <w:rFonts w:ascii="arial" w:eastAsia="arial" w:hAnsi="arial" w:cs="arial"/>
          <w:color w:val="000000"/>
          <w:sz w:val="20"/>
          <w:lang w:val="en-US" w:eastAsia="en-US" w:bidi="ar-SA"/>
        </w:rPr>
        <w:t>  But there are a number of issues that cannot be determined at this stage. They include:</w:t>
      </w:r>
      <w:r>
        <w:rPr>
          <w:rFonts w:ascii="arial" w:eastAsia="arial" w:hAnsi="arial" w:cs="arial"/>
          <w:sz w:val="20"/>
          <w:lang w:val="en-US" w:eastAsia="en-US" w:bidi="ar-SA"/>
        </w:rPr>
        <w:cr/>
      </w:r>
    </w:p>
    <w:p>
      <w:pPr>
        <w:numPr>
          <w:numId w:val="3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procedural code set out in the legislation is the law that will be applied to the issues in the proceeding;</w:t>
      </w:r>
    </w:p>
    <w:p>
      <w:pPr>
        <w:numPr>
          <w:numId w:val="3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legislation passed prior to the dissolution of the legislature will have any force in relation to the issues, since laws may be issued, amended and repealed by government decree;</w:t>
      </w:r>
    </w:p>
    <w:p>
      <w:pPr>
        <w:numPr>
          <w:numId w:val="3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a substantive body of the law of evidence, to what extent rulings on this issue will be at the discretion of individual judges; and</w:t>
      </w:r>
    </w:p>
    <w:p>
      <w:pPr>
        <w:numPr>
          <w:numId w:val="3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proceeding did originate in the High Court, whether the ultimate decision would be made by that court. The Special Court, or simply the Office of the President, could make the final decision with no discernable law applying in either of those fora.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303</w:t>
      </w:r>
      <w:r>
        <w:rPr>
          <w:rFonts w:ascii="arial" w:eastAsia="arial" w:hAnsi="arial" w:cs="arial"/>
          <w:color w:val="000000"/>
          <w:sz w:val="20"/>
          <w:lang w:val="en-US" w:eastAsia="en-US" w:bidi="ar-SA"/>
        </w:rPr>
        <w:t xml:space="preserve">  Accordingly I conclude that, at best when viewed from Nevsun's perspective, the choice of law is an equivocal factor in the </w:t>
      </w:r>
      <w:r>
        <w:rPr>
          <w:rFonts w:ascii="arial" w:eastAsia="arial" w:hAnsi="arial" w:cs="arial"/>
          <w:i/>
          <w:color w:val="000000"/>
          <w:sz w:val="20"/>
          <w:lang w:val="en-US" w:eastAsia="en-US" w:bidi="ar-SA"/>
        </w:rPr>
        <w:t>forum conveniens</w:t>
      </w:r>
      <w:r>
        <w:rPr>
          <w:rFonts w:ascii="arial" w:eastAsia="arial" w:hAnsi="arial" w:cs="arial"/>
          <w:color w:val="000000"/>
          <w:sz w:val="20"/>
          <w:lang w:val="en-US" w:eastAsia="en-US" w:bidi="ar-SA"/>
        </w:rPr>
        <w:t xml:space="preserve"> analysis.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the desirability of avoiding multiplicity of legal proceedings,</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(d) the desirability of avoiding conflicting decisions in different courts and</w:t>
      </w:r>
    </w:p>
    <w:p>
      <w:pPr>
        <w:spacing w:before="120"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(e) the enforcement of an eventual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304</w:t>
      </w:r>
      <w:r>
        <w:rPr>
          <w:rFonts w:ascii="arial" w:eastAsia="arial" w:hAnsi="arial" w:cs="arial"/>
          <w:color w:val="000000"/>
          <w:sz w:val="20"/>
          <w:lang w:val="en-US" w:eastAsia="en-US" w:bidi="ar-SA"/>
        </w:rPr>
        <w:t>  I will consider these factors together as the submissions of the parties overlap on these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305</w:t>
      </w:r>
      <w:r>
        <w:rPr>
          <w:rFonts w:ascii="arial" w:eastAsia="arial" w:hAnsi="arial" w:cs="arial"/>
          <w:color w:val="000000"/>
          <w:sz w:val="20"/>
          <w:lang w:val="en-US" w:eastAsia="en-US" w:bidi="ar-SA"/>
        </w:rPr>
        <w:t>  Nevsun submits that the desirability of avoiding a multiplicity of proceedings is an equivocal factor because at present there is no litigation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306</w:t>
      </w:r>
      <w:r>
        <w:rPr>
          <w:rFonts w:ascii="arial" w:eastAsia="arial" w:hAnsi="arial" w:cs="arial"/>
          <w:color w:val="000000"/>
          <w:sz w:val="20"/>
          <w:lang w:val="en-US" w:eastAsia="en-US" w:bidi="ar-SA"/>
        </w:rPr>
        <w:t xml:space="preserve">  Nevsun also says that it has agreed to attorn to the jurisdiction of the Eritrean courts. Although Eritrea is not a reciprocating state under the </w:t>
      </w:r>
      <w:r>
        <w:rPr>
          <w:rFonts w:ascii="arial" w:eastAsia="arial" w:hAnsi="arial" w:cs="arial"/>
          <w:i/>
          <w:color w:val="000000"/>
          <w:sz w:val="20"/>
          <w:lang w:val="en-US" w:eastAsia="en-US" w:bidi="ar-SA"/>
        </w:rPr>
        <w:t>Court Order Enforcement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78</w:t>
      </w:r>
      <w:r>
        <w:rPr>
          <w:rFonts w:ascii="arial" w:eastAsia="arial" w:hAnsi="arial" w:cs="arial"/>
          <w:color w:val="000000"/>
          <w:sz w:val="20"/>
          <w:lang w:val="en-US" w:eastAsia="en-US" w:bidi="ar-SA"/>
        </w:rPr>
        <w:t>, the plaintiffs could apply to enforce a final judgment obtained against Nevsun in Eritrea pursuant to the common law principles governing the enforcement of foreign judgments.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307</w:t>
      </w:r>
      <w:r>
        <w:rPr>
          <w:rFonts w:ascii="arial" w:eastAsia="arial" w:hAnsi="arial" w:cs="arial"/>
          <w:color w:val="000000"/>
          <w:sz w:val="20"/>
          <w:lang w:val="en-US" w:eastAsia="en-US" w:bidi="ar-SA"/>
        </w:rPr>
        <w:t>  The plaintiffs' position is that there will likely be contentious, costly, and time-consuming proceedings in British Columbia over any judgment obtained in Eritrea. Given the state of Eritrea's judicial system, any losing party could easily mount a credible challenge to the integrity of any resulting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308</w:t>
      </w:r>
      <w:r>
        <w:rPr>
          <w:rFonts w:ascii="arial" w:eastAsia="arial" w:hAnsi="arial" w:cs="arial"/>
          <w:color w:val="000000"/>
          <w:sz w:val="20"/>
          <w:lang w:val="en-US" w:eastAsia="en-US" w:bidi="ar-SA"/>
        </w:rPr>
        <w:t xml:space="preserve">  They cite the example of </w:t>
      </w:r>
      <w:r>
        <w:rPr>
          <w:rFonts w:ascii="arial" w:eastAsia="arial" w:hAnsi="arial" w:cs="arial"/>
          <w:i/>
          <w:color w:val="000000"/>
          <w:sz w:val="20"/>
          <w:lang w:val="en-US" w:eastAsia="en-US" w:bidi="ar-SA"/>
        </w:rPr>
        <w:t>Chevron Corporation v. Yaiguaje,</w:t>
      </w:r>
      <w:r>
        <w:rPr>
          <w:rFonts w:ascii="arial" w:eastAsia="arial" w:hAnsi="arial" w:cs="arial"/>
          <w:color w:val="000000"/>
          <w:sz w:val="20"/>
          <w:lang w:val="en-US" w:eastAsia="en-US" w:bidi="ar-SA"/>
        </w:rPr>
        <w:t xml:space="preserve"> </w:t>
      </w:r>
      <w:hyperlink r:id="rId183" w:history="1">
        <w:r>
          <w:rPr>
            <w:rFonts w:ascii="arial" w:eastAsia="arial" w:hAnsi="arial" w:cs="arial"/>
            <w:i/>
            <w:color w:val="0077CC"/>
            <w:sz w:val="20"/>
            <w:u w:val="single"/>
            <w:shd w:val="clear" w:color="auto" w:fill="FFFFFF"/>
            <w:lang w:val="en-US" w:eastAsia="en-US" w:bidi="ar-SA"/>
          </w:rPr>
          <w:t>2015 SCC 42</w:t>
        </w:r>
      </w:hyperlink>
      <w:r>
        <w:rPr>
          <w:rFonts w:ascii="arial" w:eastAsia="arial" w:hAnsi="arial" w:cs="arial"/>
          <w:color w:val="000000"/>
          <w:sz w:val="20"/>
          <w:lang w:val="en-US" w:eastAsia="en-US" w:bidi="ar-SA"/>
        </w:rPr>
        <w:t>, which they say illustrates the difficulties that can arise when enforcing a judgment from a forum that is vulnerable to accusations about the absence of judicial independence and rule of law. After many years of litigation both in the United States and Ecuador, a judgment from an Ecuadorian court in the amount of $9.5 billion remains unpaid. This has generated litigation in many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309</w:t>
      </w:r>
      <w:r>
        <w:rPr>
          <w:rFonts w:ascii="arial" w:eastAsia="arial" w:hAnsi="arial" w:cs="arial"/>
          <w:color w:val="000000"/>
          <w:sz w:val="20"/>
          <w:lang w:val="en-US" w:eastAsia="en-US" w:bidi="ar-SA"/>
        </w:rPr>
        <w:t>  The plaintiffs submit that it is easy to envision this saga repeating itself in this case. This factor favours this Court retaining jurisdiction "where the integrity of the courts is unassailable".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310</w:t>
      </w:r>
      <w:r>
        <w:rPr>
          <w:rFonts w:ascii="arial" w:eastAsia="arial" w:hAnsi="arial" w:cs="arial"/>
          <w:color w:val="000000"/>
          <w:sz w:val="20"/>
          <w:lang w:val="en-US" w:eastAsia="en-US" w:bidi="ar-SA"/>
        </w:rPr>
        <w:t>  They submit that for similar reasons, the factor pertaining to the enforceability of a judgment also weighs in favour of British Columbia as the more appropriate forum. An enforcement action in British Columbia could become a whole proceeding in and of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311</w:t>
      </w:r>
      <w:r>
        <w:rPr>
          <w:rFonts w:ascii="arial" w:eastAsia="arial" w:hAnsi="arial" w:cs="arial"/>
          <w:color w:val="000000"/>
          <w:sz w:val="20"/>
          <w:lang w:val="en-US" w:eastAsia="en-US" w:bidi="ar-SA"/>
        </w:rPr>
        <w:t>  I have concluded that whether the substantive proceeding occurs in British Columbia or Eritrea:</w:t>
      </w:r>
      <w:r>
        <w:rPr>
          <w:rFonts w:ascii="arial" w:eastAsia="arial" w:hAnsi="arial" w:cs="arial"/>
          <w:sz w:val="20"/>
          <w:lang w:val="en-US" w:eastAsia="en-US" w:bidi="ar-SA"/>
        </w:rPr>
        <w:cr/>
      </w:r>
    </w:p>
    <w:p>
      <w:pPr>
        <w:numPr>
          <w:numId w:val="3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serious allegations made as to the integrity of the Eritrean judicial system;</w:t>
      </w:r>
    </w:p>
    <w:p>
      <w:pPr>
        <w:numPr>
          <w:numId w:val="3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Nevsun's principal asset is the Bisha Mine located in Eritrea; and</w:t>
      </w:r>
    </w:p>
    <w:p>
      <w:pPr>
        <w:numPr>
          <w:numId w:val="3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will undoubtedly be various proceedings in any event with enforcement of any judgment likely problematic irrespective of where this proceeding is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As a result, these three factors are equivocal in the forum analysis.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(f) the fair and efficient working of the Canadian legal system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312</w:t>
      </w:r>
      <w:r>
        <w:rPr>
          <w:rFonts w:ascii="arial" w:eastAsia="arial" w:hAnsi="arial" w:cs="arial"/>
          <w:color w:val="000000"/>
          <w:sz w:val="20"/>
          <w:lang w:val="en-US" w:eastAsia="en-US" w:bidi="ar-SA"/>
        </w:rPr>
        <w:t xml:space="preserve">  In its written submissions, Nevsun refers to a recent decision of the Ontario Superior Court of Justice, </w:t>
      </w:r>
      <w:r>
        <w:rPr>
          <w:rFonts w:ascii="arial" w:eastAsia="arial" w:hAnsi="arial" w:cs="arial"/>
          <w:i/>
          <w:color w:val="000000"/>
          <w:sz w:val="20"/>
          <w:lang w:val="en-US" w:eastAsia="en-US" w:bidi="ar-SA"/>
        </w:rPr>
        <w:t>Airia Brands v. Air Canada</w:t>
      </w:r>
      <w:r>
        <w:rPr>
          <w:rFonts w:ascii="arial" w:eastAsia="arial" w:hAnsi="arial" w:cs="arial"/>
          <w:color w:val="000000"/>
          <w:sz w:val="20"/>
          <w:lang w:val="en-US" w:eastAsia="en-US" w:bidi="ar-SA"/>
        </w:rPr>
        <w:t xml:space="preserve">, </w:t>
      </w:r>
      <w:hyperlink r:id="rId184" w:history="1">
        <w:r>
          <w:rPr>
            <w:rFonts w:ascii="arial" w:eastAsia="arial" w:hAnsi="arial" w:cs="arial"/>
            <w:i/>
            <w:color w:val="0077CC"/>
            <w:sz w:val="20"/>
            <w:u w:val="single"/>
            <w:shd w:val="clear" w:color="auto" w:fill="FFFFFF"/>
            <w:lang w:val="en-US" w:eastAsia="en-US" w:bidi="ar-SA"/>
          </w:rPr>
          <w:t>2015 ONSC 5332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Airia</w:t>
      </w:r>
      <w:r>
        <w:rPr>
          <w:rFonts w:ascii="arial" w:eastAsia="arial" w:hAnsi="arial" w:cs="arial"/>
          <w:color w:val="000000"/>
          <w:sz w:val="20"/>
          <w:lang w:val="en-US" w:eastAsia="en-US" w:bidi="ar-SA"/>
        </w:rPr>
        <w:t>] both with respect to the forum issues generally and specifically in relation to this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313</w:t>
      </w:r>
      <w:r>
        <w:rPr>
          <w:rFonts w:ascii="arial" w:eastAsia="arial" w:hAnsi="arial" w:cs="arial"/>
          <w:color w:val="000000"/>
          <w:sz w:val="20"/>
          <w:lang w:val="en-US" w:eastAsia="en-US" w:bidi="ar-SA"/>
        </w:rPr>
        <w:t xml:space="preserve">  It submits, based on </w:t>
      </w:r>
      <w:r>
        <w:rPr>
          <w:rFonts w:ascii="arial" w:eastAsia="arial" w:hAnsi="arial" w:cs="arial"/>
          <w:i/>
          <w:color w:val="000000"/>
          <w:sz w:val="20"/>
          <w:lang w:val="en-US" w:eastAsia="en-US" w:bidi="ar-SA"/>
        </w:rPr>
        <w:t>Airia</w:t>
      </w:r>
      <w:r>
        <w:rPr>
          <w:rFonts w:ascii="arial" w:eastAsia="arial" w:hAnsi="arial" w:cs="arial"/>
          <w:color w:val="000000"/>
          <w:sz w:val="20"/>
          <w:lang w:val="en-US" w:eastAsia="en-US" w:bidi="ar-SA"/>
        </w:rPr>
        <w:t>, that this Court should decline jurisdiction on the basis that the principles of order and fairness militate against it assuming jurisdiction over the claims of absent foreign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314</w:t>
      </w:r>
      <w:r>
        <w:rPr>
          <w:rFonts w:ascii="arial" w:eastAsia="arial" w:hAnsi="arial" w:cs="arial"/>
          <w:color w:val="000000"/>
          <w:sz w:val="20"/>
          <w:lang w:val="en-US" w:eastAsia="en-US" w:bidi="ar-SA"/>
        </w:rPr>
        <w:t>  Nevsun also submits that this Court should consider whether it is appropriate for our legal system to incur the expense of trying a case where the plaintiffs have no links with Canada or British Columbia and the alleged wrongs occurred in another country. Exercising appropriate restraint by declining jurisdiction over claims that properly belong elsewhere promotes the fair and efficient working of the Canadian legal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315</w:t>
      </w:r>
      <w:r>
        <w:rPr>
          <w:rFonts w:ascii="arial" w:eastAsia="arial" w:hAnsi="arial" w:cs="arial"/>
          <w:color w:val="000000"/>
          <w:sz w:val="20"/>
          <w:lang w:val="en-US" w:eastAsia="en-US" w:bidi="ar-SA"/>
        </w:rPr>
        <w:t>  The plaintiffs argue that denying the plaintiffs access to the courts in British Columbia on the basis of the "expense" of trying their claims would not promote the fair and efficient working of the Canadian legal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Airia</w:t>
      </w:r>
      <w:r>
        <w:rPr>
          <w:rFonts w:ascii="arial" w:eastAsia="arial" w:hAnsi="arial" w:cs="arial"/>
          <w:color w:val="000000"/>
          <w:sz w:val="20"/>
          <w:lang w:val="en-US" w:eastAsia="en-US" w:bidi="ar-SA"/>
        </w:rPr>
        <w:t>, the plaintiffs alleged that the defendants conspired in Canada and throughout the world to fix the prices of airfreight shipping services. The court certified a global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317</w:t>
      </w:r>
      <w:r>
        <w:rPr>
          <w:rFonts w:ascii="arial" w:eastAsia="arial" w:hAnsi="arial" w:cs="arial"/>
          <w:color w:val="000000"/>
          <w:sz w:val="20"/>
          <w:lang w:val="en-US" w:eastAsia="en-US" w:bidi="ar-SA"/>
        </w:rPr>
        <w:t>  Justice Leitch at para. 175, recognized the many difficulties posed by a proceeding sought to be advanced on behalf of foreign plaintiffs and agreed that "the question of jurisdiction over absent foreign claimants must be answered separately from the question of jurisdiction over the Defendants themselves". Justice Leitch noted that the defendants did not dispute that the court had jurisdiction over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318</w:t>
      </w:r>
      <w:r>
        <w:rPr>
          <w:rFonts w:ascii="arial" w:eastAsia="arial" w:hAnsi="arial" w:cs="arial"/>
          <w:color w:val="000000"/>
          <w:sz w:val="20"/>
          <w:lang w:val="en-US" w:eastAsia="en-US" w:bidi="ar-SA"/>
        </w:rPr>
        <w:t xml:space="preserve">  She concluded at para. 146 that the Ontario court did not have </w:t>
      </w:r>
      <w:r>
        <w:rPr>
          <w:rFonts w:ascii="arial" w:eastAsia="arial" w:hAnsi="arial" w:cs="arial"/>
          <w:i/>
          <w:color w:val="000000"/>
          <w:sz w:val="20"/>
          <w:lang w:val="en-US" w:eastAsia="en-US" w:bidi="ar-SA"/>
        </w:rPr>
        <w:t>jurisdiction simpliciter</w:t>
      </w:r>
      <w:r>
        <w:rPr>
          <w:rFonts w:ascii="arial" w:eastAsia="arial" w:hAnsi="arial" w:cs="arial"/>
          <w:color w:val="000000"/>
          <w:sz w:val="20"/>
          <w:lang w:val="en-US" w:eastAsia="en-US" w:bidi="ar-SA"/>
        </w:rPr>
        <w:t xml:space="preserve"> over absent foreign plaintiffs whose "only link" to Canada was that they had "purchased Airfreight Shipping Services from somewhere out of Canada into Canada". Justice Leitch agreed with the defendants that permitting a global class action on behalf of absent foreign claimants did not satisfy the principles of order and fairness, and the related concept of comity, which underlie the territorial limits in s. 92 of </w:t>
      </w:r>
      <w:r>
        <w:rPr>
          <w:rFonts w:ascii="arial" w:eastAsia="arial" w:hAnsi="arial" w:cs="arial"/>
          <w:i/>
          <w:color w:val="000000"/>
          <w:sz w:val="20"/>
          <w:lang w:val="en-US" w:eastAsia="en-US" w:bidi="ar-SA"/>
        </w:rPr>
        <w:t>the Constitution Act,1867</w:t>
      </w:r>
      <w:r>
        <w:rPr>
          <w:rFonts w:ascii="arial" w:eastAsia="arial" w:hAnsi="arial" w:cs="arial"/>
          <w:color w:val="000000"/>
          <w:sz w:val="20"/>
          <w:lang w:val="en-US" w:eastAsia="en-US" w:bidi="ar-SA"/>
        </w:rPr>
        <w:t>. She concluded that it would offend the principles of order and fairness to take jurisdiction over absent foreign claimants who would not expect their rights to be adjudicated in Ontario and where an Ontario judgment would not be enforceable abroad.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319</w:t>
      </w:r>
      <w:r>
        <w:rPr>
          <w:rFonts w:ascii="arial" w:eastAsia="arial" w:hAnsi="arial" w:cs="arial"/>
          <w:color w:val="000000"/>
          <w:sz w:val="20"/>
          <w:lang w:val="en-US" w:eastAsia="en-US" w:bidi="ar-SA"/>
        </w:rPr>
        <w:t xml:space="preserve">  Justice Leitch would also have stayed the action in relation to absent foreign plaintiffs on the basis of </w:t>
      </w:r>
      <w:r>
        <w:rPr>
          <w:rFonts w:ascii="arial" w:eastAsia="arial" w:hAnsi="arial" w:cs="arial"/>
          <w:i/>
          <w:color w:val="000000"/>
          <w:sz w:val="20"/>
          <w:lang w:val="en-US" w:eastAsia="en-US" w:bidi="ar-SA"/>
        </w:rPr>
        <w:t>forum non conveniens</w:t>
      </w:r>
      <w:r>
        <w:rPr>
          <w:rFonts w:ascii="arial" w:eastAsia="arial" w:hAnsi="arial" w:cs="arial"/>
          <w:color w:val="000000"/>
          <w:sz w:val="20"/>
          <w:lang w:val="en-US" w:eastAsia="en-US" w:bidi="ar-SA"/>
        </w:rPr>
        <w:t xml:space="preserve">, stating at paras. 223-225 of </w:t>
      </w:r>
      <w:r>
        <w:rPr>
          <w:rFonts w:ascii="arial" w:eastAsia="arial" w:hAnsi="arial" w:cs="arial"/>
          <w:i/>
          <w:color w:val="000000"/>
          <w:sz w:val="20"/>
          <w:lang w:val="en-US" w:eastAsia="en-US" w:bidi="ar-SA"/>
        </w:rPr>
        <w:t>Airia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[223] I agree with the Defendants submission that the reasoning of Sharpe J.A. in </w:t>
      </w:r>
      <w:r>
        <w:rPr>
          <w:rFonts w:ascii="arial" w:eastAsia="arial" w:hAnsi="arial" w:cs="arial"/>
          <w:i/>
          <w:color w:val="000000"/>
          <w:sz w:val="20"/>
          <w:lang w:val="en-US" w:eastAsia="en-US" w:bidi="ar-SA"/>
        </w:rPr>
        <w:t>Kaynes</w:t>
      </w:r>
      <w:r>
        <w:rPr>
          <w:rFonts w:ascii="arial" w:eastAsia="arial" w:hAnsi="arial" w:cs="arial"/>
          <w:color w:val="000000"/>
          <w:sz w:val="20"/>
          <w:lang w:val="en-US" w:eastAsia="en-US" w:bidi="ar-SA"/>
        </w:rPr>
        <w:t xml:space="preserve"> indicates, as is set out in para. 195 of their factum, that "in a multi-jurisdictional class action the court should pay particular attention to whether its assumption of jurisdiction would be consistent with comity, prevailing international legal norms and the reasonable expectations of the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[224] The Defendants submit that the observations of Sharpe J.A. in </w:t>
      </w:r>
      <w:r>
        <w:rPr>
          <w:rFonts w:ascii="arial" w:eastAsia="arial" w:hAnsi="arial" w:cs="arial"/>
          <w:i/>
          <w:color w:val="000000"/>
          <w:sz w:val="20"/>
          <w:lang w:val="en-US" w:eastAsia="en-US" w:bidi="ar-SA"/>
        </w:rPr>
        <w:t>Kaynes</w:t>
      </w:r>
      <w:r>
        <w:rPr>
          <w:rFonts w:ascii="arial" w:eastAsia="arial" w:hAnsi="arial" w:cs="arial"/>
          <w:color w:val="000000"/>
          <w:sz w:val="20"/>
          <w:lang w:val="en-US" w:eastAsia="en-US" w:bidi="ar-SA"/>
        </w:rPr>
        <w:t xml:space="preserve"> that the claims of purchasers on foreign exchanges should be stayed because they had no reasonable expectation their rights would be adjudicated in Ontario are applicable here. This position is succinctly summarized at para. 201 of their factum: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observations apply with even greater force here. Not only did the absent foreign claimants purchase Airfreight Shipping Services through transactions abroad, they purchased them almost exclusively from foreign resident companies carrying on business abroad, while the absent foreign claimants themselves were resident abroad. The most reasonable expectation they could have is that their claims would be adjudicated in these foreign countries.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[225] I agree with the Defendants' submission that the circumstances of this action are even stronger than those before the court in </w:t>
      </w:r>
      <w:r>
        <w:rPr>
          <w:rFonts w:ascii="arial" w:eastAsia="arial" w:hAnsi="arial" w:cs="arial"/>
          <w:i/>
          <w:color w:val="000000"/>
          <w:sz w:val="20"/>
          <w:lang w:val="en-US" w:eastAsia="en-US" w:bidi="ar-SA"/>
        </w:rPr>
        <w:t>Kaynes</w:t>
      </w:r>
      <w:r>
        <w:rPr>
          <w:rFonts w:ascii="arial" w:eastAsia="arial" w:hAnsi="arial" w:cs="arial"/>
          <w:color w:val="000000"/>
          <w:sz w:val="20"/>
          <w:lang w:val="en-US" w:eastAsia="en-US" w:bidi="ar-SA"/>
        </w:rPr>
        <w:t>. To include absent foreign claimants within the class would require this court to apply the laws of at least 30 different countries in relation to matters that involve non-Canadians who have entered into transactions outside of Canada. In addition, as I have found, the overwhelming evidence is that a judgment of this court will not be recognized in other jurisdictions and this court cannot resolve the potential for double recovery if the absent foreign claimants pursue an action in their own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320</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Airia</w:t>
      </w:r>
      <w:r>
        <w:rPr>
          <w:rFonts w:ascii="arial" w:eastAsia="arial" w:hAnsi="arial" w:cs="arial"/>
          <w:color w:val="000000"/>
          <w:sz w:val="20"/>
          <w:lang w:val="en-US" w:eastAsia="en-US" w:bidi="ar-SA"/>
        </w:rPr>
        <w:t xml:space="preserve"> are different in many material respects from those in this case. Here, </w:t>
      </w:r>
      <w:r>
        <w:rPr>
          <w:rFonts w:ascii="arial" w:eastAsia="arial" w:hAnsi="arial" w:cs="arial"/>
          <w:i/>
          <w:color w:val="000000"/>
          <w:sz w:val="20"/>
          <w:lang w:val="en-US" w:eastAsia="en-US" w:bidi="ar-SA"/>
        </w:rPr>
        <w:t>jurisdiction simpliciter</w:t>
      </w:r>
      <w:r>
        <w:rPr>
          <w:rFonts w:ascii="arial" w:eastAsia="arial" w:hAnsi="arial" w:cs="arial"/>
          <w:color w:val="000000"/>
          <w:sz w:val="20"/>
          <w:lang w:val="en-US" w:eastAsia="en-US" w:bidi="ar-SA"/>
        </w:rPr>
        <w:t xml:space="preserve"> is not an issue. In addition, the plaintiffs have not chosen this jurisdiction having the choice of several other </w:t>
      </w:r>
      <w:r>
        <w:rPr>
          <w:rFonts w:ascii="arial" w:eastAsia="arial" w:hAnsi="arial" w:cs="arial"/>
          <w:i/>
          <w:color w:val="000000"/>
          <w:sz w:val="20"/>
          <w:lang w:val="en-US" w:eastAsia="en-US" w:bidi="ar-SA"/>
        </w:rPr>
        <w:t>fori</w:t>
      </w:r>
      <w:r>
        <w:rPr>
          <w:rFonts w:ascii="arial" w:eastAsia="arial" w:hAnsi="arial" w:cs="arial"/>
          <w:color w:val="000000"/>
          <w:sz w:val="20"/>
          <w:lang w:val="en-US" w:eastAsia="en-US" w:bidi="ar-SA"/>
        </w:rPr>
        <w:t xml:space="preserve"> in which to advance their claims, nor are the claims being advanced on a world-wide basis. The plaintiffs have two choices: British Columbia or Eritrea. They have selected British Columbia since that is where Nevsun is located and where they allege certain corporate decisions were made that adversely affected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321</w:t>
      </w:r>
      <w:r>
        <w:rPr>
          <w:rFonts w:ascii="arial" w:eastAsia="arial" w:hAnsi="arial" w:cs="arial"/>
          <w:color w:val="000000"/>
          <w:sz w:val="20"/>
          <w:lang w:val="en-US" w:eastAsia="en-US" w:bidi="ar-SA"/>
        </w:rPr>
        <w:t xml:space="preserve">  Furthermore, in </w:t>
      </w:r>
      <w:r>
        <w:rPr>
          <w:rFonts w:ascii="arial" w:eastAsia="arial" w:hAnsi="arial" w:cs="arial"/>
          <w:i/>
          <w:color w:val="000000"/>
          <w:sz w:val="20"/>
          <w:lang w:val="en-US" w:eastAsia="en-US" w:bidi="ar-SA"/>
        </w:rPr>
        <w:t>Airia,</w:t>
      </w:r>
      <w:r>
        <w:rPr>
          <w:rFonts w:ascii="arial" w:eastAsia="arial" w:hAnsi="arial" w:cs="arial"/>
          <w:color w:val="000000"/>
          <w:sz w:val="20"/>
          <w:lang w:val="en-US" w:eastAsia="en-US" w:bidi="ar-SA"/>
        </w:rPr>
        <w:t xml:space="preserve"> the class included foreign class members who were suing foreign defendants in respect of foreign transactions. Four of six defendants were foreign companies resident and domiciled outside Canada. In the present case, there is only one defendant, a BC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322</w:t>
      </w:r>
      <w:r>
        <w:rPr>
          <w:rFonts w:ascii="arial" w:eastAsia="arial" w:hAnsi="arial" w:cs="arial"/>
          <w:color w:val="000000"/>
          <w:sz w:val="20"/>
          <w:lang w:val="en-US" w:eastAsia="en-US" w:bidi="ar-SA"/>
        </w:rPr>
        <w:t>  Justice Leitch also found at paras. 114-115, that an Ontario judgment would not be enforceable outside Canada, concluding that foreign claimants who "will be able to bring further litigation against the Defendants in their 'home' countries" would potentially expose the defendants to double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323</w:t>
      </w:r>
      <w:r>
        <w:rPr>
          <w:rFonts w:ascii="arial" w:eastAsia="arial" w:hAnsi="arial" w:cs="arial"/>
          <w:color w:val="000000"/>
          <w:sz w:val="20"/>
          <w:lang w:val="en-US" w:eastAsia="en-US" w:bidi="ar-SA"/>
        </w:rPr>
        <w:t>  I will address Nevsun's arguments regarding this court's jurisdiction over foreign group members in my decision relating to the Representative Action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324</w:t>
      </w:r>
      <w:r>
        <w:rPr>
          <w:rFonts w:ascii="arial" w:eastAsia="arial" w:hAnsi="arial" w:cs="arial"/>
          <w:color w:val="000000"/>
          <w:sz w:val="20"/>
          <w:lang w:val="en-US" w:eastAsia="en-US" w:bidi="ar-SA"/>
        </w:rPr>
        <w:t xml:space="preserve">  For the purposes of this application, it is sufficient for me to state that based on the significantly different circumstances of this case from those in </w:t>
      </w:r>
      <w:r>
        <w:rPr>
          <w:rFonts w:ascii="arial" w:eastAsia="arial" w:hAnsi="arial" w:cs="arial"/>
          <w:i/>
          <w:color w:val="000000"/>
          <w:sz w:val="20"/>
          <w:lang w:val="en-US" w:eastAsia="en-US" w:bidi="ar-SA"/>
        </w:rPr>
        <w:t>Airia</w:t>
      </w:r>
      <w:r>
        <w:rPr>
          <w:rFonts w:ascii="arial" w:eastAsia="arial" w:hAnsi="arial" w:cs="arial"/>
          <w:color w:val="000000"/>
          <w:sz w:val="20"/>
          <w:lang w:val="en-US" w:eastAsia="en-US" w:bidi="ar-SA"/>
        </w:rPr>
        <w:t>, I am of the view that if this Court were to assume jurisdiction over this proceeding, it would promote the fair and efficient working of the Canadian legal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325</w:t>
      </w:r>
      <w:r>
        <w:rPr>
          <w:rFonts w:ascii="arial" w:eastAsia="arial" w:hAnsi="arial" w:cs="arial"/>
          <w:color w:val="000000"/>
          <w:sz w:val="20"/>
          <w:lang w:val="en-US" w:eastAsia="en-US" w:bidi="ar-SA"/>
        </w:rPr>
        <w:t>  Accordingly I conclude that this factor favours the plaintiffs.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Additional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326</w:t>
      </w:r>
      <w:r>
        <w:rPr>
          <w:rFonts w:ascii="arial" w:eastAsia="arial" w:hAnsi="arial" w:cs="arial"/>
          <w:color w:val="000000"/>
          <w:sz w:val="20"/>
          <w:lang w:val="en-US" w:eastAsia="en-US" w:bidi="ar-SA"/>
        </w:rPr>
        <w:t>  Nevsun submits that this Court exercising territorial competence would usurp the exclusive subject matter competence over the plaintiffs' claims that Eritrean law assigns to Eritrean labour tribunals.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327</w:t>
      </w:r>
      <w:r>
        <w:rPr>
          <w:rFonts w:ascii="arial" w:eastAsia="arial" w:hAnsi="arial" w:cs="arial"/>
          <w:color w:val="000000"/>
          <w:sz w:val="20"/>
          <w:lang w:val="en-US" w:eastAsia="en-US" w:bidi="ar-SA"/>
        </w:rPr>
        <w:t>  I do not accept this argument in that:</w:t>
      </w:r>
      <w:r>
        <w:rPr>
          <w:rFonts w:ascii="arial" w:eastAsia="arial" w:hAnsi="arial" w:cs="arial"/>
          <w:sz w:val="20"/>
          <w:lang w:val="en-US" w:eastAsia="en-US" w:bidi="ar-SA"/>
        </w:rPr>
        <w:cr/>
      </w:r>
    </w:p>
    <w:p>
      <w:pPr>
        <w:numPr>
          <w:numId w:val="3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Prof. Andemariam acknowledges that the labour tribunals could not hear any claims against Nevsun and two of the three Plaintiffs cannot bring a claim before the labour tribunals at all;</w:t>
      </w:r>
    </w:p>
    <w:p>
      <w:pPr>
        <w:numPr>
          <w:numId w:val="3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certain of the plaintiffs' allegations including forced labour and torture could not be disputes arising under a collective bargaining agreement; and</w:t>
      </w:r>
    </w:p>
    <w:p>
      <w:pPr>
        <w:numPr>
          <w:numId w:val="3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I have outlined, evidence on the record points to the risk of interference in judicial proceedings by both the Special Court and the Office of the President.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328</w:t>
      </w:r>
      <w:r>
        <w:rPr>
          <w:rFonts w:ascii="arial" w:eastAsia="arial" w:hAnsi="arial" w:cs="arial"/>
          <w:color w:val="000000"/>
          <w:sz w:val="20"/>
          <w:lang w:val="en-US" w:eastAsia="en-US" w:bidi="ar-SA"/>
        </w:rPr>
        <w:t>  Nevsun submits that this Court has no subject matter competence over the plaintiffs' claims by reason of the act of state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329</w:t>
      </w:r>
      <w:r>
        <w:rPr>
          <w:rFonts w:ascii="arial" w:eastAsia="arial" w:hAnsi="arial" w:cs="arial"/>
          <w:color w:val="000000"/>
          <w:sz w:val="20"/>
          <w:lang w:val="en-US" w:eastAsia="en-US" w:bidi="ar-SA"/>
        </w:rPr>
        <w:t xml:space="preserve">  In its written argument, Nevsun argues that if this Court concludes that the act of state doctrine applies and limits the Court's subject matter competence, then no resort to s. 11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is required. If the Court finds that the act of state doctrine does not bar the claim, then this Court can still take the underlying concerns about sitting in judgment on the State of Eritrea into account in determining whether it should exercise territorial competence. Considerations of comity and sovereign equality suggest that this Court should not proceed to exercise territorial competence. So too do practical considerations, including the State of Eritrea's entitlement to immunity from this Court's process, a troublesome prospect given the central place it occupies in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330</w:t>
      </w:r>
      <w:r>
        <w:rPr>
          <w:rFonts w:ascii="arial" w:eastAsia="arial" w:hAnsi="arial" w:cs="arial"/>
          <w:color w:val="000000"/>
          <w:sz w:val="20"/>
          <w:lang w:val="en-US" w:eastAsia="en-US" w:bidi="ar-SA"/>
        </w:rPr>
        <w:t>  As part of these reasons for judgment, I have dismissed the Act of State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331</w:t>
      </w:r>
      <w:r>
        <w:rPr>
          <w:rFonts w:ascii="arial" w:eastAsia="arial" w:hAnsi="arial" w:cs="arial"/>
          <w:color w:val="000000"/>
          <w:sz w:val="20"/>
          <w:lang w:val="en-US" w:eastAsia="en-US" w:bidi="ar-SA"/>
        </w:rPr>
        <w:t xml:space="preserve">  If I am wrong in that conclusion, then as was noted by the Privy Council in </w:t>
      </w:r>
      <w:r>
        <w:rPr>
          <w:rFonts w:ascii="arial" w:eastAsia="arial" w:hAnsi="arial" w:cs="arial"/>
          <w:i/>
          <w:color w:val="000000"/>
          <w:sz w:val="20"/>
          <w:lang w:val="en-US" w:eastAsia="en-US" w:bidi="ar-SA"/>
        </w:rPr>
        <w:t>AK Investment</w:t>
      </w:r>
      <w:r>
        <w:rPr>
          <w:rFonts w:ascii="arial" w:eastAsia="arial" w:hAnsi="arial" w:cs="arial"/>
          <w:color w:val="000000"/>
          <w:sz w:val="20"/>
          <w:lang w:val="en-US" w:eastAsia="en-US" w:bidi="ar-SA"/>
        </w:rPr>
        <w:t xml:space="preserve"> at para. 101, the act of state doctrine does not preclude a court from undertaking an assessment of the deficiencies of a foreign court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332</w:t>
      </w:r>
      <w:r>
        <w:rPr>
          <w:rFonts w:ascii="arial" w:eastAsia="arial" w:hAnsi="arial" w:cs="arial"/>
          <w:color w:val="000000"/>
          <w:sz w:val="20"/>
          <w:lang w:val="en-US" w:eastAsia="en-US" w:bidi="ar-SA"/>
        </w:rPr>
        <w:t>  In any event, Nevsun's argument appears to accept that if I dismiss the Act of State Application, I can nonetheless take into account underlying concerns regarding sitting in judgment on actions by the State of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333</w:t>
      </w:r>
      <w:r>
        <w:rPr>
          <w:rFonts w:ascii="arial" w:eastAsia="arial" w:hAnsi="arial" w:cs="arial"/>
          <w:color w:val="000000"/>
          <w:sz w:val="20"/>
          <w:lang w:val="en-US" w:eastAsia="en-US" w:bidi="ar-SA"/>
        </w:rPr>
        <w:t>  The foundational principles, both on this application and in the proceeding generally, are the interests of justice and the requirement that all parties receive a fair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334</w:t>
      </w:r>
      <w:r>
        <w:rPr>
          <w:rFonts w:ascii="arial" w:eastAsia="arial" w:hAnsi="arial" w:cs="arial"/>
          <w:color w:val="000000"/>
          <w:sz w:val="20"/>
          <w:lang w:val="en-US" w:eastAsia="en-US" w:bidi="ar-SA"/>
        </w:rPr>
        <w:t>  As I noted in the introduction to these reasons for judgment, Nevsun disputes in their entirety the plaintiffs' allegations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335</w:t>
      </w:r>
      <w:r>
        <w:rPr>
          <w:rFonts w:ascii="arial" w:eastAsia="arial" w:hAnsi="arial" w:cs="arial"/>
          <w:color w:val="000000"/>
          <w:sz w:val="20"/>
          <w:lang w:val="en-US" w:eastAsia="en-US" w:bidi="ar-SA"/>
        </w:rPr>
        <w:t>  There can be no doubt that at the conclusion of the trial I will be asked to make findings regarding certain allegations concerning the actions of the State of Eritrea. But when I do, it will be within the context of deciding whether the plaintiffs have proven their case against Nevsun and not "sitting in judgment" on the actions of the State of Eritrea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336</w:t>
      </w:r>
      <w:r>
        <w:rPr>
          <w:rFonts w:ascii="arial" w:eastAsia="arial" w:hAnsi="arial" w:cs="arial"/>
          <w:color w:val="000000"/>
          <w:sz w:val="20"/>
          <w:lang w:val="en-US" w:eastAsia="en-US" w:bidi="ar-SA"/>
        </w:rPr>
        <w:t>  Accordingly, I conclude that this factor is equivocal in the forum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337</w:t>
      </w:r>
      <w:r>
        <w:rPr>
          <w:rFonts w:ascii="arial" w:eastAsia="arial" w:hAnsi="arial" w:cs="arial"/>
          <w:color w:val="000000"/>
          <w:sz w:val="20"/>
          <w:lang w:val="en-US" w:eastAsia="en-US" w:bidi="ar-SA"/>
        </w:rPr>
        <w:t xml:space="preserve">  I have considered all the factors set out in s. 11(2) of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the record of evidence, the written submissions of the parties and the relevant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338</w:t>
      </w:r>
      <w:r>
        <w:rPr>
          <w:rFonts w:ascii="arial" w:eastAsia="arial" w:hAnsi="arial" w:cs="arial"/>
          <w:color w:val="000000"/>
          <w:sz w:val="20"/>
          <w:lang w:val="en-US" w:eastAsia="en-US" w:bidi="ar-SA"/>
        </w:rPr>
        <w:t xml:space="preserve">  I have concluded that Nevsun has not established that the factors in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xml:space="preserve"> or the case law clearly establish that Eritrea is the more appropriate forum.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339</w:t>
      </w:r>
      <w:r>
        <w:rPr>
          <w:rFonts w:ascii="arial" w:eastAsia="arial" w:hAnsi="arial" w:cs="arial"/>
          <w:color w:val="000000"/>
          <w:sz w:val="20"/>
          <w:lang w:val="en-US" w:eastAsia="en-US" w:bidi="ar-SA"/>
        </w:rPr>
        <w:t>  The Forum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836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w:t>
            </w:r>
          </w:p>
        </w:tc>
        <w:tc>
          <w:tcPr>
            <w:tcW w:w="819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ACT OF STATE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340</w:t>
      </w:r>
      <w:r>
        <w:rPr>
          <w:rFonts w:ascii="arial" w:eastAsia="arial" w:hAnsi="arial" w:cs="arial"/>
          <w:color w:val="000000"/>
          <w:sz w:val="20"/>
          <w:lang w:val="en-US" w:eastAsia="en-US" w:bidi="ar-SA"/>
        </w:rPr>
        <w:t>  Nevsun brings this application pursuant to Rule 21-8(1)(a) and (b) or alternatively, Rule 9-5, to dismiss, stay or strike out the plaintiffs' claim on the basis that this Court lacks subject matter competence in respect of it, or that it discloses no reasonable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341</w:t>
      </w:r>
      <w:r>
        <w:rPr>
          <w:rFonts w:ascii="arial" w:eastAsia="arial" w:hAnsi="arial" w:cs="arial"/>
          <w:color w:val="000000"/>
          <w:sz w:val="20"/>
          <w:lang w:val="en-US" w:eastAsia="en-US" w:bidi="ar-SA"/>
        </w:rPr>
        <w:t xml:space="preserve">  The notice of application argues that the plaintiffs' claim is contrary to the act of state doctrine, a common law rule that limits the court's subject matter competence. According to Nevsun, the doctrine holds national courts, like this one, are "incompetent to adjudicate on the lawfulness of the sovereign acts of a foreign state" committed within that state's own territory. This rule of non-intervention is based on principles including sovereign equality, reciprocity and comity, and applies despite the fact that the plaintiffs have not directly impleaded the State of Eritrea. The action depends on this Court adjudicating that Eritrea's NSP is a "system of forced labour", contrary to international law, and that it constitutes a crime against humanity by the Eritrean state and its officials. If such claims are to be pursued, it must be in Eritrean courts or in international fori; the act of state doctrine precludes this Court from entertaining such claims and the same result is reached through the application of the </w:t>
      </w:r>
      <w:r>
        <w:rPr>
          <w:rFonts w:ascii="arial" w:eastAsia="arial" w:hAnsi="arial" w:cs="arial"/>
          <w:i/>
          <w:color w:val="000000"/>
          <w:sz w:val="20"/>
          <w:lang w:val="en-US" w:eastAsia="en-US" w:bidi="ar-SA"/>
        </w:rPr>
        <w:t>State Immunity Act</w:t>
      </w:r>
      <w:r>
        <w:rPr>
          <w:rFonts w:ascii="arial" w:eastAsia="arial" w:hAnsi="arial" w:cs="arial"/>
          <w:color w:val="000000"/>
          <w:sz w:val="20"/>
          <w:lang w:val="en-US" w:eastAsia="en-US" w:bidi="ar-SA"/>
        </w:rPr>
        <w:t xml:space="preserve">, </w:t>
      </w:r>
      <w:hyperlink r:id="rId185" w:history="1">
        <w:r>
          <w:rPr>
            <w:rFonts w:ascii="arial" w:eastAsia="arial" w:hAnsi="arial" w:cs="arial"/>
            <w:i/>
            <w:color w:val="0077CC"/>
            <w:sz w:val="20"/>
            <w:u w:val="single"/>
            <w:shd w:val="clear" w:color="auto" w:fill="FFFFFF"/>
            <w:lang w:val="en-US" w:eastAsia="en-US" w:bidi="ar-SA"/>
          </w:rPr>
          <w:t>R.S.C.1985, c. S-18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342</w:t>
      </w:r>
      <w:r>
        <w:rPr>
          <w:rFonts w:ascii="arial" w:eastAsia="arial" w:hAnsi="arial" w:cs="arial"/>
          <w:color w:val="000000"/>
          <w:sz w:val="20"/>
          <w:lang w:val="en-US" w:eastAsia="en-US" w:bidi="ar-SA"/>
        </w:rPr>
        <w:t>  Nevsun argues that this proceeding, "in effect, seeks to affect the property, rights, interests, or activities" of the state of Eritrea. Further, Nevsun argues that by reason of the act of state doctrine, Eritrea and its agents are immune from this Court's jurisdiction. It claims that this is a complete defence to the plaintiffs' claims and the action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343</w:t>
      </w:r>
      <w:r>
        <w:rPr>
          <w:rFonts w:ascii="arial" w:eastAsia="arial" w:hAnsi="arial" w:cs="arial"/>
          <w:color w:val="000000"/>
          <w:sz w:val="20"/>
          <w:lang w:val="en-US" w:eastAsia="en-US" w:bidi="ar-SA"/>
        </w:rPr>
        <w:t>  This application raises several issues including:</w:t>
      </w:r>
      <w:r>
        <w:rPr>
          <w:rFonts w:ascii="arial" w:eastAsia="arial" w:hAnsi="arial" w:cs="arial"/>
          <w:sz w:val="20"/>
          <w:lang w:val="en-US" w:eastAsia="en-US" w:bidi="ar-SA"/>
        </w:rPr>
        <w:cr/>
      </w:r>
    </w:p>
    <w:p>
      <w:pPr>
        <w:numPr>
          <w:numId w:val="3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 of state doctrine forms part of the common law of Canada;</w:t>
      </w:r>
    </w:p>
    <w:p>
      <w:pPr>
        <w:numPr>
          <w:numId w:val="3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does, what are its limitations;</w:t>
      </w:r>
    </w:p>
    <w:p>
      <w:pPr>
        <w:numPr>
          <w:numId w:val="3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 of state doctrine is engaged in this case;</w:t>
      </w:r>
    </w:p>
    <w:p>
      <w:pPr>
        <w:numPr>
          <w:numId w:val="3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it is, whether one or more of the limitations to the doctrine apply; and</w:t>
      </w:r>
    </w:p>
    <w:p>
      <w:pPr>
        <w:numPr>
          <w:numId w:val="3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these issues should be determined on a preliminary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344</w:t>
      </w:r>
      <w:r>
        <w:rPr>
          <w:rFonts w:ascii="arial" w:eastAsia="arial" w:hAnsi="arial" w:cs="arial"/>
          <w:color w:val="000000"/>
          <w:sz w:val="20"/>
          <w:lang w:val="en-US" w:eastAsia="en-US" w:bidi="ar-SA"/>
        </w:rPr>
        <w:t>  For the reasons that follow, I have concluded that whether the issues on this application are approached from the perspective of either Rule 21-8 or Rule 9-5, the application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Applicable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Rules 21-8 and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345</w:t>
      </w:r>
      <w:r>
        <w:rPr>
          <w:rFonts w:ascii="arial" w:eastAsia="arial" w:hAnsi="arial" w:cs="arial"/>
          <w:color w:val="000000"/>
          <w:sz w:val="20"/>
          <w:lang w:val="en-US" w:eastAsia="en-US" w:bidi="ar-SA"/>
        </w:rPr>
        <w:t>  R. 21-8(1)(a) allows a party to apply to strike out the notice of civil claim "or to dismiss or stay the proceeding" on the ground that the pleading "does not allege facts that, if true, would establish that the court has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346</w:t>
      </w:r>
      <w:r>
        <w:rPr>
          <w:rFonts w:ascii="arial" w:eastAsia="arial" w:hAnsi="arial" w:cs="arial"/>
          <w:color w:val="000000"/>
          <w:sz w:val="20"/>
          <w:lang w:val="en-US" w:eastAsia="en-US" w:bidi="ar-SA"/>
        </w:rPr>
        <w:t>  R. 21-8(1)(b) provides that a party may "apply to dismiss or stay the proceeding on the ground that the court does not have jurisdiction over that party in respect of the claim made against that party in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347</w:t>
      </w:r>
      <w:r>
        <w:rPr>
          <w:rFonts w:ascii="arial" w:eastAsia="arial" w:hAnsi="arial" w:cs="arial"/>
          <w:color w:val="000000"/>
          <w:sz w:val="20"/>
          <w:lang w:val="en-US" w:eastAsia="en-US" w:bidi="ar-SA"/>
        </w:rPr>
        <w:t>  The principles regarding Rule 9-5 are set out in paras. 430-432. Reduced to their essentials, the result is that Nevsun must establish that the plaintiffs' claims have no reasonable likelihood of success and are bound to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Act of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348</w:t>
      </w:r>
      <w:r>
        <w:rPr>
          <w:rFonts w:ascii="arial" w:eastAsia="arial" w:hAnsi="arial" w:cs="arial"/>
          <w:color w:val="000000"/>
          <w:sz w:val="20"/>
          <w:lang w:val="en-US" w:eastAsia="en-US" w:bidi="ar-SA"/>
        </w:rPr>
        <w:t>  Because the act of state doctrine has not yet been applied in Canada, I will refer to authorities from other jurisdictions which summarize the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349</w:t>
      </w:r>
      <w:r>
        <w:rPr>
          <w:rFonts w:ascii="arial" w:eastAsia="arial" w:hAnsi="arial" w:cs="arial"/>
          <w:color w:val="000000"/>
          <w:sz w:val="20"/>
          <w:lang w:val="en-US" w:eastAsia="en-US" w:bidi="ar-SA"/>
        </w:rPr>
        <w:t xml:space="preserve">  The accepted classic formulation of the doctrine is by Fuller C.J. of the United States Supreme Court in </w:t>
      </w:r>
      <w:r>
        <w:rPr>
          <w:rFonts w:ascii="arial" w:eastAsia="arial" w:hAnsi="arial" w:cs="arial"/>
          <w:i/>
          <w:color w:val="000000"/>
          <w:sz w:val="20"/>
          <w:lang w:val="en-US" w:eastAsia="en-US" w:bidi="ar-SA"/>
        </w:rPr>
        <w:t>Underhill v. Hernandez Underhill v. Hernandez</w:t>
      </w:r>
      <w:r>
        <w:rPr>
          <w:rFonts w:ascii="arial" w:eastAsia="arial" w:hAnsi="arial" w:cs="arial"/>
          <w:color w:val="000000"/>
          <w:sz w:val="20"/>
          <w:lang w:val="en-US" w:eastAsia="en-US" w:bidi="ar-SA"/>
        </w:rPr>
        <w:t>, 168 U.S. 250 (1897) at 252: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Every sovereign State is bound to respect the independence of every other sovereign State, and the courts of one country will not sit in judgment on the acts of the government of another done within its own territory. Redress of grievances by reason of such acts must be obtained through the means open to be availed of by sovereign powers as between themselves.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350</w:t>
      </w:r>
      <w:r>
        <w:rPr>
          <w:rFonts w:ascii="arial" w:eastAsia="arial" w:hAnsi="arial" w:cs="arial"/>
          <w:color w:val="000000"/>
          <w:sz w:val="20"/>
          <w:lang w:val="en-US" w:eastAsia="en-US" w:bidi="ar-SA"/>
        </w:rPr>
        <w:t xml:space="preserve">  In a more modern context, the act of state doctrine has been considered on several occasions by English courts. In </w:t>
      </w:r>
      <w:r>
        <w:rPr>
          <w:rFonts w:ascii="arial" w:eastAsia="arial" w:hAnsi="arial" w:cs="arial"/>
          <w:i/>
          <w:color w:val="000000"/>
          <w:sz w:val="20"/>
          <w:lang w:val="en-US" w:eastAsia="en-US" w:bidi="ar-SA"/>
        </w:rPr>
        <w:t>R v. Bow Street Metropolitan Stipendiary Magistrate and Others, Ex parte Pinochet Ugarte (No. 3)</w:t>
      </w:r>
      <w:r>
        <w:rPr>
          <w:rFonts w:ascii="arial" w:eastAsia="arial" w:hAnsi="arial" w:cs="arial"/>
          <w:color w:val="000000"/>
          <w:sz w:val="20"/>
          <w:lang w:val="en-US" w:eastAsia="en-US" w:bidi="ar-SA"/>
        </w:rPr>
        <w:t>, [2000] 1 A.C. 147 at 269 (H.L.) [Pinochet No. 3] the doctrine was described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Immunity ratione materiae... is a subject matter immunity. It operates to prevent the official and governmental acts of one state from being called into question in proceedings before the courts of another, and only incidentally confers immunity on the individual. ... It is an immunity from the civil and criminal jurisdiction of foreign national courts but only in respect of governmental or official acts... The immunity finds its rationale in the equality of sovereign states and the doctrine of non-interference in the internal affairs of other states... [The cases] hold that the courts of one state cannot sit in judgment on the sovereign acts of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Kuwait Airways Corpn. V. Iraqi Airways Co. (Nos. 4 and 5)</w:t>
      </w:r>
      <w:r>
        <w:rPr>
          <w:rFonts w:ascii="arial" w:eastAsia="arial" w:hAnsi="arial" w:cs="arial"/>
          <w:color w:val="000000"/>
          <w:sz w:val="20"/>
          <w:lang w:val="en-US" w:eastAsia="en-US" w:bidi="ar-SA"/>
        </w:rPr>
        <w:t>, [2002] 2 A.C. 883 at 1108 as per Lord Hope Craighead (concurring) (H.L.):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doubt as to the general effect of the rule which is known as the act of state rule. It applies to the legislative or other governmental acts of a recognised foreign state or government within the limits of its own territory. The English courts will not adjudicate upon, or call into question, any such acts. They may be pleaded and relied upon by way of defence in this jurisdiction without being subjected to that kind of judicial scrutiny.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352</w:t>
      </w:r>
      <w:r>
        <w:rPr>
          <w:rFonts w:ascii="arial" w:eastAsia="arial" w:hAnsi="arial" w:cs="arial"/>
          <w:color w:val="000000"/>
          <w:sz w:val="20"/>
          <w:lang w:val="en-US" w:eastAsia="en-US" w:bidi="ar-SA"/>
        </w:rPr>
        <w:t xml:space="preserve">  The English Court of Appeal in </w:t>
      </w:r>
      <w:r>
        <w:rPr>
          <w:rFonts w:ascii="arial" w:eastAsia="arial" w:hAnsi="arial" w:cs="arial"/>
          <w:i/>
          <w:color w:val="000000"/>
          <w:sz w:val="20"/>
          <w:lang w:val="en-US" w:eastAsia="en-US" w:bidi="ar-SA"/>
        </w:rPr>
        <w:t>Yukos Capital v. OJSC Rosneft Oil Company</w:t>
      </w:r>
      <w:r>
        <w:rPr>
          <w:rFonts w:ascii="arial" w:eastAsia="arial" w:hAnsi="arial" w:cs="arial"/>
          <w:color w:val="000000"/>
          <w:sz w:val="20"/>
          <w:lang w:val="en-US" w:eastAsia="en-US" w:bidi="ar-SA"/>
        </w:rPr>
        <w:t>, [2012] EWCA Civ 855 ["</w:t>
      </w:r>
      <w:r>
        <w:rPr>
          <w:rFonts w:ascii="arial" w:eastAsia="arial" w:hAnsi="arial" w:cs="arial"/>
          <w:i/>
          <w:color w:val="000000"/>
          <w:sz w:val="20"/>
          <w:lang w:val="en-US" w:eastAsia="en-US" w:bidi="ar-SA"/>
        </w:rPr>
        <w:t>Yukos</w:t>
      </w:r>
      <w:r>
        <w:rPr>
          <w:rFonts w:ascii="arial" w:eastAsia="arial" w:hAnsi="arial" w:cs="arial"/>
          <w:color w:val="000000"/>
          <w:sz w:val="20"/>
          <w:lang w:val="en-US" w:eastAsia="en-US" w:bidi="ar-SA"/>
        </w:rPr>
        <w:t xml:space="preserve">"] at para. 110 stated that the act of state doctrine is a "prohibition on adjudication. At para. 109 the court held that "the purpose of the doctrine is to prevent such challenge at the outset, as a matter of immunity </w:t>
      </w:r>
      <w:r>
        <w:rPr>
          <w:rFonts w:ascii="arial" w:eastAsia="arial" w:hAnsi="arial" w:cs="arial"/>
          <w:i/>
          <w:color w:val="000000"/>
          <w:sz w:val="20"/>
          <w:lang w:val="en-US" w:eastAsia="en-US" w:bidi="ar-SA"/>
        </w:rPr>
        <w:t>rationae materiae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353</w:t>
      </w:r>
      <w:r>
        <w:rPr>
          <w:rFonts w:ascii="arial" w:eastAsia="arial" w:hAnsi="arial" w:cs="arial"/>
          <w:color w:val="000000"/>
          <w:sz w:val="20"/>
          <w:lang w:val="en-US" w:eastAsia="en-US" w:bidi="ar-SA"/>
        </w:rPr>
        <w:t xml:space="preserve">  The act of state doctrine has acknowledged limitations. These were recently summarized by the English Court of Appeal in </w:t>
      </w:r>
      <w:r>
        <w:rPr>
          <w:rFonts w:ascii="arial" w:eastAsia="arial" w:hAnsi="arial" w:cs="arial"/>
          <w:i/>
          <w:color w:val="000000"/>
          <w:sz w:val="20"/>
          <w:lang w:val="en-US" w:eastAsia="en-US" w:bidi="ar-SA"/>
        </w:rPr>
        <w:t>Belhaj v. Straw,</w:t>
      </w:r>
      <w:r>
        <w:rPr>
          <w:rFonts w:ascii="arial" w:eastAsia="arial" w:hAnsi="arial" w:cs="arial"/>
          <w:color w:val="000000"/>
          <w:sz w:val="20"/>
          <w:lang w:val="en-US" w:eastAsia="en-US" w:bidi="ar-SA"/>
        </w:rPr>
        <w:t xml:space="preserve"> [2014] EWCA Civ 1394 at para. 54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leave to appeal granted by the UK Supreme Court:</w:t>
      </w:r>
      <w:r>
        <w:rPr>
          <w:rFonts w:ascii="arial" w:eastAsia="arial" w:hAnsi="arial" w:cs="arial"/>
          <w:sz w:val="20"/>
          <w:lang w:val="en-US" w:eastAsia="en-US" w:bidi="ar-SA"/>
        </w:rPr>
        <w:cr/>
      </w:r>
    </w:p>
    <w:p>
      <w:pPr>
        <w:numPr>
          <w:numId w:val="3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must occur in the territory of the foreign state;</w:t>
      </w:r>
    </w:p>
    <w:p>
      <w:pPr>
        <w:numPr>
          <w:numId w:val="3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doctrine will not apply to foreign acts of state which are in breach of clearly established rules of international law, or are contrary to English principles of public policy, or grave infringements of human rights;</w:t>
      </w:r>
    </w:p>
    <w:p>
      <w:pPr>
        <w:numPr>
          <w:numId w:val="3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judicial acts are not captured;</w:t>
      </w:r>
    </w:p>
    <w:p>
      <w:pPr>
        <w:numPr>
          <w:numId w:val="3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 has a commercial rather than a sovereign character; and</w:t>
      </w:r>
    </w:p>
    <w:p>
      <w:pPr>
        <w:numPr>
          <w:numId w:val="3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doctrine applies in cases in which the only issue is whether the act occurred, rather than the act's legal effectiveness.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continued at paras. 54, 55: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Yukos the court, emphasizing that the principle is one of restraint rather than abstinence, concluded: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"We think that on the whole we prefer to speak of "limitations" rather than "exceptions". The important thing is to recognise that increasingly in the modern world the doctrine is being defined, like a silhouette, by its limitations, rather than to regard it as occupying the whole ground save to the extent that an exception can be imposed" (at para. [115]).</w:t>
      </w:r>
    </w:p>
    <w:p>
      <w:pPr>
        <w:numPr>
          <w:numId w:val="3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 gratefully adopt the court's analysis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355</w:t>
      </w:r>
      <w:r>
        <w:rPr>
          <w:rFonts w:ascii="arial" w:eastAsia="arial" w:hAnsi="arial" w:cs="arial"/>
          <w:color w:val="000000"/>
          <w:sz w:val="20"/>
          <w:lang w:val="en-US" w:eastAsia="en-US" w:bidi="ar-SA"/>
        </w:rPr>
        <w:t xml:space="preserve">  In so far as the fifth or "Kirkpatrick" limitation is concerned, the court in </w:t>
      </w:r>
      <w:r>
        <w:rPr>
          <w:rFonts w:ascii="arial" w:eastAsia="arial" w:hAnsi="arial" w:cs="arial"/>
          <w:i/>
          <w:color w:val="000000"/>
          <w:sz w:val="20"/>
          <w:lang w:val="en-US" w:eastAsia="en-US" w:bidi="ar-SA"/>
        </w:rPr>
        <w:t>Yukos</w:t>
      </w:r>
      <w:r>
        <w:rPr>
          <w:rFonts w:ascii="arial" w:eastAsia="arial" w:hAnsi="arial" w:cs="arial"/>
          <w:color w:val="000000"/>
          <w:sz w:val="20"/>
          <w:lang w:val="en-US" w:eastAsia="en-US" w:bidi="ar-SA"/>
        </w:rPr>
        <w:t xml:space="preserve"> stated at para. 110: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w:t>
      </w:r>
      <w:r>
        <w:rPr>
          <w:rFonts w:ascii="arial" w:eastAsia="arial" w:hAnsi="arial" w:cs="arial"/>
          <w:i/>
          <w:color w:val="000000"/>
          <w:sz w:val="20"/>
          <w:lang w:val="en-US" w:eastAsia="en-US" w:bidi="ar-SA"/>
        </w:rPr>
        <w:t>Kirkpatrick</w:t>
      </w:r>
      <w:r>
        <w:rPr>
          <w:rFonts w:ascii="arial" w:eastAsia="arial" w:hAnsi="arial" w:cs="arial"/>
          <w:color w:val="000000"/>
          <w:sz w:val="20"/>
          <w:lang w:val="en-US" w:eastAsia="en-US" w:bidi="ar-SA"/>
        </w:rPr>
        <w:t xml:space="preserve"> is ultimately about, however, is the distinction between referring to acts of state (or proving them if their occurrence is disputed) </w:t>
      </w:r>
      <w:r>
        <w:rPr>
          <w:rFonts w:ascii="arial" w:eastAsia="arial" w:hAnsi="arial" w:cs="arial"/>
          <w:color w:val="000000"/>
          <w:sz w:val="20"/>
          <w:u w:val="single"/>
          <w:lang w:val="en-US" w:eastAsia="en-US" w:bidi="ar-SA"/>
        </w:rPr>
        <w:t>as an existential matter, and on the other hand asking the court to enquire into them for the purpose of adjudicating upon their legal effectiveness, including for these purposes their legal effectiveness as recognised in the country of the forum</w:t>
      </w:r>
      <w:r>
        <w:rPr>
          <w:rFonts w:ascii="arial" w:eastAsia="arial" w:hAnsi="arial" w:cs="arial"/>
          <w:color w:val="000000"/>
          <w:sz w:val="20"/>
          <w:lang w:val="en-US" w:eastAsia="en-US" w:bidi="ar-SA"/>
        </w:rPr>
        <w:t>. It is the difference between citing a foreign statute (an act of state) for what it says (or even for what it is disputed as saying) on the one hand, something which of course happens all the time, and on the other hand challenging the effectiveness of that statute on the ground, for instance, that it was not properly enacted, or had been procured by corruption, or should not be recognised because it was unfair or expropriatory or discriminatory</w:t>
      </w:r>
      <w:r>
        <w:rPr>
          <w:rFonts w:ascii="arial" w:eastAsia="arial" w:hAnsi="arial" w:cs="arial"/>
          <w:color w:val="000000"/>
          <w:sz w:val="20"/>
          <w:u w:val="single"/>
          <w:lang w:val="en-US" w:eastAsia="en-US" w:bidi="ar-SA"/>
        </w:rPr>
        <w:t xml:space="preserve">. As to the last possibilities, there can be a still further distinction to be made between the act of state which </w:t>
      </w:r>
      <w:r>
        <w:rPr>
          <w:rFonts w:ascii="arial" w:eastAsia="arial" w:hAnsi="arial" w:cs="arial"/>
          <w:i/>
          <w:color w:val="000000"/>
          <w:sz w:val="20"/>
          <w:u w:val="single"/>
          <w:lang w:val="en-US" w:eastAsia="en-US" w:bidi="ar-SA"/>
        </w:rPr>
        <w:t>cannot</w:t>
      </w:r>
      <w:r>
        <w:rPr>
          <w:rFonts w:ascii="arial" w:eastAsia="arial" w:hAnsi="arial" w:cs="arial"/>
          <w:color w:val="000000"/>
          <w:sz w:val="20"/>
          <w:u w:val="single"/>
          <w:lang w:val="en-US" w:eastAsia="en-US" w:bidi="ar-SA"/>
        </w:rPr>
        <w:t xml:space="preserve"> be challenged for its effectiveness despite some alleged unfairness, and the act of state which is sufficiently outrageous or penal or discriminatory to set up the successful argument that it falls foul of clear international law standards or English public policy and therefore </w:t>
      </w:r>
      <w:r>
        <w:rPr>
          <w:rFonts w:ascii="arial" w:eastAsia="arial" w:hAnsi="arial" w:cs="arial"/>
          <w:i/>
          <w:color w:val="000000"/>
          <w:sz w:val="20"/>
          <w:u w:val="single"/>
          <w:lang w:val="en-US" w:eastAsia="en-US" w:bidi="ar-SA"/>
        </w:rPr>
        <w:t>can</w:t>
      </w:r>
      <w:r>
        <w:rPr>
          <w:rFonts w:ascii="arial" w:eastAsia="arial" w:hAnsi="arial" w:cs="arial"/>
          <w:color w:val="000000"/>
          <w:sz w:val="20"/>
          <w:u w:val="single"/>
          <w:lang w:val="en-US" w:eastAsia="en-US" w:bidi="ar-SA"/>
        </w:rPr>
        <w:t xml:space="preserve"> be challenged.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356</w:t>
      </w:r>
      <w:r>
        <w:rPr>
          <w:rFonts w:ascii="arial" w:eastAsia="arial" w:hAnsi="arial" w:cs="arial"/>
          <w:color w:val="000000"/>
          <w:sz w:val="20"/>
          <w:lang w:val="en-US" w:eastAsia="en-US" w:bidi="ar-SA"/>
        </w:rPr>
        <w:t>  The court also commented on the doctrine's place in the modern world noting at para. 115 that the doctrine predated modern international human rights law, in an era where curtailing the rights of a state by human rights obligations would have "seemed somewhat strange".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Habib v. Commonwealth of Australia</w:t>
      </w:r>
      <w:r>
        <w:rPr>
          <w:rFonts w:ascii="arial" w:eastAsia="arial" w:hAnsi="arial" w:cs="arial"/>
          <w:color w:val="000000"/>
          <w:sz w:val="20"/>
          <w:lang w:val="en-US" w:eastAsia="en-US" w:bidi="ar-SA"/>
        </w:rPr>
        <w:t>, [2010] FCAFC 12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Justice Jagot of the Federal Court of Australia noted at para. 51 that the act of state doctrine was of uncertain application. At para. 38, Justice Perram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...Beyond the certainty that the doctrine exists there is little clarity as to what constitutes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358</w:t>
      </w:r>
      <w:r>
        <w:rPr>
          <w:rFonts w:ascii="arial" w:eastAsia="arial" w:hAnsi="arial" w:cs="arial"/>
          <w:color w:val="000000"/>
          <w:sz w:val="20"/>
          <w:lang w:val="en-US" w:eastAsia="en-US" w:bidi="ar-SA"/>
        </w:rPr>
        <w:t xml:space="preserve">  The act of state doctrine contains features of the principles relating to state immunity codified in Canada by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Pinochet No. 3</w:t>
      </w:r>
      <w:r>
        <w:rPr>
          <w:rFonts w:ascii="arial" w:eastAsia="arial" w:hAnsi="arial" w:cs="arial"/>
          <w:color w:val="000000"/>
          <w:sz w:val="20"/>
          <w:lang w:val="en-US" w:eastAsia="en-US" w:bidi="ar-SA"/>
        </w:rPr>
        <w:t xml:space="preserve"> [2000] 1 A.C. 147 at 269, Lord Millett summarized the differences between the two: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 understand the difference between them, state immunity is a creature of international law and operates as a plea in bar to the jurisdiction of the national court, whereas the Act of State doctrine is a rule of domestic law which holds the national court incompetent to adjudicate upon the lawfulness of the sovereign acts of a foreign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359</w:t>
      </w:r>
      <w:r>
        <w:rPr>
          <w:rFonts w:ascii="arial" w:eastAsia="arial" w:hAnsi="arial" w:cs="arial"/>
          <w:color w:val="000000"/>
          <w:sz w:val="20"/>
          <w:lang w:val="en-US" w:eastAsia="en-US" w:bidi="ar-SA"/>
        </w:rPr>
        <w:t>  Nevsun's position is that even though a court has territorial competence over a proceeding it may still lack subject matter competence, being the aspects of a court's jurisdiction that depend on factors other than those pertaining to the court's territorial competence.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360</w:t>
      </w:r>
      <w:r>
        <w:rPr>
          <w:rFonts w:ascii="arial" w:eastAsia="arial" w:hAnsi="arial" w:cs="arial"/>
          <w:color w:val="000000"/>
          <w:sz w:val="20"/>
          <w:lang w:val="en-US" w:eastAsia="en-US" w:bidi="ar-SA"/>
        </w:rPr>
        <w:t>  It argues that the act of state doctrine applies in this case, that this Court does not have subject matter competence. Accordingly, the action in its entirety should be stayed, dismissed or struck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361</w:t>
      </w:r>
      <w:r>
        <w:rPr>
          <w:rFonts w:ascii="arial" w:eastAsia="arial" w:hAnsi="arial" w:cs="arial"/>
          <w:color w:val="000000"/>
          <w:sz w:val="20"/>
          <w:lang w:val="en-US" w:eastAsia="en-US" w:bidi="ar-SA"/>
        </w:rPr>
        <w:t>  It submits that the act of state doctrine applies in that the foreign sovereign, Eritrea, is not a party, and the action is between private parties and "'sounds in tort". The essential feature that engages the doctrine is that the action requires the court to inquire into the legality of the conduct and motives of the foreign sovereign.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362</w:t>
      </w:r>
      <w:r>
        <w:rPr>
          <w:rFonts w:ascii="arial" w:eastAsia="arial" w:hAnsi="arial" w:cs="arial"/>
          <w:color w:val="000000"/>
          <w:sz w:val="20"/>
          <w:lang w:val="en-US" w:eastAsia="en-US" w:bidi="ar-SA"/>
        </w:rPr>
        <w:t>  It points to the allegations in the NOCC and says that the plaintiffs are asking this Court to adjudicate on the validity of the Labour Code Proclamation and the NSP. It also points to the plaintiffs' legal submissions on this application that the laws of Eritrea are incoherent, illegitimate and meaningless. This is said to flow from the Eritrean government's failure to implement the constitution and from the President's ability to issue executive decrees. Accordingly, the act of state doctrine is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363</w:t>
      </w:r>
      <w:r>
        <w:rPr>
          <w:rFonts w:ascii="arial" w:eastAsia="arial" w:hAnsi="arial" w:cs="arial"/>
          <w:color w:val="000000"/>
          <w:sz w:val="20"/>
          <w:lang w:val="en-US" w:eastAsia="en-US" w:bidi="ar-SA"/>
        </w:rPr>
        <w:t>  The plaintiffs' position is that the act of state doctrine does not form part of the common law of Canada or that it is unclear as to whether it does. It points to the fact that no Canadian court has applied the doctrine.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364</w:t>
      </w:r>
      <w:r>
        <w:rPr>
          <w:rFonts w:ascii="arial" w:eastAsia="arial" w:hAnsi="arial" w:cs="arial"/>
          <w:color w:val="000000"/>
          <w:sz w:val="20"/>
          <w:lang w:val="en-US" w:eastAsia="en-US" w:bidi="ar-SA"/>
        </w:rPr>
        <w:t xml:space="preserve">  In the event this Court were to conclude the act of state doctrine forms part of the common law of Canada, then the plaintiffs submit that several of the accepted limitations apply, specifically the public policy, commercial activity and </w:t>
      </w:r>
      <w:r>
        <w:rPr>
          <w:rFonts w:ascii="arial" w:eastAsia="arial" w:hAnsi="arial" w:cs="arial"/>
          <w:i/>
          <w:color w:val="000000"/>
          <w:sz w:val="20"/>
          <w:lang w:val="en-US" w:eastAsia="en-US" w:bidi="ar-SA"/>
        </w:rPr>
        <w:t>Kirkpatrick</w:t>
      </w:r>
      <w:r>
        <w:rPr>
          <w:rFonts w:ascii="arial" w:eastAsia="arial" w:hAnsi="arial" w:cs="arial"/>
          <w:color w:val="000000"/>
          <w:sz w:val="20"/>
          <w:lang w:val="en-US" w:eastAsia="en-US" w:bidi="ar-SA"/>
        </w:rPr>
        <w:t xml:space="preserve"> limitations set out as limitations 2, 4 and 5 in para. 353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365</w:t>
      </w:r>
      <w:r>
        <w:rPr>
          <w:rFonts w:ascii="arial" w:eastAsia="arial" w:hAnsi="arial" w:cs="arial"/>
          <w:color w:val="000000"/>
          <w:sz w:val="20"/>
          <w:lang w:val="en-US" w:eastAsia="en-US" w:bidi="ar-SA"/>
        </w:rPr>
        <w:t>  They point to the description of the doctrine in modern times and its non-engagement in cases involving allegations of serious human rights violations.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Does the act of state doctrine form part of the Common Law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United Mexican States v. British Columbia (Labour Relations Board)</w:t>
      </w:r>
      <w:r>
        <w:rPr>
          <w:rFonts w:ascii="arial" w:eastAsia="arial" w:hAnsi="arial" w:cs="arial"/>
          <w:color w:val="000000"/>
          <w:sz w:val="20"/>
          <w:lang w:val="en-US" w:eastAsia="en-US" w:bidi="ar-SA"/>
        </w:rPr>
        <w:t xml:space="preserve">, </w:t>
      </w:r>
      <w:hyperlink r:id="rId186" w:history="1">
        <w:r>
          <w:rPr>
            <w:rFonts w:ascii="arial" w:eastAsia="arial" w:hAnsi="arial" w:cs="arial"/>
            <w:i/>
            <w:color w:val="0077CC"/>
            <w:sz w:val="20"/>
            <w:u w:val="single"/>
            <w:shd w:val="clear" w:color="auto" w:fill="FFFFFF"/>
            <w:lang w:val="en-US" w:eastAsia="en-US" w:bidi="ar-SA"/>
          </w:rPr>
          <w:t>2015 BCCA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 Justice Harris specifically referred to the doctrine while ultimately concluding that it was not engaged in the circumstances before the court. As he noted at para.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I emphasize that the issue is the extent of state immunity because, in my opinion, Mexico seeks to expand the scope of state immunity by reference to the related, but different, doctrine of act of state. As I will explain, the doctrine of act of state may confer a subject matter immunity that will lead a court to decline to adjudicate matters involving the sovereign acts of foreign states even in circumstances where there is no state immunity under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In this case, however, Mexico has not argued at any stage in the proceedings that the Board should decline to consider its conduct on the independent ground that its acts are also protected by the doctrine of act of state. Accordingly, the only question on this appeal is whether the Board, in considering the conduct of Mexico, exercised jurisdiction over it contrary to the protection provided by s. 3(1) of the </w:t>
      </w:r>
      <w:r>
        <w:rPr>
          <w:rFonts w:ascii="arial" w:eastAsia="arial" w:hAnsi="arial" w:cs="arial"/>
          <w:i/>
          <w:color w:val="000000"/>
          <w:sz w:val="20"/>
          <w:lang w:val="en-US" w:eastAsia="en-US" w:bidi="ar-SA"/>
        </w:rPr>
        <w:t>SIA.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367</w:t>
      </w:r>
      <w:r>
        <w:rPr>
          <w:rFonts w:ascii="arial" w:eastAsia="arial" w:hAnsi="arial" w:cs="arial"/>
          <w:color w:val="000000"/>
          <w:sz w:val="20"/>
          <w:lang w:val="en-US" w:eastAsia="en-US" w:bidi="ar-SA"/>
        </w:rPr>
        <w:t xml:space="preserve">  While the analysis in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 xml:space="preserve"> focussed on state immunity and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the court did have occasion to consider the act of state doctrine. Justice Harris referring to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stated at paras. 45-48: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[45] The Court of Appeal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noted that cases arise in which no state is directly or indirectly impleaded, so that no issue of state immunity arises, but nevertheless courts decline to adjudicate on claims that turn on the validity of public acts of a foreign state. This is the application of the act of state doctrine. After referring to cases from other jurisdictions, including the decision of the chambers judge in this case, the Court of Appeal observed at para. 39 that "[p] roceedings will not be barred on grounds of state immunity simply because they will require the court to rule on the legality of the conduct of a foreign state."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The Court went on to analyze the scope of the concept of indirect impleading for the purpose of the application of state immunity. In brief, it recognized that a state may be indirectly impleaded in circumstances where, although not named as a party, the proceeding, in effect, seeks to affect the property, rights, interests, or activities of that state, citing Article 6(2)(b) of the </w:t>
      </w:r>
      <w:r>
        <w:rPr>
          <w:rFonts w:ascii="arial" w:eastAsia="arial" w:hAnsi="arial" w:cs="arial"/>
          <w:i/>
          <w:color w:val="000000"/>
          <w:sz w:val="20"/>
          <w:lang w:val="en-US" w:eastAsia="en-US" w:bidi="ar-SA"/>
        </w:rPr>
        <w:t>UN Convention on Jurisdictional Immunities of States and Their Property</w:t>
      </w:r>
      <w:r>
        <w:rPr>
          <w:rFonts w:ascii="arial" w:eastAsia="arial" w:hAnsi="arial" w:cs="arial"/>
          <w:color w:val="000000"/>
          <w:sz w:val="20"/>
          <w:lang w:val="en-US" w:eastAsia="en-US" w:bidi="ar-SA"/>
        </w:rPr>
        <w:t xml:space="preserve">, 2 December 2004 (not yet in force). The Court considered academic writing, among other sources, approving of the view that the legal effects engaged should be specifically legal effects, such as the imposition of a lien or declaration of title, rather than social, economic, or political effects. Similarly, the relevant state interests should be confined to legal interests, as opposed to "interests in some more general sense":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at para. 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[47] The Court summarized its view of the relationship between state immunity and act of state in the following passage: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The principles of state immunity and act of state as applied in this jurisdiction are clearly linked and share common rationales. They may both be engaged in a single factual situation. Nevertheless, they operate in different ways, state immunity by reference to considerations of direct or indirect impleader and act of state by reference to the subject matter of the proceedings. Act of state reaches beyond cases in which states are directly or indirectly impleaded, in the sense described above, and operates by reference to the subject matter of the claim rather than the identity of the parties. This is inevitably reflected in the different detailed rules which have developed in relation to the scope and operation of the two principles. In this jurisdiction exceptions to immunity are laid down in the 1978 Act. Limitations on the act of state doctrine, which are not identical, have now become established at common law. (See, in particular, </w:t>
      </w:r>
      <w:r>
        <w:rPr>
          <w:rFonts w:ascii="arial" w:eastAsia="arial" w:hAnsi="arial" w:cs="arial"/>
          <w:i/>
          <w:color w:val="000000"/>
          <w:sz w:val="20"/>
          <w:lang w:val="en-US" w:eastAsia="en-US" w:bidi="ar-SA"/>
        </w:rPr>
        <w:t>Yukos Capital Sarl v. OJSC Rosneft Oil Co (No.2)</w:t>
      </w:r>
      <w:r>
        <w:rPr>
          <w:rFonts w:ascii="arial" w:eastAsia="arial" w:hAnsi="arial" w:cs="arial"/>
          <w:color w:val="000000"/>
          <w:sz w:val="20"/>
          <w:lang w:val="en-US" w:eastAsia="en-US" w:bidi="ar-SA"/>
        </w:rPr>
        <w:t xml:space="preserve"> [2014] QB 458.) The extension of state immunity for which the respondents contend obscures these differences. Such an extension is also unnecessary. Any wider exemption from jurisdiction extending beyond state immunity in cases of direct or indirect impleader is addressed in this jurisdiction by the act of state doctrine and principles of non-justiciability. The extension of state immunity for which the respondents contend would leave no room for the application of those principles.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w:t>
      </w:r>
      <w:r>
        <w:rPr>
          <w:rFonts w:ascii="arial" w:eastAsia="arial" w:hAnsi="arial" w:cs="arial"/>
          <w:color w:val="000000"/>
          <w:sz w:val="20"/>
          <w:u w:val="single"/>
          <w:lang w:val="en-US" w:eastAsia="en-US" w:bidi="ar-SA"/>
        </w:rPr>
        <w:t>I respectfully agree with this analysis</w:t>
      </w:r>
      <w:r>
        <w:rPr>
          <w:rFonts w:ascii="arial" w:eastAsia="arial" w:hAnsi="arial" w:cs="arial"/>
          <w:color w:val="000000"/>
          <w:sz w:val="20"/>
          <w:lang w:val="en-US" w:eastAsia="en-US" w:bidi="ar-SA"/>
        </w:rPr>
        <w:t>. In my view, the argument advanced by Mexico is not a state immunity argument. Rather, to the extent it has merit, the argument invokes the related but separate principles of the act of state doctrine. Mexico did not argue act of state as an independent ground supporting a conclusion that the Board could not inquire into the sovereign acts of Mexico conducted within its own territory. It has not argued that proposition on appeal. Rather, its submission is, in substance, that the principle of indirect impleading should be expanded to incorporate principles drawn from the act of state doctrine. It submits that that is the proper meaning to be given to the exercise of jurisdiction by the Board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368</w:t>
      </w:r>
      <w:r>
        <w:rPr>
          <w:rFonts w:ascii="arial" w:eastAsia="arial" w:hAnsi="arial" w:cs="arial"/>
          <w:color w:val="000000"/>
          <w:sz w:val="20"/>
          <w:lang w:val="en-US" w:eastAsia="en-US" w:bidi="ar-SA"/>
        </w:rPr>
        <w:t xml:space="preserve">  The circumstances in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 xml:space="preserve"> were materially different from those in this case. There, the sovereign state was a party and the court referred to the passage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noting that both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and the act of state doctrine may be engaged in a single factual situation. Here, the State of Eritrea is not a party and the issue is not whether one or both of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and the act of state doctrine are engaged, only whether the act of state doctrine is engaged in circumstances quite different from those in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 Furthermore, Nevsun is neither a foreign sovereign state nor an official of that state or the home state. Rather, it is a British Columbia company which is alleged to have committed various human rights abuses and common law torts in furthering its commercial interests, being the development, construction and operation of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369</w:t>
      </w:r>
      <w:r>
        <w:rPr>
          <w:rFonts w:ascii="arial" w:eastAsia="arial" w:hAnsi="arial" w:cs="arial"/>
          <w:color w:val="000000"/>
          <w:sz w:val="20"/>
          <w:lang w:val="en-US" w:eastAsia="en-US" w:bidi="ar-SA"/>
        </w:rPr>
        <w:t xml:space="preserve">  The plaintiffs also make a submission in this Court that was not advanced in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Canada (Attorney General) v. TeleZone Inc.,</w:t>
      </w:r>
      <w:r>
        <w:rPr>
          <w:rFonts w:ascii="arial" w:eastAsia="arial" w:hAnsi="arial" w:cs="arial"/>
          <w:color w:val="000000"/>
          <w:sz w:val="20"/>
          <w:lang w:val="en-US" w:eastAsia="en-US" w:bidi="ar-SA"/>
        </w:rPr>
        <w:t xml:space="preserve"> </w:t>
      </w:r>
      <w:hyperlink r:id="rId187" w:history="1">
        <w:r>
          <w:rPr>
            <w:rFonts w:ascii="arial" w:eastAsia="arial" w:hAnsi="arial" w:cs="arial"/>
            <w:i/>
            <w:color w:val="0077CC"/>
            <w:sz w:val="20"/>
            <w:u w:val="single"/>
            <w:shd w:val="clear" w:color="auto" w:fill="FFFFFF"/>
            <w:lang w:val="en-US" w:eastAsia="en-US" w:bidi="ar-SA"/>
          </w:rPr>
          <w:t>2010 SCC 62</w:t>
        </w:r>
      </w:hyperlink>
      <w:r>
        <w:rPr>
          <w:rFonts w:ascii="arial" w:eastAsia="arial" w:hAnsi="arial" w:cs="arial"/>
          <w:color w:val="000000"/>
          <w:sz w:val="20"/>
          <w:lang w:val="en-US" w:eastAsia="en-US" w:bidi="ar-SA"/>
        </w:rPr>
        <w:t xml:space="preserve"> at para. 42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and in particular </w:t>
      </w:r>
      <w:r>
        <w:rPr>
          <w:rFonts w:ascii="arial" w:eastAsia="arial" w:hAnsi="arial" w:cs="arial"/>
          <w:i/>
          <w:color w:val="000000"/>
          <w:sz w:val="20"/>
          <w:lang w:val="en-US" w:eastAsia="en-US" w:bidi="ar-SA"/>
        </w:rPr>
        <w:t>Equustek Solutions Inc. v. Google Inc</w:t>
      </w:r>
      <w:r>
        <w:rPr>
          <w:rFonts w:ascii="arial" w:eastAsia="arial" w:hAnsi="arial" w:cs="arial"/>
          <w:color w:val="000000"/>
          <w:sz w:val="20"/>
          <w:lang w:val="en-US" w:eastAsia="en-US" w:bidi="ar-SA"/>
        </w:rPr>
        <w:t xml:space="preserve">., </w:t>
      </w:r>
      <w:hyperlink r:id="rId188" w:history="1">
        <w:r>
          <w:rPr>
            <w:rFonts w:ascii="arial" w:eastAsia="arial" w:hAnsi="arial" w:cs="arial"/>
            <w:i/>
            <w:color w:val="0077CC"/>
            <w:sz w:val="20"/>
            <w:u w:val="single"/>
            <w:shd w:val="clear" w:color="auto" w:fill="FFFFFF"/>
            <w:lang w:val="en-US" w:eastAsia="en-US" w:bidi="ar-SA"/>
          </w:rPr>
          <w:t>2015 BCCA 265</w:t>
        </w:r>
      </w:hyperlink>
      <w:r>
        <w:rPr>
          <w:rFonts w:ascii="arial" w:eastAsia="arial" w:hAnsi="arial" w:cs="arial"/>
          <w:color w:val="000000"/>
          <w:sz w:val="20"/>
          <w:lang w:val="en-US" w:eastAsia="en-US" w:bidi="ar-SA"/>
        </w:rPr>
        <w:t xml:space="preserve"> at para. 58 [</w:t>
      </w:r>
      <w:r>
        <w:rPr>
          <w:rFonts w:ascii="arial" w:eastAsia="arial" w:hAnsi="arial" w:cs="arial"/>
          <w:i/>
          <w:color w:val="000000"/>
          <w:sz w:val="20"/>
          <w:lang w:val="en-US" w:eastAsia="en-US" w:bidi="ar-SA"/>
        </w:rPr>
        <w:t>Equustek</w:t>
      </w:r>
      <w:r>
        <w:rPr>
          <w:rFonts w:ascii="arial" w:eastAsia="arial" w:hAnsi="arial" w:cs="arial"/>
          <w:color w:val="000000"/>
          <w:sz w:val="20"/>
          <w:lang w:val="en-US" w:eastAsia="en-US" w:bidi="ar-SA"/>
        </w:rPr>
        <w:t>]. They submit that Rule 21-8(1) and (2) cannot serve as a basis for dismissing their claims since this Court's inherent jurisdiction, which includes subject matter competence, can only be limited by clear and express statutory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TeleZone</w:t>
      </w:r>
      <w:r>
        <w:rPr>
          <w:rFonts w:ascii="arial" w:eastAsia="arial" w:hAnsi="arial" w:cs="arial"/>
          <w:color w:val="000000"/>
          <w:sz w:val="20"/>
          <w:lang w:val="en-US" w:eastAsia="en-US" w:bidi="ar-SA"/>
        </w:rPr>
        <w:t xml:space="preserve"> in my view does not assist the plaintiffs on this point. That is because this is not a situation where there is a derogation of this Court's inherent jurisdiction in favour of a statutory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371</w:t>
      </w:r>
      <w:r>
        <w:rPr>
          <w:rFonts w:ascii="arial" w:eastAsia="arial" w:hAnsi="arial" w:cs="arial"/>
          <w:color w:val="000000"/>
          <w:sz w:val="20"/>
          <w:lang w:val="en-US" w:eastAsia="en-US" w:bidi="ar-SA"/>
        </w:rPr>
        <w:t xml:space="preserve">  Nor does </w:t>
      </w:r>
      <w:r>
        <w:rPr>
          <w:rFonts w:ascii="arial" w:eastAsia="arial" w:hAnsi="arial" w:cs="arial"/>
          <w:i/>
          <w:color w:val="000000"/>
          <w:sz w:val="20"/>
          <w:lang w:val="en-US" w:eastAsia="en-US" w:bidi="ar-SA"/>
        </w:rPr>
        <w:t>Equustek</w:t>
      </w:r>
      <w:r>
        <w:rPr>
          <w:rFonts w:ascii="arial" w:eastAsia="arial" w:hAnsi="arial" w:cs="arial"/>
          <w:color w:val="000000"/>
          <w:sz w:val="20"/>
          <w:lang w:val="en-US" w:eastAsia="en-US" w:bidi="ar-SA"/>
        </w:rPr>
        <w:t xml:space="preserve"> advance the plaintiffs' position on this issue. At paras. 57- 58, Justice Groberman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Google contends that apart from territorial competence, as defined under the </w:t>
      </w:r>
      <w:r>
        <w:rPr>
          <w:rFonts w:ascii="arial" w:eastAsia="arial" w:hAnsi="arial" w:cs="arial"/>
          <w:i/>
          <w:color w:val="000000"/>
          <w:sz w:val="20"/>
          <w:lang w:val="en-US" w:eastAsia="en-US" w:bidi="ar-SA"/>
        </w:rPr>
        <w:t>CJPTA</w:t>
      </w:r>
      <w:r>
        <w:rPr>
          <w:rFonts w:ascii="arial" w:eastAsia="arial" w:hAnsi="arial" w:cs="arial"/>
          <w:color w:val="000000"/>
          <w:sz w:val="20"/>
          <w:lang w:val="en-US" w:eastAsia="en-US" w:bidi="ar-SA"/>
        </w:rPr>
        <w:t>, and the common law "real and substantial connection" test, there are other limitations on the granting of injunctions. Again, it points to the commentary of the Uniform Law Conference of Canada that accompanied the uniform model statute: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2.3. The Act defines a court's territorial competence "in a proceeding" (section 3). It does not define the territorial aspects of any particular remedy. Thus, the Act does not supersede common law rules about the territorial limits on a remedy, such as the rule that a Canadian court generally will not issue an injunction to restrain conduct outside the court's own province or territory.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2.4 The Act only defines territorial competence; it does not define subject matter competence. It is not intended to affect any rules limiting a Canadian court's jurisdiction by reference to the amount of the claim, the subject matter of a claim, or any other factor besides territorial connections.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In my view, commentary 2.4 is of limited interest in this case. The subject matter at issue here -- misappropriation of confidential information and violations of intellectual property rights -- are clearly within the jurisdiction of a provincial superior court. Indeed, because provincial superior courts are courts of inherent jurisdiction, concerns of subject matter competence will arise in respect of them </w:t>
      </w:r>
      <w:r>
        <w:rPr>
          <w:rFonts w:ascii="arial" w:eastAsia="arial" w:hAnsi="arial" w:cs="arial"/>
          <w:color w:val="000000"/>
          <w:sz w:val="20"/>
          <w:u w:val="single"/>
          <w:lang w:val="en-US" w:eastAsia="en-US" w:bidi="ar-SA"/>
        </w:rPr>
        <w:t>only when valid legislation serves to limit the inherent jurisdiction that would otherwise exist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372</w:t>
      </w:r>
      <w:r>
        <w:rPr>
          <w:rFonts w:ascii="arial" w:eastAsia="arial" w:hAnsi="arial" w:cs="arial"/>
          <w:color w:val="000000"/>
          <w:sz w:val="20"/>
          <w:lang w:val="en-US" w:eastAsia="en-US" w:bidi="ar-SA"/>
        </w:rPr>
        <w:t>  If the act of state doctrine forms part of the common law of Canada then, arguably, the subject matter at issue, is not "clearly within the jurisdiction of [this] superior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373</w:t>
      </w:r>
      <w:r>
        <w:rPr>
          <w:rFonts w:ascii="arial" w:eastAsia="arial" w:hAnsi="arial" w:cs="arial"/>
          <w:color w:val="000000"/>
          <w:sz w:val="20"/>
          <w:lang w:val="en-US" w:eastAsia="en-US" w:bidi="ar-SA"/>
        </w:rPr>
        <w:t xml:space="preserve">  Accordingly, I conclude that notwithstanding the significant differences between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 xml:space="preserve"> and this case, I am bound by the Court of Appeal's decision as to the existence of the doctrine in the common law of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374</w:t>
      </w:r>
      <w:r>
        <w:rPr>
          <w:rFonts w:ascii="arial" w:eastAsia="arial" w:hAnsi="arial" w:cs="arial"/>
          <w:color w:val="000000"/>
          <w:sz w:val="20"/>
          <w:lang w:val="en-US" w:eastAsia="en-US" w:bidi="ar-SA"/>
        </w:rPr>
        <w:t xml:space="preserve">  I do not view Justice Harris' comments to be </w:t>
      </w:r>
      <w:r>
        <w:rPr>
          <w:rFonts w:ascii="arial" w:eastAsia="arial" w:hAnsi="arial" w:cs="arial"/>
          <w:i/>
          <w:color w:val="000000"/>
          <w:sz w:val="20"/>
          <w:lang w:val="en-US" w:eastAsia="en-US" w:bidi="ar-SA"/>
        </w:rPr>
        <w:t>obiter dictum</w:t>
      </w:r>
      <w:r>
        <w:rPr>
          <w:rFonts w:ascii="arial" w:eastAsia="arial" w:hAnsi="arial" w:cs="arial"/>
          <w:color w:val="000000"/>
          <w:sz w:val="20"/>
          <w:lang w:val="en-US" w:eastAsia="en-US" w:bidi="ar-SA"/>
        </w:rPr>
        <w:t xml:space="preserve"> on the issue as to whether the act of state doctrine is part of Canada's common law. The fact that the court was not required to apply the doctrine in the circumstances of that case was a separate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375</w:t>
      </w:r>
      <w:r>
        <w:rPr>
          <w:rFonts w:ascii="arial" w:eastAsia="arial" w:hAnsi="arial" w:cs="arial"/>
          <w:color w:val="000000"/>
          <w:sz w:val="20"/>
          <w:lang w:val="en-US" w:eastAsia="en-US" w:bidi="ar-SA"/>
        </w:rPr>
        <w:t>  Accordingly, although it has yet to form the basis of a decision by any court in Canada, I am of the view that the act of state doctrine, notwithstanding its "uncertain application" and "lack of clarity" does form part of the common law of this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376</w:t>
      </w:r>
      <w:r>
        <w:rPr>
          <w:rFonts w:ascii="arial" w:eastAsia="arial" w:hAnsi="arial" w:cs="arial"/>
          <w:color w:val="000000"/>
          <w:sz w:val="20"/>
          <w:lang w:val="en-US" w:eastAsia="en-US" w:bidi="ar-SA"/>
        </w:rPr>
        <w:t xml:space="preserve">  Even if I concluded that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 xml:space="preserve"> was not binding on me, I would have concluded that the act of state doctrine forms part of the common law of Canada. There is no reasoned basis for its well established existence in such jurisdictions as England and Australia not to be recognized in Canada. That is particularly the case in light of the persuasive comments of the Court of Appeal in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377</w:t>
      </w:r>
      <w:r>
        <w:rPr>
          <w:rFonts w:ascii="arial" w:eastAsia="arial" w:hAnsi="arial" w:cs="arial"/>
          <w:color w:val="000000"/>
          <w:sz w:val="20"/>
          <w:lang w:val="en-US" w:eastAsia="en-US" w:bidi="ar-SA"/>
        </w:rPr>
        <w:t xml:space="preserve">  The authors of Castel and Walker, </w:t>
      </w:r>
      <w:r>
        <w:rPr>
          <w:rFonts w:ascii="arial" w:eastAsia="arial" w:hAnsi="arial" w:cs="arial"/>
          <w:i/>
          <w:color w:val="000000"/>
          <w:sz w:val="20"/>
          <w:lang w:val="en-US" w:eastAsia="en-US" w:bidi="ar-SA"/>
        </w:rPr>
        <w:t>Canadian Conflict of Laws</w:t>
      </w:r>
      <w:r>
        <w:rPr>
          <w:rFonts w:ascii="arial" w:eastAsia="arial" w:hAnsi="arial" w:cs="arial"/>
          <w:color w:val="000000"/>
          <w:sz w:val="20"/>
          <w:lang w:val="en-US" w:eastAsia="en-US" w:bidi="ar-SA"/>
        </w:rPr>
        <w:t>, 6th ed. (Markham, Ont. Lexis Nexus Canada, 2005 at 10-2 and 10-4, also are of the view that the act of state doctrine forms part of Canadian law.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Is the act of state doctrine engaged in the circumstances of this case such that the plaintiffs' action should be dismissed pursuant to either Rule 21-8 or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378</w:t>
      </w:r>
      <w:r>
        <w:rPr>
          <w:rFonts w:ascii="arial" w:eastAsia="arial" w:hAnsi="arial" w:cs="arial"/>
          <w:color w:val="000000"/>
          <w:sz w:val="20"/>
          <w:lang w:val="en-US" w:eastAsia="en-US" w:bidi="ar-SA"/>
        </w:rPr>
        <w:t>  My conclusion that the act of state doctrine forms part of the common law only incrementally advances Nevsun's position in the analysis. In my view, the real issue is whether the act of state doctrine is conclusively engaged in the circumstances of this case such that the action should be dismissed. This involves considering the limitations to the doctrine and the propriety on a preliminary application of dismissing an action without providing the plaintiffs the opportunity to prove their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379</w:t>
      </w:r>
      <w:r>
        <w:rPr>
          <w:rFonts w:ascii="arial" w:eastAsia="arial" w:hAnsi="arial" w:cs="arial"/>
          <w:color w:val="000000"/>
          <w:sz w:val="20"/>
          <w:lang w:val="en-US" w:eastAsia="en-US" w:bidi="ar-SA"/>
        </w:rPr>
        <w:t xml:space="preserve">  Relying on </w:t>
      </w:r>
      <w:r>
        <w:rPr>
          <w:rFonts w:ascii="arial" w:eastAsia="arial" w:hAnsi="arial" w:cs="arial"/>
          <w:i/>
          <w:color w:val="000000"/>
          <w:sz w:val="20"/>
          <w:lang w:val="en-US" w:eastAsia="en-US" w:bidi="ar-SA"/>
        </w:rPr>
        <w:t>Yukos</w:t>
      </w:r>
      <w:r>
        <w:rPr>
          <w:rFonts w:ascii="arial" w:eastAsia="arial" w:hAnsi="arial" w:cs="arial"/>
          <w:color w:val="000000"/>
          <w:sz w:val="20"/>
          <w:lang w:val="en-US" w:eastAsia="en-US" w:bidi="ar-SA"/>
        </w:rPr>
        <w:t xml:space="preserve"> at paras. 109-110, Nevsun submits that the act of state doctrine is a "prohibition on adjudication", the purpose of the doctrine being "to prevent such challenge at the outset, as a matter of </w:t>
      </w:r>
      <w:r>
        <w:rPr>
          <w:rFonts w:ascii="arial" w:eastAsia="arial" w:hAnsi="arial" w:cs="arial"/>
          <w:i/>
          <w:color w:val="000000"/>
          <w:sz w:val="20"/>
          <w:lang w:val="en-US" w:eastAsia="en-US" w:bidi="ar-SA"/>
        </w:rPr>
        <w:t>immunity rationae materiae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380</w:t>
      </w:r>
      <w:r>
        <w:rPr>
          <w:rFonts w:ascii="arial" w:eastAsia="arial" w:hAnsi="arial" w:cs="arial"/>
          <w:color w:val="000000"/>
          <w:sz w:val="20"/>
          <w:lang w:val="en-US" w:eastAsia="en-US" w:bidi="ar-SA"/>
        </w:rPr>
        <w:t xml:space="preserve">  Furthermore, Nevsun argues that in the context of state immunity principles courts have held that the immunity of the exercise of military authority is the "paradigm example" of the rule: </w:t>
      </w:r>
      <w:r>
        <w:rPr>
          <w:rFonts w:ascii="arial" w:eastAsia="arial" w:hAnsi="arial" w:cs="arial"/>
          <w:i/>
          <w:color w:val="000000"/>
          <w:sz w:val="20"/>
          <w:lang w:val="en-US" w:eastAsia="en-US" w:bidi="ar-SA"/>
        </w:rPr>
        <w:t>Pinochet No. 3</w:t>
      </w:r>
      <w:r>
        <w:rPr>
          <w:rFonts w:ascii="arial" w:eastAsia="arial" w:hAnsi="arial" w:cs="arial"/>
          <w:color w:val="000000"/>
          <w:sz w:val="20"/>
          <w:lang w:val="en-US" w:eastAsia="en-US" w:bidi="ar-SA"/>
        </w:rPr>
        <w:t xml:space="preserve"> at 269.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381</w:t>
      </w:r>
      <w:r>
        <w:rPr>
          <w:rFonts w:ascii="arial" w:eastAsia="arial" w:hAnsi="arial" w:cs="arial"/>
          <w:color w:val="000000"/>
          <w:sz w:val="20"/>
          <w:lang w:val="en-US" w:eastAsia="en-US" w:bidi="ar-SA"/>
        </w:rPr>
        <w:t xml:space="preserve">  In light of the dearth of authority in Canada dealing specifically with the act of state doctrine, Nevsun refers to four Supreme Court of Canada decisions, decided in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context, as "adverting" to the act of state doctrine:</w:t>
      </w:r>
      <w:r>
        <w:rPr>
          <w:rFonts w:ascii="arial" w:eastAsia="arial" w:hAnsi="arial" w:cs="arial"/>
          <w:sz w:val="20"/>
          <w:lang w:val="en-US" w:eastAsia="en-US" w:bidi="ar-SA"/>
        </w:rPr>
        <w:cr/>
      </w:r>
    </w:p>
    <w:p>
      <w:pPr>
        <w:numPr>
          <w:numId w:val="34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R. v. Hape,</w:t>
      </w:r>
      <w:r>
        <w:rPr>
          <w:rFonts w:ascii="arial" w:eastAsia="arial" w:hAnsi="arial" w:cs="arial"/>
          <w:color w:val="000000"/>
          <w:sz w:val="20"/>
          <w:lang w:val="en-US" w:eastAsia="en-US" w:bidi="ar-SA"/>
        </w:rPr>
        <w:t xml:space="preserve"> </w:t>
      </w:r>
      <w:hyperlink r:id="rId189" w:history="1">
        <w:r>
          <w:rPr>
            <w:rFonts w:ascii="arial" w:eastAsia="arial" w:hAnsi="arial" w:cs="arial"/>
            <w:i/>
            <w:color w:val="0077CC"/>
            <w:sz w:val="20"/>
            <w:u w:val="single"/>
            <w:shd w:val="clear" w:color="auto" w:fill="FFFFFF"/>
            <w:lang w:val="en-US" w:eastAsia="en-US" w:bidi="ar-SA"/>
          </w:rPr>
          <w:t>2007 SCC 26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Hape</w:t>
      </w:r>
      <w:r>
        <w:rPr>
          <w:rFonts w:ascii="arial" w:eastAsia="arial" w:hAnsi="arial" w:cs="arial"/>
          <w:color w:val="000000"/>
          <w:sz w:val="20"/>
          <w:lang w:val="en-US" w:eastAsia="en-US" w:bidi="ar-SA"/>
        </w:rPr>
        <w:t>];</w:t>
      </w:r>
    </w:p>
    <w:p>
      <w:pPr>
        <w:numPr>
          <w:numId w:val="343"/>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Canada (Justice) v. Khadr,</w:t>
      </w:r>
      <w:r>
        <w:rPr>
          <w:rFonts w:ascii="arial" w:eastAsia="arial" w:hAnsi="arial" w:cs="arial"/>
          <w:color w:val="000000"/>
          <w:sz w:val="20"/>
          <w:lang w:val="en-US" w:eastAsia="en-US" w:bidi="ar-SA"/>
        </w:rPr>
        <w:t xml:space="preserve"> </w:t>
      </w:r>
      <w:hyperlink r:id="rId190" w:history="1">
        <w:r>
          <w:rPr>
            <w:rFonts w:ascii="arial" w:eastAsia="arial" w:hAnsi="arial" w:cs="arial"/>
            <w:i/>
            <w:color w:val="0077CC"/>
            <w:sz w:val="20"/>
            <w:u w:val="single"/>
            <w:shd w:val="clear" w:color="auto" w:fill="FFFFFF"/>
            <w:lang w:val="en-US" w:eastAsia="en-US" w:bidi="ar-SA"/>
          </w:rPr>
          <w:t>2008 SCC 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Khadr</w:t>
      </w:r>
      <w:r>
        <w:rPr>
          <w:rFonts w:ascii="arial" w:eastAsia="arial" w:hAnsi="arial" w:cs="arial"/>
          <w:color w:val="000000"/>
          <w:sz w:val="20"/>
          <w:lang w:val="en-US" w:eastAsia="en-US" w:bidi="ar-SA"/>
        </w:rPr>
        <w:t>];</w:t>
      </w:r>
    </w:p>
    <w:p>
      <w:pPr>
        <w:numPr>
          <w:numId w:val="344"/>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Kazemi Estate v. Iran,</w:t>
      </w:r>
      <w:r>
        <w:rPr>
          <w:rFonts w:ascii="arial" w:eastAsia="arial" w:hAnsi="arial" w:cs="arial"/>
          <w:color w:val="000000"/>
          <w:sz w:val="20"/>
          <w:lang w:val="en-US" w:eastAsia="en-US" w:bidi="ar-SA"/>
        </w:rPr>
        <w:t xml:space="preserve"> </w:t>
      </w:r>
      <w:hyperlink r:id="rId191" w:history="1">
        <w:r>
          <w:rPr>
            <w:rFonts w:ascii="arial" w:eastAsia="arial" w:hAnsi="arial" w:cs="arial"/>
            <w:i/>
            <w:color w:val="0077CC"/>
            <w:sz w:val="20"/>
            <w:u w:val="single"/>
            <w:shd w:val="clear" w:color="auto" w:fill="FFFFFF"/>
            <w:lang w:val="en-US" w:eastAsia="en-US" w:bidi="ar-SA"/>
          </w:rPr>
          <w:t>2014 SCC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and</w:t>
      </w:r>
    </w:p>
    <w:p>
      <w:pPr>
        <w:numPr>
          <w:numId w:val="34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Tolofson v. Jensen</w:t>
      </w:r>
      <w:r>
        <w:rPr>
          <w:rFonts w:ascii="arial" w:eastAsia="arial" w:hAnsi="arial" w:cs="arial"/>
          <w:color w:val="000000"/>
          <w:sz w:val="20"/>
          <w:lang w:val="en-US" w:eastAsia="en-US" w:bidi="ar-SA"/>
        </w:rPr>
        <w:t xml:space="preserve">, </w:t>
      </w:r>
      <w:hyperlink r:id="rId182" w:history="1">
        <w:r>
          <w:rPr>
            <w:rFonts w:ascii="arial" w:eastAsia="arial" w:hAnsi="arial" w:cs="arial"/>
            <w:i/>
            <w:color w:val="0077CC"/>
            <w:sz w:val="20"/>
            <w:u w:val="single"/>
            <w:shd w:val="clear" w:color="auto" w:fill="FFFFFF"/>
            <w:lang w:val="en-US" w:eastAsia="en-US" w:bidi="ar-SA"/>
          </w:rPr>
          <w:t>[1994] 3 S.C.R. 1022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Tolofson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382</w:t>
      </w:r>
      <w:r>
        <w:rPr>
          <w:rFonts w:ascii="arial" w:eastAsia="arial" w:hAnsi="arial" w:cs="arial"/>
          <w:color w:val="000000"/>
          <w:sz w:val="20"/>
          <w:lang w:val="en-US" w:eastAsia="en-US" w:bidi="ar-SA"/>
        </w:rPr>
        <w:t>  I am not persuaded that these decisions provide the necessary basis for concluding that the act of state doctrine should apply in this case to defeat the plaintiffs' claims at this preliminary stage of the proceedings. That is because none of these decisions specifically addressed the act of state doctrine, let alone concluded that its application would prevent a Canadian court from assuming subject matter jurisdiction based on its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383</w:t>
      </w:r>
      <w:r>
        <w:rPr>
          <w:rFonts w:ascii="arial" w:eastAsia="arial" w:hAnsi="arial" w:cs="arial"/>
          <w:color w:val="000000"/>
          <w:sz w:val="20"/>
          <w:lang w:val="en-US" w:eastAsia="en-US" w:bidi="ar-SA"/>
        </w:rPr>
        <w:t>  In fact, bearing in mind the uncertain scope and application of the doctrine, arguably, one or more of these authorities militate against concluding that it applies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Hape,</w:t>
      </w:r>
      <w:r>
        <w:rPr>
          <w:rFonts w:ascii="arial" w:eastAsia="arial" w:hAnsi="arial" w:cs="arial"/>
          <w:color w:val="000000"/>
          <w:sz w:val="20"/>
          <w:lang w:val="en-US" w:eastAsia="en-US" w:bidi="ar-SA"/>
        </w:rPr>
        <w:t xml:space="preserve"> the Court at para. 51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need to uphold international law may trump the principle of comity (see for example the English Court of Appeal's decision in </w:t>
      </w:r>
      <w:r>
        <w:rPr>
          <w:rFonts w:ascii="arial" w:eastAsia="arial" w:hAnsi="arial" w:cs="arial"/>
          <w:i/>
          <w:color w:val="000000"/>
          <w:sz w:val="20"/>
          <w:lang w:val="en-US" w:eastAsia="en-US" w:bidi="ar-SA"/>
        </w:rPr>
        <w:t>Abbasi v. Secretary of State for Foreign and Commonwealth Affairs</w:t>
      </w:r>
      <w:r>
        <w:rPr>
          <w:rFonts w:ascii="arial" w:eastAsia="arial" w:hAnsi="arial" w:cs="arial"/>
          <w:color w:val="000000"/>
          <w:sz w:val="20"/>
          <w:lang w:val="en-US" w:eastAsia="en-US" w:bidi="ar-SA"/>
        </w:rPr>
        <w:t>, [2002] E.W.J. No. 4947 (QL), [2002] EWCA Civ. 1598, in respect of a British national captured by U.S. forces in Afghanistan who was transferred to Guantanamo Bay and detained for several months without access to a lawyer or a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Tolofson</w:t>
      </w:r>
      <w:r>
        <w:rPr>
          <w:rFonts w:ascii="arial" w:eastAsia="arial" w:hAnsi="arial" w:cs="arial"/>
          <w:color w:val="000000"/>
          <w:sz w:val="20"/>
          <w:lang w:val="en-US" w:eastAsia="en-US" w:bidi="ar-SA"/>
        </w:rPr>
        <w:t xml:space="preserve"> at 1052, furthermore, the Court held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international plane, the relevant underlying reality is the territorial limits of law under the international legal order. The underlying postulate of public international law is that generally each state has jurisdiction to make and apply law within its territorial limit. </w:t>
      </w:r>
      <w:r>
        <w:rPr>
          <w:rFonts w:ascii="arial" w:eastAsia="arial" w:hAnsi="arial" w:cs="arial"/>
          <w:color w:val="000000"/>
          <w:sz w:val="20"/>
          <w:u w:val="single"/>
          <w:lang w:val="en-US" w:eastAsia="en-US" w:bidi="ar-SA"/>
        </w:rPr>
        <w:t>Absent a breach of some overriding norm</w:t>
      </w:r>
      <w:r>
        <w:rPr>
          <w:rFonts w:ascii="arial" w:eastAsia="arial" w:hAnsi="arial" w:cs="arial"/>
          <w:color w:val="000000"/>
          <w:sz w:val="20"/>
          <w:lang w:val="en-US" w:eastAsia="en-US" w:bidi="ar-SA"/>
        </w:rPr>
        <w:t>, other states as a matter of "comity" will ordinarily respect such actions and are hesitant to interfere with what another state chooses to do within those limits.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Tolofson</w:t>
      </w:r>
      <w:r>
        <w:rPr>
          <w:rFonts w:ascii="arial" w:eastAsia="arial" w:hAnsi="arial" w:cs="arial"/>
          <w:color w:val="000000"/>
          <w:sz w:val="20"/>
          <w:lang w:val="en-US" w:eastAsia="en-US" w:bidi="ar-SA"/>
        </w:rPr>
        <w:t>, the Supreme Court of Canada was considering a choice of law rule, and not one of subject-matter jurisdiction. Even in this context, the Court made it clear that a breach of overriding norms of international law justifies a departure from notions of comity and territoriality.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387</w:t>
      </w:r>
      <w:r>
        <w:rPr>
          <w:rFonts w:ascii="arial" w:eastAsia="arial" w:hAnsi="arial" w:cs="arial"/>
          <w:color w:val="000000"/>
          <w:sz w:val="20"/>
          <w:lang w:val="en-US" w:eastAsia="en-US" w:bidi="ar-SA"/>
        </w:rPr>
        <w:t>  Here the plaintiffs allege breaches of overriding norms.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388</w:t>
      </w:r>
      <w:r>
        <w:rPr>
          <w:rFonts w:ascii="arial" w:eastAsia="arial" w:hAnsi="arial" w:cs="arial"/>
          <w:color w:val="000000"/>
          <w:sz w:val="20"/>
          <w:lang w:val="en-US" w:eastAsia="en-US" w:bidi="ar-SA"/>
        </w:rPr>
        <w:t xml:space="preserve">  While there may be some overlap between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and the act of state doctrine in that they share some common rationales, they are nonetheless two different concepts. This is shown, for example, in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United Mexican States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389</w:t>
      </w:r>
      <w:r>
        <w:rPr>
          <w:rFonts w:ascii="arial" w:eastAsia="arial" w:hAnsi="arial" w:cs="arial"/>
          <w:color w:val="000000"/>
          <w:sz w:val="20"/>
          <w:lang w:val="en-US" w:eastAsia="en-US" w:bidi="ar-SA"/>
        </w:rPr>
        <w:t xml:space="preserve">  Sovereign immunity is a principle of international law that has been recognized in Canada and codified in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and reflects Parliament's choices as to the scope of sovereign immunity in Canada. In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Justice Lebel held at para. 54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is a complete codification of Canadian law as it relates to state immunity from civil proceedings. In particular, s. 3(1) of the Act exhaustively establishes the parameters for state immunity and its exceptions.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390</w:t>
      </w:r>
      <w:r>
        <w:rPr>
          <w:rFonts w:ascii="arial" w:eastAsia="arial" w:hAnsi="arial" w:cs="arial"/>
          <w:color w:val="000000"/>
          <w:sz w:val="20"/>
          <w:lang w:val="en-US" w:eastAsia="en-US" w:bidi="ar-SA"/>
        </w:rPr>
        <w:t>  This is not the case with the act of state doctrine as presently described and applied in other jurisdictions.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391</w:t>
      </w:r>
      <w:r>
        <w:rPr>
          <w:rFonts w:ascii="arial" w:eastAsia="arial" w:hAnsi="arial" w:cs="arial"/>
          <w:color w:val="000000"/>
          <w:sz w:val="20"/>
          <w:lang w:val="en-US" w:eastAsia="en-US" w:bidi="ar-SA"/>
        </w:rPr>
        <w:t xml:space="preserve">  I would add that the Prince Edward Island Court of Appeal has recently decided that whether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also governs such other issues as the applicability of the act of state doctrine raised a serious issue to be tried: </w:t>
      </w:r>
      <w:r>
        <w:rPr>
          <w:rFonts w:ascii="arial" w:eastAsia="arial" w:hAnsi="arial" w:cs="arial"/>
          <w:i/>
          <w:color w:val="000000"/>
          <w:sz w:val="20"/>
          <w:lang w:val="en-US" w:eastAsia="en-US" w:bidi="ar-SA"/>
        </w:rPr>
        <w:t>Dash 224 LLC v. Vector Aerospace Services Engine Services,</w:t>
      </w:r>
      <w:r>
        <w:rPr>
          <w:rFonts w:ascii="arial" w:eastAsia="arial" w:hAnsi="arial" w:cs="arial"/>
          <w:color w:val="000000"/>
          <w:sz w:val="20"/>
          <w:lang w:val="en-US" w:eastAsia="en-US" w:bidi="ar-SA"/>
        </w:rPr>
        <w:t xml:space="preserve"> </w:t>
      </w:r>
      <w:hyperlink r:id="rId192" w:history="1">
        <w:r>
          <w:rPr>
            <w:rFonts w:ascii="arial" w:eastAsia="arial" w:hAnsi="arial" w:cs="arial"/>
            <w:i/>
            <w:color w:val="0077CC"/>
            <w:sz w:val="20"/>
            <w:u w:val="single"/>
            <w:shd w:val="clear" w:color="auto" w:fill="FFFFFF"/>
            <w:lang w:val="en-US" w:eastAsia="en-US" w:bidi="ar-SA"/>
          </w:rPr>
          <w:t>2015 PECA 12</w:t>
        </w:r>
      </w:hyperlink>
      <w:r>
        <w:rPr>
          <w:rFonts w:ascii="arial" w:eastAsia="arial" w:hAnsi="arial" w:cs="arial"/>
          <w:color w:val="000000"/>
          <w:sz w:val="20"/>
          <w:lang w:val="en-US" w:eastAsia="en-US" w:bidi="ar-SA"/>
        </w:rPr>
        <w:t xml:space="preserve"> at para. 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392</w:t>
      </w:r>
      <w:r>
        <w:rPr>
          <w:rFonts w:ascii="arial" w:eastAsia="arial" w:hAnsi="arial" w:cs="arial"/>
          <w:color w:val="000000"/>
          <w:sz w:val="20"/>
          <w:lang w:val="en-US" w:eastAsia="en-US" w:bidi="ar-SA"/>
        </w:rPr>
        <w:t>  In any event, Nevsun must satisfy this Court that the legal principles which relate to the act of state doctrine are sufficiently developed in Canada generally, or British Columbia in particular, such that the plaintiffs' claims should be dismissed on this preliminary application pursuant to Rule 21-8(1) and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393</w:t>
      </w:r>
      <w:r>
        <w:rPr>
          <w:rFonts w:ascii="arial" w:eastAsia="arial" w:hAnsi="arial" w:cs="arial"/>
          <w:color w:val="000000"/>
          <w:sz w:val="20"/>
          <w:lang w:val="en-US" w:eastAsia="en-US" w:bidi="ar-SA"/>
        </w:rPr>
        <w:t>  Considering the draconian remedy Nevsun seeks, I am not prepared to grant this application on the basis of the uncertain state of the law regarding this doctrine at the time of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394</w:t>
      </w:r>
      <w:r>
        <w:rPr>
          <w:rFonts w:ascii="arial" w:eastAsia="arial" w:hAnsi="arial" w:cs="arial"/>
          <w:color w:val="000000"/>
          <w:sz w:val="20"/>
          <w:lang w:val="en-US" w:eastAsia="en-US" w:bidi="ar-SA"/>
        </w:rPr>
        <w:t>  The act of state doctrine is essentially a "novel" defence raised by Nevsun. That being the case, the dismissal of the application does not preclude it from advancing this defence at the trial by which time both the legal principles and the evidentiary record may be more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395</w:t>
      </w:r>
      <w:r>
        <w:rPr>
          <w:rFonts w:ascii="arial" w:eastAsia="arial" w:hAnsi="arial" w:cs="arial"/>
          <w:color w:val="000000"/>
          <w:sz w:val="20"/>
          <w:lang w:val="en-US" w:eastAsia="en-US" w:bidi="ar-SA"/>
        </w:rPr>
        <w:t xml:space="preserve">  If I am wrong in reaching this conclusion, I would nonetheless dismiss the application on the basis that if the act of state doctrine has been engaged on the pleadings before the Court, then the established public policy, </w:t>
      </w:r>
      <w:r>
        <w:rPr>
          <w:rFonts w:ascii="arial" w:eastAsia="arial" w:hAnsi="arial" w:cs="arial"/>
          <w:i/>
          <w:color w:val="000000"/>
          <w:sz w:val="20"/>
          <w:lang w:val="en-US" w:eastAsia="en-US" w:bidi="ar-SA"/>
        </w:rPr>
        <w:t>Kirkpatrick</w:t>
      </w:r>
      <w:r>
        <w:rPr>
          <w:rFonts w:ascii="arial" w:eastAsia="arial" w:hAnsi="arial" w:cs="arial"/>
          <w:color w:val="000000"/>
          <w:sz w:val="20"/>
          <w:lang w:val="en-US" w:eastAsia="en-US" w:bidi="ar-SA"/>
        </w:rPr>
        <w:t>, and commercial activity limitations of the doctrine either apply or may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396</w:t>
      </w:r>
      <w:r>
        <w:rPr>
          <w:rFonts w:ascii="arial" w:eastAsia="arial" w:hAnsi="arial" w:cs="arial"/>
          <w:color w:val="000000"/>
          <w:sz w:val="20"/>
          <w:lang w:val="en-US" w:eastAsia="en-US" w:bidi="ar-SA"/>
        </w:rPr>
        <w:t xml:space="preserve">  In my analysis, I am guided by both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regarding these limitations. These cases appear to represent the modern judicial view of the act of state doctrine. I note that the decision of the Supreme Court of Canada in </w:t>
      </w:r>
      <w:r>
        <w:rPr>
          <w:rFonts w:ascii="arial" w:eastAsia="arial" w:hAnsi="arial" w:cs="arial"/>
          <w:i/>
          <w:color w:val="000000"/>
          <w:sz w:val="20"/>
          <w:lang w:val="en-US" w:eastAsia="en-US" w:bidi="ar-SA"/>
        </w:rPr>
        <w:t>Khadr</w:t>
      </w:r>
      <w:r>
        <w:rPr>
          <w:rFonts w:ascii="arial" w:eastAsia="arial" w:hAnsi="arial" w:cs="arial"/>
          <w:color w:val="000000"/>
          <w:sz w:val="20"/>
          <w:lang w:val="en-US" w:eastAsia="en-US" w:bidi="ar-SA"/>
        </w:rPr>
        <w:t xml:space="preserve"> was distinguished by the English Court of Appeal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at para.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397</w:t>
      </w:r>
      <w:r>
        <w:rPr>
          <w:rFonts w:ascii="arial" w:eastAsia="arial" w:hAnsi="arial" w:cs="arial"/>
          <w:color w:val="000000"/>
          <w:sz w:val="20"/>
          <w:lang w:val="en-US" w:eastAsia="en-US" w:bidi="ar-SA"/>
        </w:rPr>
        <w:t xml:space="preserve">  The essential facts and elements of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are summarized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at paras. 95-102.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the plaintiff, an Australian citizen, alleged officers of the Commonwealth had,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aided, abetted and counselled his torture and other inhumane treatment by foreign officials. That the agents of the foreign states committed the principle offences was a necessary element of the case. The Commonwealth claimed that the act of state doctrine precluded these claims because the court would have to determine the unlawfulness of acts of foreign states' agents, committed within the territories of foreign states. But the court found the act of state doctrine did not apply. It noted that the Australian constitution and legislation founded the extra-territorial jurisdiction of the court, and that a common law doctrine could not exclude such jurisdiction. In addition, torture was clearly prohibited at international law and the doctrine did not preclude judicial determination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the claimant alleged violations of international law and human rights, namely torture in Libya for which British government officials were allegedly responsible. The facts were not established and if the matter proceeded to trial, the facts would have to be investigated and determined by the court. The central issue was whether the court should apply the public policy limitation in a case where, if it exercised jurisdiction, it would be required to conduct a legal and factual investigation into the validity of the conduct of a foreign state. Referring to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the court found that there were compelling reasons for concluding that the public policy limitation should be applied: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102 In this way a senior court in another common law jurisdiction has concluded, on facts which bear a striking resemblance to those in the present case, that this limitation to the act of state doctrine may be applied notwithstanding the need to investigate the conduct and to rule on the legality of the conduct of foreign states. We should add that we find the judgment of Jagot J.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400</w:t>
      </w:r>
      <w:r>
        <w:rPr>
          <w:rFonts w:ascii="arial" w:eastAsia="arial" w:hAnsi="arial" w:cs="arial"/>
          <w:color w:val="000000"/>
          <w:sz w:val="20"/>
          <w:lang w:val="en-US" w:eastAsia="en-US" w:bidi="ar-SA"/>
        </w:rPr>
        <w:t xml:space="preserve">  As in this case, both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dealt with preliminary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401</w:t>
      </w:r>
      <w:r>
        <w:rPr>
          <w:rFonts w:ascii="arial" w:eastAsia="arial" w:hAnsi="arial" w:cs="arial"/>
          <w:color w:val="000000"/>
          <w:sz w:val="20"/>
          <w:lang w:val="en-US" w:eastAsia="en-US" w:bidi="ar-SA"/>
        </w:rPr>
        <w:t xml:space="preserve">  While Canada does not have a statute similar to Australia's </w:t>
      </w:r>
      <w:r>
        <w:rPr>
          <w:rFonts w:ascii="arial" w:eastAsia="arial" w:hAnsi="arial" w:cs="arial"/>
          <w:i/>
          <w:color w:val="000000"/>
          <w:sz w:val="20"/>
          <w:lang w:val="en-US" w:eastAsia="en-US" w:bidi="ar-SA"/>
        </w:rPr>
        <w:t>Crimes (Torture) Act</w:t>
      </w:r>
      <w:r>
        <w:rPr>
          <w:rFonts w:ascii="arial" w:eastAsia="arial" w:hAnsi="arial" w:cs="arial"/>
          <w:color w:val="000000"/>
          <w:sz w:val="20"/>
          <w:lang w:val="en-US" w:eastAsia="en-US" w:bidi="ar-SA"/>
        </w:rPr>
        <w:t xml:space="preserve">, it is a signatory to the same international treaties and conventions: the UN </w:t>
      </w:r>
      <w:r>
        <w:rPr>
          <w:rFonts w:ascii="arial" w:eastAsia="arial" w:hAnsi="arial" w:cs="arial"/>
          <w:i/>
          <w:color w:val="000000"/>
          <w:sz w:val="20"/>
          <w:lang w:val="en-US" w:eastAsia="en-US" w:bidi="ar-SA"/>
        </w:rPr>
        <w:t>Convention Against Torture and Other Cruel, Inhuman or Degrading Treatment or Punishment,</w:t>
      </w:r>
      <w:r>
        <w:rPr>
          <w:rFonts w:ascii="arial" w:eastAsia="arial" w:hAnsi="arial" w:cs="arial"/>
          <w:color w:val="000000"/>
          <w:sz w:val="20"/>
          <w:lang w:val="en-US" w:eastAsia="en-US" w:bidi="ar-SA"/>
        </w:rPr>
        <w:t xml:space="preserve"> 1465 U.N.T.S. 85 (</w:t>
      </w:r>
      <w:r>
        <w:rPr>
          <w:rFonts w:ascii="arial" w:eastAsia="arial" w:hAnsi="arial" w:cs="arial"/>
          <w:i/>
          <w:color w:val="000000"/>
          <w:sz w:val="20"/>
          <w:lang w:val="en-US" w:eastAsia="en-US" w:bidi="ar-SA"/>
        </w:rPr>
        <w:t>CAT</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International Covenant on Civil and Political Rights</w:t>
      </w:r>
      <w:r>
        <w:rPr>
          <w:rFonts w:ascii="arial" w:eastAsia="arial" w:hAnsi="arial" w:cs="arial"/>
          <w:color w:val="000000"/>
          <w:sz w:val="20"/>
          <w:lang w:val="en-US" w:eastAsia="en-US" w:bidi="ar-SA"/>
        </w:rPr>
        <w:t>, 999 U.N.T.S. 171.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the English Court of Appeal decided that the case fell within the public policy limitation. This conclusion was reached notwithstanding the fact that the respondents were either current or former officers or state officials in the United Kingdom.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403</w:t>
      </w:r>
      <w:r>
        <w:rPr>
          <w:rFonts w:ascii="arial" w:eastAsia="arial" w:hAnsi="arial" w:cs="arial"/>
          <w:color w:val="000000"/>
          <w:sz w:val="20"/>
          <w:lang w:val="en-US" w:eastAsia="en-US" w:bidi="ar-SA"/>
        </w:rPr>
        <w:t>  If such a decision could be reached in relation to the home state's officers or officials of state, the same result, in my view, should arise where the defendant is a private corporation of the home state whose conduct is motivated by purely commercial as opposed to state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404</w:t>
      </w:r>
      <w:r>
        <w:rPr>
          <w:rFonts w:ascii="arial" w:eastAsia="arial" w:hAnsi="arial" w:cs="arial"/>
          <w:color w:val="000000"/>
          <w:sz w:val="20"/>
          <w:lang w:val="en-US" w:eastAsia="en-US" w:bidi="ar-SA"/>
        </w:rPr>
        <w:t xml:space="preserve">  In that regard, the decision of the Supreme Court of Canada in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can be distinguished in that certain of the defendants in that case were the Islamic Republic of Iran and two of its state officials. Accordingly, the case was decided pursuant to the provisions of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405</w:t>
      </w:r>
      <w:r>
        <w:rPr>
          <w:rFonts w:ascii="arial" w:eastAsia="arial" w:hAnsi="arial" w:cs="arial"/>
          <w:color w:val="000000"/>
          <w:sz w:val="20"/>
          <w:lang w:val="en-US" w:eastAsia="en-US" w:bidi="ar-SA"/>
        </w:rPr>
        <w:t xml:space="preserve">  I agree with the plaintiffs that it would not be contrary to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to conclude that the act of state doctrine, as yet never applied in a Canadian court, is of limited scope in cases of allegations of grave infringements of human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406</w:t>
      </w:r>
      <w:r>
        <w:rPr>
          <w:rFonts w:ascii="arial" w:eastAsia="arial" w:hAnsi="arial" w:cs="arial"/>
          <w:color w:val="000000"/>
          <w:sz w:val="20"/>
          <w:lang w:val="en-US" w:eastAsia="en-US" w:bidi="ar-SA"/>
        </w:rPr>
        <w:t xml:space="preserve">  In attempting to distinguish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Nevsun submits that in Canada there is a caveat to the public policy exception. It requires that the lawfulness of the foreign sovereign's conduct must have been previously and clearly established, whether by the courts of the sovereign state itself, as in </w:t>
      </w:r>
      <w:r>
        <w:rPr>
          <w:rFonts w:ascii="arial" w:eastAsia="arial" w:hAnsi="arial" w:cs="arial"/>
          <w:i/>
          <w:color w:val="000000"/>
          <w:sz w:val="20"/>
          <w:lang w:val="en-US" w:eastAsia="en-US" w:bidi="ar-SA"/>
        </w:rPr>
        <w:t>Khadr</w:t>
      </w:r>
      <w:r>
        <w:rPr>
          <w:rFonts w:ascii="arial" w:eastAsia="arial" w:hAnsi="arial" w:cs="arial"/>
          <w:color w:val="000000"/>
          <w:sz w:val="20"/>
          <w:lang w:val="en-US" w:eastAsia="en-US" w:bidi="ar-SA"/>
        </w:rPr>
        <w:t xml:space="preserve">, or by an international forum with jurisdiction, as in </w:t>
      </w:r>
      <w:r>
        <w:rPr>
          <w:rFonts w:ascii="arial" w:eastAsia="arial" w:hAnsi="arial" w:cs="arial"/>
          <w:i/>
          <w:color w:val="000000"/>
          <w:sz w:val="20"/>
          <w:lang w:val="en-US" w:eastAsia="en-US" w:bidi="ar-SA"/>
        </w:rPr>
        <w:t>Kuwait Airways (Nos. 4 and 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407</w:t>
      </w:r>
      <w:r>
        <w:rPr>
          <w:rFonts w:ascii="arial" w:eastAsia="arial" w:hAnsi="arial" w:cs="arial"/>
          <w:color w:val="000000"/>
          <w:sz w:val="20"/>
          <w:lang w:val="en-US" w:eastAsia="en-US" w:bidi="ar-SA"/>
        </w:rPr>
        <w:t xml:space="preserve">  This submission presupposes that the public policy </w:t>
      </w:r>
      <w:r>
        <w:rPr>
          <w:rFonts w:ascii="arial" w:eastAsia="arial" w:hAnsi="arial" w:cs="arial"/>
          <w:color w:val="000000"/>
          <w:sz w:val="20"/>
          <w:u w:val="single"/>
          <w:lang w:val="en-US" w:eastAsia="en-US" w:bidi="ar-SA"/>
        </w:rPr>
        <w:t>exception</w:t>
      </w:r>
      <w:r>
        <w:rPr>
          <w:rFonts w:ascii="arial" w:eastAsia="arial" w:hAnsi="arial" w:cs="arial"/>
          <w:color w:val="000000"/>
          <w:sz w:val="20"/>
          <w:lang w:val="en-US" w:eastAsia="en-US" w:bidi="ar-SA"/>
        </w:rPr>
        <w:t xml:space="preserve"> in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is synonymous to the public policy </w:t>
      </w:r>
      <w:r>
        <w:rPr>
          <w:rFonts w:ascii="arial" w:eastAsia="arial" w:hAnsi="arial" w:cs="arial"/>
          <w:color w:val="000000"/>
          <w:sz w:val="20"/>
          <w:u w:val="single"/>
          <w:lang w:val="en-US" w:eastAsia="en-US" w:bidi="ar-SA"/>
        </w:rPr>
        <w:t>limitation</w:t>
      </w:r>
      <w:r>
        <w:rPr>
          <w:rFonts w:ascii="arial" w:eastAsia="arial" w:hAnsi="arial" w:cs="arial"/>
          <w:color w:val="000000"/>
          <w:sz w:val="20"/>
          <w:lang w:val="en-US" w:eastAsia="en-US" w:bidi="ar-SA"/>
        </w:rPr>
        <w:t xml:space="preserve"> in the act of state doctrine. I disagree.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is a complete code whereas the act of state doctrine is a much more fluid and unclear doctrine.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the Court of Appeal found that investigating the validity of the conduct of a foreign state could entail a number of considerations including:</w:t>
      </w:r>
      <w:r>
        <w:rPr>
          <w:rFonts w:ascii="arial" w:eastAsia="arial" w:hAnsi="arial" w:cs="arial"/>
          <w:sz w:val="20"/>
          <w:lang w:val="en-US" w:eastAsia="en-US" w:bidi="ar-SA"/>
        </w:rPr>
        <w:cr/>
      </w:r>
    </w:p>
    <w:p>
      <w:pPr>
        <w:numPr>
          <w:numId w:val="3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fundamental changes in international law, including the move toward regulation of human rights, courts are more willing than in the past to investigate the conduct of foreign states and issues of public international law, when appropriate;</w:t>
      </w:r>
    </w:p>
    <w:p>
      <w:pPr>
        <w:numPr>
          <w:numId w:val="3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strength of international consensus on prohibiting the conduct alleged;</w:t>
      </w:r>
    </w:p>
    <w:p>
      <w:pPr>
        <w:numPr>
          <w:numId w:val="3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an alternative international forum with jurisdiction exists, and if the action were taken in the national courts of another state, whether the defendants could plead immunity. As this was the case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the court found that as a result, "unless the English courts are able to exercise jurisdiction in this case, these very grave allegations against the executive will never be subjected to judicial investigation"; and</w:t>
      </w:r>
    </w:p>
    <w:p>
      <w:pPr>
        <w:numPr>
          <w:numId w:val="3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particular circumstances of the case, "the risk of displeasing our allies or offending other states" could not outweigh the "need for our courts to exercise jurisdiction" over a properly justiciable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408</w:t>
      </w:r>
      <w:r>
        <w:rPr>
          <w:rFonts w:ascii="arial" w:eastAsia="arial" w:hAnsi="arial" w:cs="arial"/>
          <w:color w:val="000000"/>
          <w:sz w:val="20"/>
          <w:lang w:val="en-US" w:eastAsia="en-US" w:bidi="ar-SA"/>
        </w:rPr>
        <w:t>  Since I have found that Eritrea is not an appropriate forum, all these factors apply to some degree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409</w:t>
      </w:r>
      <w:r>
        <w:rPr>
          <w:rFonts w:ascii="arial" w:eastAsia="arial" w:hAnsi="arial" w:cs="arial"/>
          <w:color w:val="000000"/>
          <w:sz w:val="20"/>
          <w:lang w:val="en-US" w:eastAsia="en-US" w:bidi="ar-SA"/>
        </w:rPr>
        <w:t xml:space="preserve">  Nevsun also argues that until the United Kingdom Supreme Court renders its decision in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there is uncertainty in the English common law and points to </w:t>
      </w:r>
      <w:r>
        <w:rPr>
          <w:rFonts w:ascii="arial" w:eastAsia="arial" w:hAnsi="arial" w:cs="arial"/>
          <w:i/>
          <w:color w:val="000000"/>
          <w:sz w:val="20"/>
          <w:lang w:val="en-US" w:eastAsia="en-US" w:bidi="ar-SA"/>
        </w:rPr>
        <w:t>Khadr</w:t>
      </w:r>
      <w:r>
        <w:rPr>
          <w:rFonts w:ascii="arial" w:eastAsia="arial" w:hAnsi="arial" w:cs="arial"/>
          <w:color w:val="000000"/>
          <w:sz w:val="20"/>
          <w:lang w:val="en-US" w:eastAsia="en-US" w:bidi="ar-SA"/>
        </w:rPr>
        <w:t xml:space="preserve"> as governing this issue in Canada. For the act of state doctrine to give way, </w:t>
      </w:r>
      <w:r>
        <w:rPr>
          <w:rFonts w:ascii="arial" w:eastAsia="arial" w:hAnsi="arial" w:cs="arial"/>
          <w:i/>
          <w:color w:val="000000"/>
          <w:sz w:val="20"/>
          <w:lang w:val="en-US" w:eastAsia="en-US" w:bidi="ar-SA"/>
        </w:rPr>
        <w:t>Khadr</w:t>
      </w:r>
      <w:r>
        <w:rPr>
          <w:rFonts w:ascii="arial" w:eastAsia="arial" w:hAnsi="arial" w:cs="arial"/>
          <w:color w:val="000000"/>
          <w:sz w:val="20"/>
          <w:lang w:val="en-US" w:eastAsia="en-US" w:bidi="ar-SA"/>
        </w:rPr>
        <w:t xml:space="preserve"> requires a "clear violation of fundamental human rights protected by international law" that has been previously and conclusively established by a court or tribunal with jurisdiction over the foreign sovereign. That is in accord with the position taken by the House of Lords in </w:t>
      </w:r>
      <w:r>
        <w:rPr>
          <w:rFonts w:ascii="arial" w:eastAsia="arial" w:hAnsi="arial" w:cs="arial"/>
          <w:i/>
          <w:color w:val="000000"/>
          <w:sz w:val="20"/>
          <w:lang w:val="en-US" w:eastAsia="en-US" w:bidi="ar-SA"/>
        </w:rPr>
        <w:t>Kuwait Airways (Nos. 4 and 5)</w:t>
      </w:r>
      <w:r>
        <w:rPr>
          <w:rFonts w:ascii="arial" w:eastAsia="arial" w:hAnsi="arial" w:cs="arial"/>
          <w:color w:val="000000"/>
          <w:sz w:val="20"/>
          <w:lang w:val="en-US" w:eastAsia="en-US" w:bidi="ar-SA"/>
        </w:rPr>
        <w:t>. Nevsun submits that this requirement cannot be satisfied by mere allegations, no matter how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410</w:t>
      </w:r>
      <w:r>
        <w:rPr>
          <w:rFonts w:ascii="arial" w:eastAsia="arial" w:hAnsi="arial" w:cs="arial"/>
          <w:color w:val="000000"/>
          <w:sz w:val="20"/>
          <w:lang w:val="en-US" w:eastAsia="en-US" w:bidi="ar-SA"/>
        </w:rPr>
        <w:t xml:space="preserve">  By contrast,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are decisions of intermediate appellate courts of England and Australia. Nevsun claims that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can represent nothing higher than persuasive authority. The judgment is under appeal, rendering its ultimate value uncertain. Nevsun argues it is also difficult to reconcile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with </w:t>
      </w:r>
      <w:r>
        <w:rPr>
          <w:rFonts w:ascii="arial" w:eastAsia="arial" w:hAnsi="arial" w:cs="arial"/>
          <w:i/>
          <w:color w:val="000000"/>
          <w:sz w:val="20"/>
          <w:lang w:val="en-US" w:eastAsia="en-US" w:bidi="ar-SA"/>
        </w:rPr>
        <w:t>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Khan) v. Secretary of State for Foreign and Commonwealth Affairs,</w:t>
      </w:r>
      <w:r>
        <w:rPr>
          <w:rFonts w:ascii="arial" w:eastAsia="arial" w:hAnsi="arial" w:cs="arial"/>
          <w:color w:val="000000"/>
          <w:sz w:val="20"/>
          <w:lang w:val="en-US" w:eastAsia="en-US" w:bidi="ar-SA"/>
        </w:rPr>
        <w:t xml:space="preserve"> 2014 EWCA Civ 24 [</w:t>
      </w:r>
      <w:r>
        <w:rPr>
          <w:rFonts w:ascii="arial" w:eastAsia="arial" w:hAnsi="arial" w:cs="arial"/>
          <w:i/>
          <w:color w:val="000000"/>
          <w:sz w:val="20"/>
          <w:lang w:val="en-US" w:eastAsia="en-US" w:bidi="ar-SA"/>
        </w:rPr>
        <w:t>Khan</w:t>
      </w:r>
      <w:r>
        <w:rPr>
          <w:rFonts w:ascii="arial" w:eastAsia="arial" w:hAnsi="arial" w:cs="arial"/>
          <w:color w:val="000000"/>
          <w:sz w:val="20"/>
          <w:lang w:val="en-US" w:eastAsia="en-US" w:bidi="ar-SA"/>
        </w:rPr>
        <w:t>], a decision of a differently constituted division of the same court rendered the same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411</w:t>
      </w:r>
      <w:r>
        <w:rPr>
          <w:rFonts w:ascii="arial" w:eastAsia="arial" w:hAnsi="arial" w:cs="arial"/>
          <w:color w:val="000000"/>
          <w:sz w:val="20"/>
          <w:lang w:val="en-US" w:eastAsia="en-US" w:bidi="ar-SA"/>
        </w:rPr>
        <w:t xml:space="preserve">  As I have noted, </w:t>
      </w:r>
      <w:r>
        <w:rPr>
          <w:rFonts w:ascii="arial" w:eastAsia="arial" w:hAnsi="arial" w:cs="arial"/>
          <w:i/>
          <w:color w:val="000000"/>
          <w:sz w:val="20"/>
          <w:lang w:val="en-US" w:eastAsia="en-US" w:bidi="ar-SA"/>
        </w:rPr>
        <w:t>Khadr</w:t>
      </w:r>
      <w:r>
        <w:rPr>
          <w:rFonts w:ascii="arial" w:eastAsia="arial" w:hAnsi="arial" w:cs="arial"/>
          <w:color w:val="000000"/>
          <w:sz w:val="20"/>
          <w:lang w:val="en-US" w:eastAsia="en-US" w:bidi="ar-SA"/>
        </w:rPr>
        <w:t xml:space="preserve"> can be distinguished on the basis that it was decided under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Insofar as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Khan</w:t>
      </w:r>
      <w:r>
        <w:rPr>
          <w:rFonts w:ascii="arial" w:eastAsia="arial" w:hAnsi="arial" w:cs="arial"/>
          <w:color w:val="000000"/>
          <w:sz w:val="20"/>
          <w:lang w:val="en-US" w:eastAsia="en-US" w:bidi="ar-SA"/>
        </w:rPr>
        <w:t xml:space="preserve"> are concerned, the fact that even on Nevsun's submission, there is uncertainty in the common law in England as to the breadth of the act of state doctrine, reinforces my conclusion that it is simply not possible to decide this issue on this preliminary application in Nevsun's favour thereby staying or dismissing those claims in their entirety.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412</w:t>
      </w:r>
      <w:r>
        <w:rPr>
          <w:rFonts w:ascii="arial" w:eastAsia="arial" w:hAnsi="arial" w:cs="arial"/>
          <w:color w:val="000000"/>
          <w:sz w:val="20"/>
          <w:lang w:val="en-US" w:eastAsia="en-US" w:bidi="ar-SA"/>
        </w:rPr>
        <w:t xml:space="preserve">  I wish to make the following comment with respect to the public policy and </w:t>
      </w:r>
      <w:r>
        <w:rPr>
          <w:rFonts w:ascii="arial" w:eastAsia="arial" w:hAnsi="arial" w:cs="arial"/>
          <w:i/>
          <w:color w:val="000000"/>
          <w:sz w:val="20"/>
          <w:lang w:val="en-US" w:eastAsia="en-US" w:bidi="ar-SA"/>
        </w:rPr>
        <w:t>Kirkpatrick</w:t>
      </w:r>
      <w:r>
        <w:rPr>
          <w:rFonts w:ascii="arial" w:eastAsia="arial" w:hAnsi="arial" w:cs="arial"/>
          <w:color w:val="000000"/>
          <w:sz w:val="20"/>
          <w:lang w:val="en-US" w:eastAsia="en-US" w:bidi="ar-SA"/>
        </w:rPr>
        <w:t xml:space="preserve">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413</w:t>
      </w:r>
      <w:r>
        <w:rPr>
          <w:rFonts w:ascii="arial" w:eastAsia="arial" w:hAnsi="arial" w:cs="arial"/>
          <w:color w:val="000000"/>
          <w:sz w:val="20"/>
          <w:lang w:val="en-US" w:eastAsia="en-US" w:bidi="ar-SA"/>
        </w:rPr>
        <w:t>  I do not agree with Nevsun that what the plaintiffs seek to do is to have the court enquire into Eritrea's conduct for the purpose of adjudicating upon the legal validity of such matters as the Labour Code Proclamation, the NSP or the alleged frailties in that state's system of justice. Should I be wrong in that conclusion, then I would provide the plaintiffs with the opportunity to amend the NOCC such that it was clear that this was not the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414</w:t>
      </w:r>
      <w:r>
        <w:rPr>
          <w:rFonts w:ascii="arial" w:eastAsia="arial" w:hAnsi="arial" w:cs="arial"/>
          <w:color w:val="000000"/>
          <w:sz w:val="20"/>
          <w:lang w:val="en-US" w:eastAsia="en-US" w:bidi="ar-SA"/>
        </w:rPr>
        <w:t>  This would be in accord with the accepted practice in this province that a plaintiff should have the opportunity to amend the NOCC prior to the draconian remedy of dismissal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415</w:t>
      </w:r>
      <w:r>
        <w:rPr>
          <w:rFonts w:ascii="arial" w:eastAsia="arial" w:hAnsi="arial" w:cs="arial"/>
          <w:color w:val="000000"/>
          <w:sz w:val="20"/>
          <w:lang w:val="en-US" w:eastAsia="en-US" w:bidi="ar-SA"/>
        </w:rPr>
        <w:t xml:space="preserve">  I shall briefly comment on the commercial activity limitation. Nevsun appears to concede in its written submission that a factual analysis is required. It refers to the common law commercial activity exception to state immunity as codified in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Nevsun submits that in assessing this exception, the nature of the acts in issue, including their purpose, must be considered in their full context. Commercial activity is defined as "any particular transaction, act or conduct or any regular course of conduct that by reason of its nature is of a commercial character":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s. 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416</w:t>
      </w:r>
      <w:r>
        <w:rPr>
          <w:rFonts w:ascii="arial" w:eastAsia="arial" w:hAnsi="arial" w:cs="arial"/>
          <w:color w:val="000000"/>
          <w:sz w:val="20"/>
          <w:lang w:val="en-US" w:eastAsia="en-US" w:bidi="ar-SA"/>
        </w:rPr>
        <w:t>  The NOCC pleads that the activities underlying the plaintiffs' claims were commercial in nature. Specifically, the plaintiffs allege that Nevsun engaged Segen, Mereb, and the Eritrean military to build the infrastructure and facilities at the Bisha Mine, which is Nevsun's principal and most valuable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417</w:t>
      </w:r>
      <w:r>
        <w:rPr>
          <w:rFonts w:ascii="arial" w:eastAsia="arial" w:hAnsi="arial" w:cs="arial"/>
          <w:color w:val="000000"/>
          <w:sz w:val="20"/>
          <w:lang w:val="en-US" w:eastAsia="en-US" w:bidi="ar-SA"/>
        </w:rPr>
        <w:t>  Were this the only limitation in issue, which is not the case, I would not have stayed or dismissed the action at this stage of the proceeding. The pleadings and evidentiary record are insufficient on this application to determine whether this limitation should prevent the doctrine from being engaged.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418</w:t>
      </w:r>
      <w:r>
        <w:rPr>
          <w:rFonts w:ascii="arial" w:eastAsia="arial" w:hAnsi="arial" w:cs="arial"/>
          <w:color w:val="000000"/>
          <w:sz w:val="20"/>
          <w:lang w:val="en-US" w:eastAsia="en-US" w:bidi="ar-SA"/>
        </w:rPr>
        <w:t>  In any event, the plaintiffs advance separate claims said to originate in Nevsun's corporate offices in British Columbia. These relate to alleged breaches of IFC standards on labour practices and working conditions to which Nevsun agrees it should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419</w:t>
      </w:r>
      <w:r>
        <w:rPr>
          <w:rFonts w:ascii="arial" w:eastAsia="arial" w:hAnsi="arial" w:cs="arial"/>
          <w:color w:val="000000"/>
          <w:sz w:val="20"/>
          <w:lang w:val="en-US" w:eastAsia="en-US" w:bidi="ar-SA"/>
        </w:rPr>
        <w:t>  On this preliminary application, I am not prepared to accept that a doctrine which:</w:t>
      </w:r>
      <w:r>
        <w:rPr>
          <w:rFonts w:ascii="arial" w:eastAsia="arial" w:hAnsi="arial" w:cs="arial"/>
          <w:sz w:val="20"/>
          <w:lang w:val="en-US" w:eastAsia="en-US" w:bidi="ar-SA"/>
        </w:rPr>
        <w:cr/>
      </w:r>
    </w:p>
    <w:p>
      <w:pPr>
        <w:numPr>
          <w:numId w:val="3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yet to form the basis of a decision at any level of court in Canada;</w:t>
      </w:r>
    </w:p>
    <w:p>
      <w:pPr>
        <w:numPr>
          <w:numId w:val="3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been described by a senior appellate court in Australia as being of "uncertain application" and "beyond the certainty that [it] exists there is little clarity as to what constitutes it"; and</w:t>
      </w:r>
    </w:p>
    <w:p>
      <w:pPr>
        <w:numPr>
          <w:numId w:val="3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Nevsun's own submission, has been described differently by two different divisions of the English Court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if applied in the manner submitted by Nevsun, should result in the plaintiffs' claims being stayed or dismissed pursuant to either Rule 21-8 or 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420</w:t>
      </w:r>
      <w:r>
        <w:rPr>
          <w:rFonts w:ascii="arial" w:eastAsia="arial" w:hAnsi="arial" w:cs="arial"/>
          <w:color w:val="000000"/>
          <w:sz w:val="20"/>
          <w:lang w:val="en-US" w:eastAsia="en-US" w:bidi="ar-SA"/>
        </w:rPr>
        <w:t xml:space="preserve">  As Chief Justice Black stated in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at para.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to the point that Mr. Habib's proceeding is a civil claim for damages and not a criminal proceeding under the Crimes (Torture) Act, the Geneva Conventions Act or the Criminal Code. The point is that, if a choice were indeed open, in determining whether or not the act of state doctrine operates to deny a civil remedy contingent upon breach of those Acts, the common law should develop congruently with emphatically expressed ideals of public policy, reflective of universal norms.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421</w:t>
      </w:r>
      <w:r>
        <w:rPr>
          <w:rFonts w:ascii="arial" w:eastAsia="arial" w:hAnsi="arial" w:cs="arial"/>
          <w:color w:val="000000"/>
          <w:sz w:val="20"/>
          <w:lang w:val="en-US" w:eastAsia="en-US" w:bidi="ar-SA"/>
        </w:rPr>
        <w:t>  In my view, the same considerations apply here. After all, this is British Columbia, Canada; and it is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422</w:t>
      </w:r>
      <w:r>
        <w:rPr>
          <w:rFonts w:ascii="arial" w:eastAsia="arial" w:hAnsi="arial" w:cs="arial"/>
          <w:color w:val="000000"/>
          <w:sz w:val="20"/>
          <w:lang w:val="en-US" w:eastAsia="en-US" w:bidi="ar-SA"/>
        </w:rPr>
        <w:t>  The Act of State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CUSTOMARY INTERNATIONAL LAW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423</w:t>
      </w:r>
      <w:r>
        <w:rPr>
          <w:rFonts w:ascii="arial" w:eastAsia="arial" w:hAnsi="arial" w:cs="arial"/>
          <w:color w:val="000000"/>
          <w:sz w:val="20"/>
          <w:lang w:val="en-US" w:eastAsia="en-US" w:bidi="ar-SA"/>
        </w:rPr>
        <w:t>  Nevsun brings this application pursuant to Rule 9-5, to strike out certain portions of the NOCC on the basis that the plaintiffs' pleadings disclose no reasonable claim, or are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424</w:t>
      </w:r>
      <w:r>
        <w:rPr>
          <w:rFonts w:ascii="arial" w:eastAsia="arial" w:hAnsi="arial" w:cs="arial"/>
          <w:color w:val="000000"/>
          <w:sz w:val="20"/>
          <w:lang w:val="en-US" w:eastAsia="en-US" w:bidi="ar-SA"/>
        </w:rPr>
        <w:t>  The notice of application refers to the fact the plaintiffs base their action, in part, on the allegation that Nevsun's conduct, along with the conduct of others including the State of Eritrea, was "a breach of customary international law" and it is actionable at common law. Nevsun's position is that the CIL claims are unknown to law. It argues that the prohibitions recognised under CIL do not give rise to a private law cause of action for damages, either on their own or by reason of their adoption into Canadian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425</w:t>
      </w:r>
      <w:r>
        <w:rPr>
          <w:rFonts w:ascii="arial" w:eastAsia="arial" w:hAnsi="arial" w:cs="arial"/>
          <w:color w:val="000000"/>
          <w:sz w:val="20"/>
          <w:lang w:val="en-US" w:eastAsia="en-US" w:bidi="ar-SA"/>
        </w:rPr>
        <w:t xml:space="preserve">  An integral component to Nevsun's argument is that the CIL prohibitions do not impose obligations on corporations. It asserts that the plaintiffs' claims are not simply novel claims. They are contrary to fundamental principles of international law, as well as settled Canadian criminal and tort law that is said to be subject to binding decisions of the Supreme Court of Canada including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426</w:t>
      </w:r>
      <w:r>
        <w:rPr>
          <w:rFonts w:ascii="arial" w:eastAsia="arial" w:hAnsi="arial" w:cs="arial"/>
          <w:color w:val="000000"/>
          <w:sz w:val="20"/>
          <w:lang w:val="en-US" w:eastAsia="en-US" w:bidi="ar-SA"/>
        </w:rPr>
        <w:t>  According to the notice of application, while the other preliminary applications may be dispositive of the action as a whole, this one is not. If the Court strikes the claims based on breaches of CIL, the plaintiffs still have their claims based on recognised torts and other private law causes of action. The CIL claims, according to Nevsun however, 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plainly bad in law and there is no reasonable prospect they could succeed at trial. They should be struck out in the interests of judicial efficiency and fairness, to allow the court and the parties to focus on the-real issues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427</w:t>
      </w:r>
      <w:r>
        <w:rPr>
          <w:rFonts w:ascii="arial" w:eastAsia="arial" w:hAnsi="arial" w:cs="arial"/>
          <w:color w:val="000000"/>
          <w:sz w:val="20"/>
          <w:lang w:val="en-US" w:eastAsia="en-US" w:bidi="ar-SA"/>
        </w:rPr>
        <w:t>  The notice of application and the plaintiffs' application response raise many issues including:</w:t>
      </w:r>
      <w:r>
        <w:rPr>
          <w:rFonts w:ascii="arial" w:eastAsia="arial" w:hAnsi="arial" w:cs="arial"/>
          <w:sz w:val="20"/>
          <w:lang w:val="en-US" w:eastAsia="en-US" w:bidi="ar-SA"/>
        </w:rPr>
        <w:cr/>
      </w:r>
    </w:p>
    <w:p>
      <w:pPr>
        <w:numPr>
          <w:numId w:val="3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CIL is part of the common law of Canada;</w:t>
      </w:r>
    </w:p>
    <w:p>
      <w:pPr>
        <w:numPr>
          <w:numId w:val="3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the extent to which it can form part of the basis for the plaintiffs' claims against Nevsun. This will include a consideration of the doctrine of "adoption" in relation to the nature and scope of the applicable customary norms;</w:t>
      </w:r>
    </w:p>
    <w:p>
      <w:pPr>
        <w:numPr>
          <w:numId w:val="3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whether corporations are immune from CIL claims and in particular allegations of breaches of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 xml:space="preserve"> or peremptory norms;</w:t>
      </w:r>
    </w:p>
    <w:p>
      <w:pPr>
        <w:numPr>
          <w:numId w:val="3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that the plaintiffs' claims may be subject to existing tort principles, whether the plaintiffs' CIL claims are necessary;</w:t>
      </w:r>
    </w:p>
    <w:p>
      <w:pPr>
        <w:numPr>
          <w:numId w:val="3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this Court should recognize up to four new nominate torts to correspond to the breaches of the CIL pre-emptive norms alleged by the plaintiffs, being torture, slavery, forced labour and crimes against humanity.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428</w:t>
      </w:r>
      <w:r>
        <w:rPr>
          <w:rFonts w:ascii="arial" w:eastAsia="arial" w:hAnsi="arial" w:cs="arial"/>
          <w:color w:val="000000"/>
          <w:sz w:val="20"/>
          <w:lang w:val="en-US" w:eastAsia="en-US" w:bidi="ar-SA"/>
        </w:rPr>
        <w:t>  I am of the view that providing substantive and definitive answers to each of these issues is not required on a preliminary application such as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429</w:t>
      </w:r>
      <w:r>
        <w:rPr>
          <w:rFonts w:ascii="arial" w:eastAsia="arial" w:hAnsi="arial" w:cs="arial"/>
          <w:color w:val="000000"/>
          <w:sz w:val="20"/>
          <w:lang w:val="en-US" w:eastAsia="en-US" w:bidi="ar-SA"/>
        </w:rPr>
        <w:t>  For the reasons that follow, I have concluded that the application should be dismissed. The current state of the law in this area remains unsettled and, assuming that the facts set out in the NOCC are true, Nevsun has not established that the CIL claims have no reasonable likelihood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Applicable Principles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Rule 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430</w:t>
      </w:r>
      <w:r>
        <w:rPr>
          <w:rFonts w:ascii="arial" w:eastAsia="arial" w:hAnsi="arial" w:cs="arial"/>
          <w:color w:val="000000"/>
          <w:sz w:val="20"/>
          <w:lang w:val="en-US" w:eastAsia="en-US" w:bidi="ar-SA"/>
        </w:rPr>
        <w:t>  Nevsun's written submissions accurately summarize the principles relating to an application pursuant to Rule 9-5. A claim will be struck only if it is plain and obvious that the pleading discloses no reasonable cause of action or the claim has no reasonable prospect of success. This rule promotes efficient litigation and correct results.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431</w:t>
      </w:r>
      <w:r>
        <w:rPr>
          <w:rFonts w:ascii="arial" w:eastAsia="arial" w:hAnsi="arial" w:cs="arial"/>
          <w:color w:val="000000"/>
          <w:sz w:val="20"/>
          <w:lang w:val="en-US" w:eastAsia="en-US" w:bidi="ar-SA"/>
        </w:rPr>
        <w:t>  Nevsun submits correctly that it is not determinative that the law has not yet recognized the particular claim. The court must ask whether, assuming the facts pleaded are true, there is a reasonable prospect that the claim will succeed. The approach must be generous and err on the side of permitting a novel but arguable claim to proceed to trial. Just as the novelty of the claim will not militate against the plaintiff, the fact that reaching a conclusion on this preliminary issue requires lengthy argument will not be determinative of the motion either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432</w:t>
      </w:r>
      <w:r>
        <w:rPr>
          <w:rFonts w:ascii="arial" w:eastAsia="arial" w:hAnsi="arial" w:cs="arial"/>
          <w:color w:val="000000"/>
          <w:sz w:val="20"/>
          <w:lang w:val="en-US" w:eastAsia="en-US" w:bidi="ar-SA"/>
        </w:rPr>
        <w:t xml:space="preserve">  I would add that in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xml:space="preserve"> at para. 15, Justice Iacobucci referred to the following "excellent statement of the test for striking out a claim" of Wilson J.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at 980: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 assuming that the facts as stated in the statement of claim can be proved, is it "plain and obvious" that the plaintiff's statement of claim discloses no reasonable cause of action? As in England, if there is a chance that the plaintiff might succeed, then the plaintiff should not be "driven from the judgment seat". Neither the length and complexity of the issues, the novelty of the cause of action, nor the potential for the defendant to present a strong defence should prevent the plaintiff from proceeding with his or her case. Only if the action is certain to fail because it contains a radical defect ... should the relevant portions of a plaintiff's statement of claim be struck out ...</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Customary International law and the Doctrine of Adoption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433</w:t>
      </w:r>
      <w:r>
        <w:rPr>
          <w:rFonts w:ascii="arial" w:eastAsia="arial" w:hAnsi="arial" w:cs="arial"/>
          <w:color w:val="000000"/>
          <w:sz w:val="20"/>
          <w:lang w:val="en-US" w:eastAsia="en-US" w:bidi="ar-SA"/>
        </w:rPr>
        <w:t>  What follows is largely extracted from the plaintiffs' written submissions. Its purpose is to assist in concisely describing the origins of CIL, its relationship to the plaintiffs' claims and the doctrine of adoption. It is certainly not intended to be an exhaustive summary of this most complicated and developing area of the law as it moves to adapt to the ever changing social and economic conditions of our modern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434</w:t>
      </w:r>
      <w:r>
        <w:rPr>
          <w:rFonts w:ascii="arial" w:eastAsia="arial" w:hAnsi="arial" w:cs="arial"/>
          <w:color w:val="000000"/>
          <w:sz w:val="20"/>
          <w:lang w:val="en-US" w:eastAsia="en-US" w:bidi="ar-SA"/>
        </w:rPr>
        <w:t>  CIL is a branch of international law that is not derived from any written instrument but is instead drawn from the settled practice of sovereign states. To establish a rule of CIL, states must show a pattern of behaviour among them in conformity with that rule (referred to as "state practice"), and that the pattern of behaviour arises out of a sense of legal obligation ("</w:t>
      </w:r>
      <w:r>
        <w:rPr>
          <w:rFonts w:ascii="arial" w:eastAsia="arial" w:hAnsi="arial" w:cs="arial"/>
          <w:i/>
          <w:color w:val="000000"/>
          <w:sz w:val="20"/>
          <w:lang w:val="en-US" w:eastAsia="en-US" w:bidi="ar-SA"/>
        </w:rPr>
        <w:t>opinio juris</w:t>
      </w:r>
      <w:r>
        <w:rPr>
          <w:rFonts w:ascii="arial" w:eastAsia="arial" w:hAnsi="arial" w:cs="arial"/>
          <w:color w:val="000000"/>
          <w:sz w:val="20"/>
          <w:lang w:val="en-US" w:eastAsia="en-US" w:bidi="ar-SA"/>
        </w:rPr>
        <w:t>"). A rule becomes recognized as a norm of CIL once it is clear that the community of sovereign states recognizes and observes it as a binding legal obligation. Once a rule is recognized as one of CIL it becomes, with very few and narrow exceptions, universally binding across all states. CIL is sometimes referred to in the literature as international custom or international usage.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435</w:t>
      </w:r>
      <w:r>
        <w:rPr>
          <w:rFonts w:ascii="arial" w:eastAsia="arial" w:hAnsi="arial" w:cs="arial"/>
          <w:color w:val="000000"/>
          <w:sz w:val="20"/>
          <w:lang w:val="en-US" w:eastAsia="en-US" w:bidi="ar-SA"/>
        </w:rPr>
        <w:t xml:space="preserve">  Article 38(1) of the United Nations, </w:t>
      </w:r>
      <w:r>
        <w:rPr>
          <w:rFonts w:ascii="arial" w:eastAsia="arial" w:hAnsi="arial" w:cs="arial"/>
          <w:i/>
          <w:color w:val="000000"/>
          <w:sz w:val="20"/>
          <w:lang w:val="en-US" w:eastAsia="en-US" w:bidi="ar-SA"/>
        </w:rPr>
        <w:t>Statute of the International Court of Justice</w:t>
      </w:r>
      <w:r>
        <w:rPr>
          <w:rFonts w:ascii="arial" w:eastAsia="arial" w:hAnsi="arial" w:cs="arial"/>
          <w:color w:val="000000"/>
          <w:sz w:val="20"/>
          <w:lang w:val="en-US" w:eastAsia="en-US" w:bidi="ar-SA"/>
        </w:rPr>
        <w:t>, 18 April 1946, enshrines custom as one of the sources of international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whose function is to decide in accordance with international law such disputes as are submitted to it, shall apply: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international custom, as evidence of a general practice accepted as law;</w:t>
      </w:r>
    </w:p>
    <w:p>
      <w:pPr>
        <w:numPr>
          <w:numId w:val="3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principles of law recognized by civilized nations;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436</w:t>
      </w:r>
      <w:r>
        <w:rPr>
          <w:rFonts w:ascii="arial" w:eastAsia="arial" w:hAnsi="arial" w:cs="arial"/>
          <w:color w:val="000000"/>
          <w:sz w:val="20"/>
          <w:lang w:val="en-US" w:eastAsia="en-US" w:bidi="ar-SA"/>
        </w:rPr>
        <w:t>  Treaty law is the other major source of international law. A rule does not automatically attain the status of CIL because it is enshrined in an international treaty. However, multilateral international conventions can be used as evidence of 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437</w:t>
      </w:r>
      <w:r>
        <w:rPr>
          <w:rFonts w:ascii="arial" w:eastAsia="arial" w:hAnsi="arial" w:cs="arial"/>
          <w:color w:val="000000"/>
          <w:sz w:val="20"/>
          <w:lang w:val="en-US" w:eastAsia="en-US" w:bidi="ar-SA"/>
        </w:rPr>
        <w:t xml:space="preserve">  There is also a set of higher-order international law principles known as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 xml:space="preserve">. These are peremptory norms of international law from which no derogation is permitted. Article 53 of the </w:t>
      </w:r>
      <w:r>
        <w:rPr>
          <w:rFonts w:ascii="arial" w:eastAsia="arial" w:hAnsi="arial" w:cs="arial"/>
          <w:i/>
          <w:color w:val="000000"/>
          <w:sz w:val="20"/>
          <w:lang w:val="en-US" w:eastAsia="en-US" w:bidi="ar-SA"/>
        </w:rPr>
        <w:t>Vienna Convention on the Law of Treaties</w:t>
      </w:r>
      <w:r>
        <w:rPr>
          <w:rFonts w:ascii="arial" w:eastAsia="arial" w:hAnsi="arial" w:cs="arial"/>
          <w:color w:val="000000"/>
          <w:sz w:val="20"/>
          <w:lang w:val="en-US" w:eastAsia="en-US" w:bidi="ar-SA"/>
        </w:rPr>
        <w:t>, 1155 U.N.T.S. 331 for example, states that "[a] treaty is void if, at the time of its conclusion, it conflicts with a peremptory norm of general international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438</w:t>
      </w:r>
      <w:r>
        <w:rPr>
          <w:rFonts w:ascii="arial" w:eastAsia="arial" w:hAnsi="arial" w:cs="arial"/>
          <w:color w:val="000000"/>
          <w:sz w:val="20"/>
          <w:lang w:val="en-US" w:eastAsia="en-US" w:bidi="ar-SA"/>
        </w:rPr>
        <w:t xml:space="preserve">  A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 xml:space="preserve"> norm enjoys a higher rank in the international hierarchy than treaty law and even ordinary customary rules, having acquired a status as one of the most fundamental standards of the international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Courts seeking to determine whether a norm of CIL has attained the status of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 xml:space="preserve"> look to the same sources, but must also determine whether the international community recognizes the norm as one from which no derogation is permitted: </w:t>
      </w:r>
      <w:r>
        <w:rPr>
          <w:rFonts w:ascii="arial" w:eastAsia="arial" w:hAnsi="arial" w:cs="arial"/>
          <w:i/>
          <w:color w:val="000000"/>
          <w:sz w:val="20"/>
          <w:lang w:val="en-US" w:eastAsia="en-US" w:bidi="ar-SA"/>
        </w:rPr>
        <w:t>Prosecutor v. Furundzija,</w:t>
      </w:r>
      <w:r>
        <w:rPr>
          <w:rFonts w:ascii="arial" w:eastAsia="arial" w:hAnsi="arial" w:cs="arial"/>
          <w:color w:val="000000"/>
          <w:sz w:val="20"/>
          <w:lang w:val="en-US" w:eastAsia="en-US" w:bidi="ar-SA"/>
        </w:rPr>
        <w:t xml:space="preserve"> IT-95-17/1-T, Final Judgment (10 December 1998) at paras.153-54; </w:t>
      </w:r>
      <w:r>
        <w:rPr>
          <w:rFonts w:ascii="arial" w:eastAsia="arial" w:hAnsi="arial" w:cs="arial"/>
          <w:i/>
          <w:color w:val="000000"/>
          <w:sz w:val="20"/>
          <w:lang w:val="en-US" w:eastAsia="en-US" w:bidi="ar-SA"/>
        </w:rPr>
        <w:t>Siderman de Blake v. Republic of Argentina</w:t>
      </w:r>
      <w:r>
        <w:rPr>
          <w:rFonts w:ascii="arial" w:eastAsia="arial" w:hAnsi="arial" w:cs="arial"/>
          <w:color w:val="000000"/>
          <w:sz w:val="20"/>
          <w:lang w:val="en-US" w:eastAsia="en-US" w:bidi="ar-SA"/>
        </w:rPr>
        <w:t>, 965 F. 2d 699 at 714-15 (9th Cir.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439</w:t>
      </w:r>
      <w:r>
        <w:rPr>
          <w:rFonts w:ascii="arial" w:eastAsia="arial" w:hAnsi="arial" w:cs="arial"/>
          <w:color w:val="000000"/>
          <w:sz w:val="20"/>
          <w:lang w:val="en-US" w:eastAsia="en-US" w:bidi="ar-SA"/>
        </w:rPr>
        <w:t xml:space="preserve">  The prohibitions on slavery, forced labour, torture and crimes against humanity are part of CIL, and all have the status of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Hape</w:t>
      </w:r>
      <w:r>
        <w:rPr>
          <w:rFonts w:ascii="arial" w:eastAsia="arial" w:hAnsi="arial" w:cs="arial"/>
          <w:color w:val="000000"/>
          <w:sz w:val="20"/>
          <w:lang w:val="en-US" w:eastAsia="en-US" w:bidi="ar-SA"/>
        </w:rPr>
        <w:t>, Justice Lebel confirmed at para. 39 that norms of CIL are adopted into and form part of the common law of Canada, and should be used to develop the common law:</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39 Despite the Court's silence in some recent cases, the doctrine of adoption has never been rejected in Canada. Indeed, there is a long line of cases in which the Court has either formally accepted it or at least applied it. In my view, following the common law tradition, it appears that the doctrine of adoption operates in Canada such that prohibitive rules of customary international law should be incorporated into domestic law in the absence of conflicting legislation. The automatic incorporation of such rules is justified on the basis that international custom, as the law of nations, is also the law of Canada unless, in a valid exercise of its sovereignty, Canada declares that its law is to the contrary. Parliamentary sovereignty dictates that a legislature may violate international law, but that it must do so expressly</w:t>
      </w:r>
      <w:r>
        <w:rPr>
          <w:rFonts w:ascii="arial" w:eastAsia="arial" w:hAnsi="arial" w:cs="arial"/>
          <w:color w:val="000000"/>
          <w:sz w:val="20"/>
          <w:u w:val="single"/>
          <w:lang w:val="en-US" w:eastAsia="en-US" w:bidi="ar-SA"/>
        </w:rPr>
        <w:t>. Absent an express derogation, the courts may look to prohibitive rules of customary international law to aid in the interpretation of Canadian law and the development of the common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441</w:t>
      </w:r>
      <w:r>
        <w:rPr>
          <w:rFonts w:ascii="arial" w:eastAsia="arial" w:hAnsi="arial" w:cs="arial"/>
          <w:color w:val="000000"/>
          <w:sz w:val="20"/>
          <w:lang w:val="en-US" w:eastAsia="en-US" w:bidi="ar-SA"/>
        </w:rPr>
        <w:t xml:space="preserve">  Justice Goudge of the Ontario Court of Appeal summarized the principles this way in </w:t>
      </w:r>
      <w:r>
        <w:rPr>
          <w:rFonts w:ascii="arial" w:eastAsia="arial" w:hAnsi="arial" w:cs="arial"/>
          <w:i/>
          <w:color w:val="000000"/>
          <w:sz w:val="20"/>
          <w:lang w:val="en-US" w:eastAsia="en-US" w:bidi="ar-SA"/>
        </w:rPr>
        <w:t>Bouzari v. Islamic Republic of Iran</w:t>
      </w:r>
      <w:r>
        <w:rPr>
          <w:rFonts w:ascii="arial" w:eastAsia="arial" w:hAnsi="arial" w:cs="arial"/>
          <w:color w:val="000000"/>
          <w:sz w:val="20"/>
          <w:lang w:val="en-US" w:eastAsia="en-US" w:bidi="ar-SA"/>
        </w:rPr>
        <w:t xml:space="preserve">, </w:t>
      </w:r>
      <w:hyperlink r:id="rId194" w:history="1">
        <w:r>
          <w:rPr>
            <w:rFonts w:ascii="arial" w:eastAsia="arial" w:hAnsi="arial" w:cs="arial"/>
            <w:i/>
            <w:color w:val="0077CC"/>
            <w:sz w:val="20"/>
            <w:u w:val="single"/>
            <w:shd w:val="clear" w:color="auto" w:fill="FFFFFF"/>
            <w:lang w:val="en-US" w:eastAsia="en-US" w:bidi="ar-SA"/>
          </w:rPr>
          <w:t>[2004] O.J. No. 2800</w:t>
        </w:r>
      </w:hyperlink>
      <w:r>
        <w:rPr>
          <w:rFonts w:ascii="arial" w:eastAsia="arial" w:hAnsi="arial" w:cs="arial"/>
          <w:color w:val="000000"/>
          <w:sz w:val="20"/>
          <w:lang w:val="en-US" w:eastAsia="en-US" w:bidi="ar-SA"/>
        </w:rPr>
        <w:t xml:space="preserve"> at paras 63- 66 [</w:t>
      </w:r>
      <w:r>
        <w:rPr>
          <w:rFonts w:ascii="arial" w:eastAsia="arial" w:hAnsi="arial" w:cs="arial"/>
          <w:i/>
          <w:color w:val="000000"/>
          <w:sz w:val="20"/>
          <w:lang w:val="en-US" w:eastAsia="en-US" w:bidi="ar-SA"/>
        </w:rPr>
        <w:t>Bouzari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[63] Canada's international law obligations can arise as a matter of conventional international law or customary international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[64] Where Canada has undertaken treaty obligations, it is bound by them as a matter of conventional international law. Parliament is then presumed to legislate consistently with those obligations. See Schreiber, supra, at para. 50. Thus, so far as possible, courts should interpret domestic legislation consistently with these treaty obligations.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[65] The same is true where Canada's obligations arise as a matter of customary international law. As acknowledged by the Attorney General in this case, customary rules of international law are directly incorporated into Canadian domestic law unless explicitly ousted by contrary legislation. So far as possible, domestic legislation should be interpreted consistently with those obligations. This is even more so where the obligation is a peremptory norm of customary international law, or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[66] ... whether Canada's obligations arise pursuant to treaty or to customary international law, it is open to Canada to legislate contrary to them. Such legislation would determine Canada's domestic law although it would put Canada in breach of its international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442</w:t>
      </w:r>
      <w:r>
        <w:rPr>
          <w:rFonts w:ascii="arial" w:eastAsia="arial" w:hAnsi="arial" w:cs="arial"/>
          <w:color w:val="000000"/>
          <w:sz w:val="20"/>
          <w:lang w:val="en-US" w:eastAsia="en-US" w:bidi="ar-SA"/>
        </w:rPr>
        <w:t xml:space="preserve">  Common law courts have historically applied international custom to create private law obligations and, indeed, entire fields of private law. In the 1760s, William Blackstone in </w:t>
      </w:r>
      <w:r>
        <w:rPr>
          <w:rFonts w:ascii="arial" w:eastAsia="arial" w:hAnsi="arial" w:cs="arial"/>
          <w:i/>
          <w:color w:val="000000"/>
          <w:sz w:val="20"/>
          <w:lang w:val="en-US" w:eastAsia="en-US" w:bidi="ar-SA"/>
        </w:rPr>
        <w:t>Commentaries on the Laws of England,</w:t>
      </w:r>
      <w:r>
        <w:rPr>
          <w:rFonts w:ascii="arial" w:eastAsia="arial" w:hAnsi="arial" w:cs="arial"/>
          <w:color w:val="000000"/>
          <w:sz w:val="20"/>
          <w:lang w:val="en-US" w:eastAsia="en-US" w:bidi="ar-SA"/>
        </w:rPr>
        <w:t xml:space="preserve"> (4th ed. 1770), Book IV at 67 described the various kinds of civil disputes between private individuals that were, at the time, governed by international custom, including:</w:t>
      </w:r>
      <w:r>
        <w:rPr>
          <w:rFonts w:ascii="arial" w:eastAsia="arial" w:hAnsi="arial" w:cs="arial"/>
          <w:sz w:val="20"/>
          <w:lang w:val="en-US" w:eastAsia="en-US" w:bidi="ar-SA"/>
        </w:rPr>
        <w:cr/>
      </w:r>
    </w:p>
    <w:p>
      <w:pPr>
        <w:numPr>
          <w:numId w:val="3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mercantile questions, such as bills of exchange and the like;</w:t>
      </w:r>
    </w:p>
    <w:p>
      <w:pPr>
        <w:numPr>
          <w:numId w:val="3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affairs of commerce, known as the law merchant;</w:t>
      </w:r>
    </w:p>
    <w:p>
      <w:pPr>
        <w:numPr>
          <w:numId w:val="3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all marine causes, relating to freight, average, demurrage, insurances, bottomry, and others of a similar nature; and</w:t>
      </w:r>
    </w:p>
    <w:p>
      <w:pPr>
        <w:numPr>
          <w:numId w:val="3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disputes relating to prizes, shipwrecks, hostages, and ransom bills.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Parties' Positions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443</w:t>
      </w:r>
      <w:r>
        <w:rPr>
          <w:rFonts w:ascii="arial" w:eastAsia="arial" w:hAnsi="arial" w:cs="arial"/>
          <w:color w:val="000000"/>
          <w:sz w:val="20"/>
          <w:lang w:val="en-US" w:eastAsia="en-US" w:bidi="ar-SA"/>
        </w:rPr>
        <w:t>  Nevsun's position is that the plaintiffs' CIL claims have no reasonable likelihood of success in that:</w:t>
      </w:r>
      <w:r>
        <w:rPr>
          <w:rFonts w:ascii="arial" w:eastAsia="arial" w:hAnsi="arial" w:cs="arial"/>
          <w:sz w:val="20"/>
          <w:lang w:val="en-US" w:eastAsia="en-US" w:bidi="ar-SA"/>
        </w:rPr>
        <w:cr/>
      </w:r>
    </w:p>
    <w:p>
      <w:pPr>
        <w:numPr>
          <w:numId w:val="3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CIL does not apply to corporations:</w:t>
      </w:r>
    </w:p>
    <w:p>
      <w:pPr>
        <w:numPr>
          <w:numId w:val="3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states and international organisations, not corporations, are the subjects of international law and of international legal obligations;</w:t>
      </w:r>
    </w:p>
    <w:p>
      <w:pPr>
        <w:numPr>
          <w:numId w:val="3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is not a subject of international law;</w:t>
      </w:r>
    </w:p>
    <w:p>
      <w:pPr>
        <w:numPr>
          <w:numId w:val="3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international treaty imposes obligations directly on corporations created by domestic law;</w:t>
      </w:r>
    </w:p>
    <w:p>
      <w:pPr>
        <w:numPr>
          <w:numId w:val="3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CIL does not impose obligations directly on corporations created by domestic law;</w:t>
      </w:r>
    </w:p>
    <w:p>
      <w:pPr>
        <w:numPr>
          <w:numId w:val="3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international human rights law does not impose direct obligations on corporations created by domestic law;</w:t>
      </w:r>
    </w:p>
    <w:p>
      <w:pPr>
        <w:numPr>
          <w:numId w:val="3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international obligations are not actionable against Nevsun under Canadian law:</w:t>
      </w:r>
    </w:p>
    <w:p>
      <w:pPr>
        <w:numPr>
          <w:numId w:val="3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adoption of CIL aids in the development of the common law, but does not automatically create new common law rules;</w:t>
      </w:r>
    </w:p>
    <w:p>
      <w:pPr>
        <w:numPr>
          <w:numId w:val="3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domestic law does not automatically supply a private law remedy to complement norms of CIL;</w:t>
      </w:r>
    </w:p>
    <w:p>
      <w:pPr>
        <w:numPr>
          <w:numId w:val="3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United States Alien Tort Statute</w:t>
      </w:r>
      <w:r>
        <w:rPr>
          <w:rFonts w:ascii="arial" w:eastAsia="arial" w:hAnsi="arial" w:cs="arial"/>
          <w:color w:val="000000"/>
          <w:sz w:val="20"/>
          <w:lang w:val="en-US" w:eastAsia="en-US" w:bidi="ar-SA"/>
        </w:rPr>
        <w:t>, 28 U.S.C. ("ATS") case law does not support the conclusion that the plaintiffs have a private law cause of action for breach of CIL;</w:t>
      </w:r>
    </w:p>
    <w:p>
      <w:pPr>
        <w:numPr>
          <w:numId w:val="3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tort law does not recognise a private law right of action for breach of the CIL norms relied on by the plaintiffs;</w:t>
      </w:r>
    </w:p>
    <w:p>
      <w:pPr>
        <w:numPr>
          <w:numId w:val="3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claims for breach of criminal law disclose no cause of action;</w:t>
      </w:r>
    </w:p>
    <w:p>
      <w:pPr>
        <w:numPr>
          <w:numId w:val="3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are necessarily excluded by legislation;</w:t>
      </w:r>
    </w:p>
    <w:p>
      <w:pPr>
        <w:numPr>
          <w:numId w:val="3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conditions for recognition of new nominate torts are not satisfied;</w:t>
      </w:r>
    </w:p>
    <w:p>
      <w:pPr>
        <w:numPr>
          <w:numId w:val="3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claims based on breaches of CIL are unknown to the law. There is no reasonable prospect at trial that this Court would recognize them. This is also the case with new torts based on the adoption of the customary norms advanced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444</w:t>
      </w:r>
      <w:r>
        <w:rPr>
          <w:rFonts w:ascii="arial" w:eastAsia="arial" w:hAnsi="arial" w:cs="arial"/>
          <w:color w:val="000000"/>
          <w:sz w:val="20"/>
          <w:lang w:val="en-US" w:eastAsia="en-US" w:bidi="ar-SA"/>
        </w:rPr>
        <w:t>  The plaintiffs' position can be summarized as follows:</w:t>
      </w:r>
      <w:r>
        <w:rPr>
          <w:rFonts w:ascii="arial" w:eastAsia="arial" w:hAnsi="arial" w:cs="arial"/>
          <w:sz w:val="20"/>
          <w:lang w:val="en-US" w:eastAsia="en-US" w:bidi="ar-SA"/>
        </w:rPr>
        <w:cr/>
      </w:r>
    </w:p>
    <w:p>
      <w:pPr>
        <w:numPr>
          <w:numId w:val="3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doctrine of adoption applies in this case;</w:t>
      </w:r>
    </w:p>
    <w:p>
      <w:pPr>
        <w:numPr>
          <w:numId w:val="3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corporations do not enjoy blanket immunity from CIL;</w:t>
      </w:r>
    </w:p>
    <w:p>
      <w:pPr>
        <w:numPr>
          <w:numId w:val="3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has been judicial recognition that corporations may be subject to rights and obligations under international law;</w:t>
      </w:r>
    </w:p>
    <w:p>
      <w:pPr>
        <w:numPr>
          <w:numId w:val="3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must establish an affirmative norm of corporate immunity and has not done so;</w:t>
      </w:r>
    </w:p>
    <w:p>
      <w:pPr>
        <w:numPr>
          <w:numId w:val="3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conditions for recognizing new nominate international torts are met in this case;</w:t>
      </w:r>
    </w:p>
    <w:p>
      <w:pPr>
        <w:numPr>
          <w:numId w:val="3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any event it cannot be said that the claims advanced have no reasonable chance of success and are bound to fail. The legal principles underpinning them have been accepted by Canadian courts to the extent they have been considered. Further, the soundness of these CIL claims is supported by significant precedent from American, British, and international tribunals that remain the law, given that the subject matter of the claim is CIL, reference to this international precedent is sufficient to establish that the plaintiffs' claims have a reasonable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Discussion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445</w:t>
      </w:r>
      <w:r>
        <w:rPr>
          <w:rFonts w:ascii="arial" w:eastAsia="arial" w:hAnsi="arial" w:cs="arial"/>
          <w:color w:val="000000"/>
          <w:sz w:val="20"/>
          <w:lang w:val="en-US" w:eastAsia="en-US" w:bidi="ar-SA"/>
        </w:rPr>
        <w:t>  No civil claims alleging breach of CIL norms, peremptory or otherwise have been advanced successfully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446</w:t>
      </w:r>
      <w:r>
        <w:rPr>
          <w:rFonts w:ascii="arial" w:eastAsia="arial" w:hAnsi="arial" w:cs="arial"/>
          <w:color w:val="000000"/>
          <w:sz w:val="20"/>
          <w:lang w:val="en-US" w:eastAsia="en-US" w:bidi="ar-SA"/>
        </w:rPr>
        <w:t xml:space="preserve">  But the plaintiffs' claims must be considered in light of the case law, which requires that on an application such as this "the approach must be generous and err on the side of permitting a novel but arguable claim to proceed to trial":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at para. 21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447</w:t>
      </w:r>
      <w:r>
        <w:rPr>
          <w:rFonts w:ascii="arial" w:eastAsia="arial" w:hAnsi="arial" w:cs="arial"/>
          <w:color w:val="000000"/>
          <w:sz w:val="20"/>
          <w:lang w:val="en-US" w:eastAsia="en-US" w:bidi="ar-SA"/>
        </w:rPr>
        <w:t>  So the issue then becomes whether the CIL claims are "arguable", having a reasonable chance of success such that the plaintiffs on a preliminary application, such as the case here, should not be driven from the judgment seat.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448</w:t>
      </w:r>
      <w:r>
        <w:rPr>
          <w:rFonts w:ascii="arial" w:eastAsia="arial" w:hAnsi="arial" w:cs="arial"/>
          <w:color w:val="000000"/>
          <w:sz w:val="20"/>
          <w:lang w:val="en-US" w:eastAsia="en-US" w:bidi="ar-SA"/>
        </w:rPr>
        <w:t>  While the parties raise a plethora of arguments both for and against the propriety of the CIL claims, I am of the view that this application should be determined within the following context.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449</w:t>
      </w:r>
      <w:r>
        <w:rPr>
          <w:rFonts w:ascii="arial" w:eastAsia="arial" w:hAnsi="arial" w:cs="arial"/>
          <w:color w:val="000000"/>
          <w:sz w:val="20"/>
          <w:lang w:val="en-US" w:eastAsia="en-US" w:bidi="ar-SA"/>
        </w:rPr>
        <w:t xml:space="preserve">  The starting point is </w:t>
      </w:r>
      <w:r>
        <w:rPr>
          <w:rFonts w:ascii="arial" w:eastAsia="arial" w:hAnsi="arial" w:cs="arial"/>
          <w:i/>
          <w:color w:val="000000"/>
          <w:sz w:val="20"/>
          <w:lang w:val="en-US" w:eastAsia="en-US" w:bidi="ar-SA"/>
        </w:rPr>
        <w:t>Hape</w:t>
      </w:r>
      <w:r>
        <w:rPr>
          <w:rFonts w:ascii="arial" w:eastAsia="arial" w:hAnsi="arial" w:cs="arial"/>
          <w:color w:val="000000"/>
          <w:sz w:val="20"/>
          <w:lang w:val="en-US" w:eastAsia="en-US" w:bidi="ar-SA"/>
        </w:rPr>
        <w:t xml:space="preserve"> and Justice Lebel's statement at para. 39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following the common law tradition, it appears that the doctrine of adoption operates in Canada such that prohibitive rules of customary international law should be incorporated into domestic law in the absence of conflicting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450</w:t>
      </w:r>
      <w:r>
        <w:rPr>
          <w:rFonts w:ascii="arial" w:eastAsia="arial" w:hAnsi="arial" w:cs="arial"/>
          <w:color w:val="000000"/>
          <w:sz w:val="20"/>
          <w:lang w:val="en-US" w:eastAsia="en-US" w:bidi="ar-SA"/>
        </w:rPr>
        <w:t xml:space="preserve">  Nevsun relies on the Supreme Court of Canada decision in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arguing that a civil claim based on a breach of a peremptory CIL norm has no reasonable chance of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451</w:t>
      </w:r>
      <w:r>
        <w:rPr>
          <w:rFonts w:ascii="arial" w:eastAsia="arial" w:hAnsi="arial" w:cs="arial"/>
          <w:color w:val="000000"/>
          <w:sz w:val="20"/>
          <w:lang w:val="en-US" w:eastAsia="en-US" w:bidi="ar-SA"/>
        </w:rPr>
        <w:t xml:space="preserve">  I referred briefly to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at para. 389 above.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involved an action for damages, including punitive damages brought by the estate of a Canadian journalist and the executrix in her personal capacity against the Islamic Republic of Iran and certain of its officials pertaining to acts of torture committed against Ms. Kazemi, resulting in her death while she was imprisoned in Iran. The Iranian defendants brought a motion in the Superior Court of Quebec to dismiss the action on the basis of state immunity. The Supreme Court of Canada dismissed an appeal from the Quebec Court of Appeal which had decided that both actions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452</w:t>
      </w:r>
      <w:r>
        <w:rPr>
          <w:rFonts w:ascii="arial" w:eastAsia="arial" w:hAnsi="arial" w:cs="arial"/>
          <w:color w:val="000000"/>
          <w:sz w:val="20"/>
          <w:lang w:val="en-US" w:eastAsia="en-US" w:bidi="ar-SA"/>
        </w:rPr>
        <w:t xml:space="preserve">  The principal issue in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was whether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offered a complete defence to the claims. Justice Lebel stated at paras. 59-61: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59 A number of interveners argue that s. 3(1) of the Act is ambiguous and should therefore be interpreted in accordance with the common law,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and international law. The intervener the Canadian Civil Liberties Association submits that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is ambiguous because it does not clearly extend to cases involving alleged breaches of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 xml:space="preserve"> norms (factum, at paras. 8-10). The British Columbia Civil Liberties Association ("BCCLA") similarly asserts that s. 3 of the Act is ambiguous (factum, at para. 8). The intervener Amnistie internationale, Section Canada francophone argues that s. 3 of the Act only shields foreign states with respect to their [translation] "public acts", acts which do not include torture (factum, at para. 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The current state of international law regarding redress for victims of torture does not alter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or make it ambiguous. International law cannot be used to support an interpretation that is not permitted by the words of the statute. Likewise, the presumption of conformity does not overthrow clear legislative intent (see S. Beaulac, "</w:t>
      </w:r>
      <w:r>
        <w:rPr>
          <w:rFonts w:ascii="arial" w:eastAsia="arial" w:hAnsi="arial" w:cs="arial"/>
          <w:i/>
          <w:color w:val="000000"/>
          <w:sz w:val="20"/>
          <w:lang w:val="en-US" w:eastAsia="en-US" w:bidi="ar-SA"/>
        </w:rPr>
        <w:t>'Texture ouverte', droit international et interpretation de la Charte canadienne</w:t>
      </w:r>
      <w:r>
        <w:rPr>
          <w:rFonts w:ascii="arial" w:eastAsia="arial" w:hAnsi="arial" w:cs="arial"/>
          <w:color w:val="000000"/>
          <w:sz w:val="20"/>
          <w:lang w:val="en-US" w:eastAsia="en-US" w:bidi="ar-SA"/>
        </w:rPr>
        <w:t xml:space="preserve">", in E. Mendes and S. Beaulac, eds.,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(5th ed. 2013), at pp. 231-35). Indeed, the presumption that legislation will conform to international law remains just that -- merely a presumption. This Court has cautioned that the presumption can be rebutted by the clear words of the statute under consideration (Hape, at paras. 53-54). In the present case,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lists the exceptions to state immunity exhaustively. Canada's domestic legal order, as Parliament has framed it, prevails.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 Even if an exception to state immunity in civil proceedings for acts of torture had reached the status of a customary rule of international law, which, as I conclude below, it has not, such an exception could not be adopted as a common law exception to s. 3(1) of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as it would be in clear conflict with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Hape</w:t>
      </w:r>
      <w:r>
        <w:rPr>
          <w:rFonts w:ascii="arial" w:eastAsia="arial" w:hAnsi="arial" w:cs="arial"/>
          <w:color w:val="000000"/>
          <w:sz w:val="20"/>
          <w:lang w:val="en-US" w:eastAsia="en-US" w:bidi="ar-SA"/>
        </w:rPr>
        <w:t xml:space="preserve">, at para. 36). Moreover, the mere existence of a customary rule in international law does not automatically incorporate that rule into the domestic legal order (L. LeBel and G. Chao, "The Rise of International Law in Canadian Constitutional Litigation: Fugue or Fusion? Recent Developments and Challenges in Internalizing International Law" </w:t>
      </w:r>
      <w:hyperlink r:id="rId196" w:history="1">
        <w:r>
          <w:rPr>
            <w:rFonts w:ascii="arial" w:eastAsia="arial" w:hAnsi="arial" w:cs="arial"/>
            <w:i/>
            <w:color w:val="0077CC"/>
            <w:sz w:val="20"/>
            <w:u w:val="single"/>
            <w:shd w:val="clear" w:color="auto" w:fill="FFFFFF"/>
            <w:lang w:val="en-US" w:eastAsia="en-US" w:bidi="ar-SA"/>
          </w:rPr>
          <w:t>(2002), 16 S.C.L.R. (2d) 23</w:t>
        </w:r>
      </w:hyperlink>
      <w:r>
        <w:rPr>
          <w:rFonts w:ascii="arial" w:eastAsia="arial" w:hAnsi="arial" w:cs="arial"/>
          <w:color w:val="000000"/>
          <w:sz w:val="20"/>
          <w:lang w:val="en-US" w:eastAsia="en-US" w:bidi="ar-SA"/>
        </w:rPr>
        <w:t xml:space="preserve">, at p. 35). Should an exception to state immunity for acts of torture have become customary international law, such a rule could likely be permissive -- and not mandatory -- thereby, requiring legislative action to become Canadian law (Hape, at para. 36; dissenting reasons of La Forest J. in R. v. Finta, </w:t>
      </w:r>
      <w:hyperlink r:id="rId197" w:history="1">
        <w:r>
          <w:rPr>
            <w:rFonts w:ascii="arial" w:eastAsia="arial" w:hAnsi="arial" w:cs="arial"/>
            <w:i/>
            <w:color w:val="0077CC"/>
            <w:sz w:val="20"/>
            <w:u w:val="single"/>
            <w:shd w:val="clear" w:color="auto" w:fill="FFFFFF"/>
            <w:lang w:val="en-US" w:eastAsia="en-US" w:bidi="ar-SA"/>
          </w:rPr>
          <w:t>[1994] 1 S.C.R. 701</w:t>
        </w:r>
      </w:hyperlink>
      <w:r>
        <w:rPr>
          <w:rFonts w:ascii="arial" w:eastAsia="arial" w:hAnsi="arial" w:cs="arial"/>
          <w:color w:val="000000"/>
          <w:sz w:val="20"/>
          <w:lang w:val="en-US" w:eastAsia="en-US" w:bidi="ar-SA"/>
        </w:rPr>
        <w:t>, at pp. 734-35; LeBel and Chao, at p. 36; G. van Ert, Using International Law in Canadian Courts (2nd ed. 2008), at pp. 218-23).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453</w:t>
      </w:r>
      <w:r>
        <w:rPr>
          <w:rFonts w:ascii="arial" w:eastAsia="arial" w:hAnsi="arial" w:cs="arial"/>
          <w:color w:val="000000"/>
          <w:sz w:val="20"/>
          <w:lang w:val="en-US" w:eastAsia="en-US" w:bidi="ar-SA"/>
        </w:rPr>
        <w:t xml:space="preserve">  I do not accept that the decision in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means that the plaintiffs' CIL claims have no reasonable chance of success. The ratio of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is restricted to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and claims brought against a foreign state and its officials. In my view Justice Lebel's statement that "the mere existence of a customary rule in international law does not automatically incorporate that rule into the domestic legal context" should be considered in that context. If I am wrong in this interpretation then I am of the view that the fact a customary rule is not automatically incorporated into the domestic legal context does not mean that it can never be so incorporated.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454</w:t>
      </w:r>
      <w:r>
        <w:rPr>
          <w:rFonts w:ascii="arial" w:eastAsia="arial" w:hAnsi="arial" w:cs="arial"/>
          <w:color w:val="000000"/>
          <w:sz w:val="20"/>
          <w:lang w:val="en-US" w:eastAsia="en-US" w:bidi="ar-SA"/>
        </w:rPr>
        <w:t xml:space="preserve">  While it is arguable that a similar result to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should occur in this case, it is also arguable that it should not, given that there is no statute, let alone a complete code that applies to the circumstances alleged to have occurred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455</w:t>
      </w:r>
      <w:r>
        <w:rPr>
          <w:rFonts w:ascii="arial" w:eastAsia="arial" w:hAnsi="arial" w:cs="arial"/>
          <w:color w:val="000000"/>
          <w:sz w:val="20"/>
          <w:lang w:val="en-US" w:eastAsia="en-US" w:bidi="ar-SA"/>
        </w:rPr>
        <w:t>  Nevsun also argues that the CIL norms are crimes at international law, not torts. Accordingly, the doctrine of adoption does not change the fundamental nature of the rules themselves, converting them from crime to tort. Furthermore, crime and tort are not the same. Accordingly, it says that breach of a criminal prohibition is not a tort and does not give rise to a civil or private law cause of action. On this basis it is plain and obvious that the CIL claims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456</w:t>
      </w:r>
      <w:r>
        <w:rPr>
          <w:rFonts w:ascii="arial" w:eastAsia="arial" w:hAnsi="arial" w:cs="arial"/>
          <w:color w:val="000000"/>
          <w:sz w:val="20"/>
          <w:lang w:val="en-US" w:eastAsia="en-US" w:bidi="ar-SA"/>
        </w:rPr>
        <w:t>  I do not accept that this issue is as clear cut as Nevsun suggests. While crime and tort are not the same, commission of a crime can often result in subsequent civil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457</w:t>
      </w:r>
      <w:r>
        <w:rPr>
          <w:rFonts w:ascii="arial" w:eastAsia="arial" w:hAnsi="arial" w:cs="arial"/>
          <w:color w:val="000000"/>
          <w:sz w:val="20"/>
          <w:lang w:val="en-US" w:eastAsia="en-US" w:bidi="ar-SA"/>
        </w:rPr>
        <w:t xml:space="preserve">  The potential effect of the existence of private law remedies for alleged breaches of CIL norms was addressed by Chief Justice Black of the Australian Federal Court in the passage from </w:t>
      </w:r>
      <w:r>
        <w:rPr>
          <w:rFonts w:ascii="arial" w:eastAsia="arial" w:hAnsi="arial" w:cs="arial"/>
          <w:i/>
          <w:color w:val="000000"/>
          <w:sz w:val="20"/>
          <w:lang w:val="en-US" w:eastAsia="en-US" w:bidi="ar-SA"/>
        </w:rPr>
        <w:t>Habib</w:t>
      </w:r>
      <w:r>
        <w:rPr>
          <w:rFonts w:ascii="arial" w:eastAsia="arial" w:hAnsi="arial" w:cs="arial"/>
          <w:color w:val="000000"/>
          <w:sz w:val="20"/>
          <w:lang w:val="en-US" w:eastAsia="en-US" w:bidi="ar-SA"/>
        </w:rPr>
        <w:t xml:space="preserve"> to which I referred earlier and which I will repeat here for the sake of convenience: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It is not to the point that Mr. Habib's proceeding is a civil claim for damages and not a criminal proceeding under the Crimes (Torture) Act, the Geneva Conventions Act or the Criminal Code. The point is that, if a choice were indeed open, in determining whether or not the act of state doctrine operates to deny a civil remedy contingent upon breach of those Acts, the common law should develop congruently with emphatically expressed ideals of public policy, reflective of universal norms.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458</w:t>
      </w:r>
      <w:r>
        <w:rPr>
          <w:rFonts w:ascii="arial" w:eastAsia="arial" w:hAnsi="arial" w:cs="arial"/>
          <w:color w:val="000000"/>
          <w:sz w:val="20"/>
          <w:lang w:val="en-US" w:eastAsia="en-US" w:bidi="ar-SA"/>
        </w:rPr>
        <w:t>  I conclude that Nevsun's argument on this point does not establish that the CIL claims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459</w:t>
      </w:r>
      <w:r>
        <w:rPr>
          <w:rFonts w:ascii="arial" w:eastAsia="arial" w:hAnsi="arial" w:cs="arial"/>
          <w:color w:val="000000"/>
          <w:sz w:val="20"/>
          <w:lang w:val="en-US" w:eastAsia="en-US" w:bidi="ar-SA"/>
        </w:rPr>
        <w:t>  Nevsun then submits that Parliament has demonstrated an intention against creating a private law cause of action for breaches of the CIL norms, both through legislation it has rejected, and legislation it has enacted.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460</w:t>
      </w:r>
      <w:r>
        <w:rPr>
          <w:rFonts w:ascii="arial" w:eastAsia="arial" w:hAnsi="arial" w:cs="arial"/>
          <w:color w:val="000000"/>
          <w:sz w:val="20"/>
          <w:lang w:val="en-US" w:eastAsia="en-US" w:bidi="ar-SA"/>
        </w:rPr>
        <w:t>  In its written argument, it points to the fact that Parliament enacted:</w:t>
      </w:r>
      <w:r>
        <w:rPr>
          <w:rFonts w:ascii="arial" w:eastAsia="arial" w:hAnsi="arial" w:cs="arial"/>
          <w:sz w:val="20"/>
          <w:lang w:val="en-US" w:eastAsia="en-US" w:bidi="ar-SA"/>
        </w:rPr>
        <w:cr/>
      </w:r>
    </w:p>
    <w:p>
      <w:pPr>
        <w:numPr>
          <w:numId w:val="3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t>
      </w:r>
      <w:r>
        <w:rPr>
          <w:rFonts w:ascii="arial" w:eastAsia="arial" w:hAnsi="arial" w:cs="arial"/>
          <w:i/>
          <w:color w:val="000000"/>
          <w:sz w:val="20"/>
          <w:lang w:val="en-US" w:eastAsia="en-US" w:bidi="ar-SA"/>
        </w:rPr>
        <w:t>Crimes Against Humanity and War Crimes Act,</w:t>
      </w:r>
      <w:r>
        <w:rPr>
          <w:rFonts w:ascii="arial" w:eastAsia="arial" w:hAnsi="arial" w:cs="arial"/>
          <w:color w:val="000000"/>
          <w:sz w:val="20"/>
          <w:lang w:val="en-US" w:eastAsia="en-US" w:bidi="ar-SA"/>
        </w:rPr>
        <w:t xml:space="preserve"> </w:t>
      </w:r>
      <w:hyperlink r:id="rId113" w:history="1">
        <w:r>
          <w:rPr>
            <w:rFonts w:ascii="arial" w:eastAsia="arial" w:hAnsi="arial" w:cs="arial"/>
            <w:i/>
            <w:color w:val="0077CC"/>
            <w:sz w:val="20"/>
            <w:u w:val="single"/>
            <w:shd w:val="clear" w:color="auto" w:fill="FFFFFF"/>
            <w:lang w:val="en-US" w:eastAsia="en-US" w:bidi="ar-SA"/>
          </w:rPr>
          <w:t>S.C. 2000, 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CAHWCA</w:t>
      </w:r>
      <w:r>
        <w:rPr>
          <w:rFonts w:ascii="arial" w:eastAsia="arial" w:hAnsi="arial" w:cs="arial"/>
          <w:color w:val="000000"/>
          <w:sz w:val="20"/>
          <w:lang w:val="en-US" w:eastAsia="en-US" w:bidi="ar-SA"/>
        </w:rPr>
        <w:t>") making crimes against humanity committed anywhere crimes (and not torts) under Canadian law, and creating a compensation fund for victims of such crimes (but no private law cause of action); and</w:t>
      </w:r>
    </w:p>
    <w:p>
      <w:pPr>
        <w:numPr>
          <w:numId w:val="386"/>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Justice for Victims of Terrorism Act,</w:t>
      </w:r>
      <w:r>
        <w:rPr>
          <w:rFonts w:ascii="arial" w:eastAsia="arial" w:hAnsi="arial" w:cs="arial"/>
          <w:color w:val="000000"/>
          <w:sz w:val="20"/>
          <w:lang w:val="en-US" w:eastAsia="en-US" w:bidi="ar-SA"/>
        </w:rPr>
        <w:t xml:space="preserve"> S.C. 2012, c. 1 ("</w:t>
      </w:r>
      <w:r>
        <w:rPr>
          <w:rFonts w:ascii="arial" w:eastAsia="arial" w:hAnsi="arial" w:cs="arial"/>
          <w:i/>
          <w:color w:val="000000"/>
          <w:sz w:val="20"/>
          <w:lang w:val="en-US" w:eastAsia="en-US" w:bidi="ar-SA"/>
        </w:rPr>
        <w:t>JVTA</w:t>
      </w:r>
      <w:r>
        <w:rPr>
          <w:rFonts w:ascii="arial" w:eastAsia="arial" w:hAnsi="arial" w:cs="arial"/>
          <w:color w:val="000000"/>
          <w:sz w:val="20"/>
          <w:lang w:val="en-US" w:eastAsia="en-US" w:bidi="ar-SA"/>
        </w:rPr>
        <w:t>"), creating a private law cause of action for terrorism but not for the CIL norms on which the plaintiffs rely.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461</w:t>
      </w:r>
      <w:r>
        <w:rPr>
          <w:rFonts w:ascii="arial" w:eastAsia="arial" w:hAnsi="arial" w:cs="arial"/>
          <w:color w:val="000000"/>
          <w:sz w:val="20"/>
          <w:lang w:val="en-US" w:eastAsia="en-US" w:bidi="ar-SA"/>
        </w:rPr>
        <w:t xml:space="preserve">  Nevsun also notes that Parliament has chosen not to enact legislation designed to replicate the </w:t>
      </w:r>
      <w:r>
        <w:rPr>
          <w:rFonts w:ascii="arial" w:eastAsia="arial" w:hAnsi="arial" w:cs="arial"/>
          <w:i/>
          <w:color w:val="000000"/>
          <w:sz w:val="20"/>
          <w:lang w:val="en-US" w:eastAsia="en-US" w:bidi="ar-SA"/>
        </w:rPr>
        <w:t>ATS</w:t>
      </w:r>
      <w:r>
        <w:rPr>
          <w:rFonts w:ascii="arial" w:eastAsia="arial" w:hAnsi="arial" w:cs="arial"/>
          <w:color w:val="000000"/>
          <w:sz w:val="20"/>
          <w:lang w:val="en-US" w:eastAsia="en-US" w:bidi="ar-SA"/>
        </w:rPr>
        <w:t xml:space="preserve"> in Canada and not to enact other legislation designed to "ensure the extractive activities of Canadian corporations in developing countries respect Canada's commitments under international law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462</w:t>
      </w:r>
      <w:r>
        <w:rPr>
          <w:rFonts w:ascii="arial" w:eastAsia="arial" w:hAnsi="arial" w:cs="arial"/>
          <w:color w:val="000000"/>
          <w:sz w:val="20"/>
          <w:lang w:val="en-US" w:eastAsia="en-US" w:bidi="ar-SA"/>
        </w:rPr>
        <w:t xml:space="preserve">  While there is merit to this submission, I do not consider it to be conclusive such that the application should be granted. The fact Parliament has enacted the </w:t>
      </w:r>
      <w:r>
        <w:rPr>
          <w:rFonts w:ascii="arial" w:eastAsia="arial" w:hAnsi="arial" w:cs="arial"/>
          <w:i/>
          <w:color w:val="000000"/>
          <w:sz w:val="20"/>
          <w:lang w:val="en-US" w:eastAsia="en-US" w:bidi="ar-SA"/>
        </w:rPr>
        <w:t>JVTA</w:t>
      </w:r>
      <w:r>
        <w:rPr>
          <w:rFonts w:ascii="arial" w:eastAsia="arial" w:hAnsi="arial" w:cs="arial"/>
          <w:color w:val="000000"/>
          <w:sz w:val="20"/>
          <w:lang w:val="en-US" w:eastAsia="en-US" w:bidi="ar-SA"/>
        </w:rPr>
        <w:t xml:space="preserve"> and has considered but has not yet enacted more comprehensive legislation in this field is not synonymous with there being an express derogation by Parliament as was found in relation to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Kazemi</w:t>
      </w:r>
      <w:r>
        <w:rPr>
          <w:rFonts w:ascii="arial" w:eastAsia="arial" w:hAnsi="arial" w:cs="arial"/>
          <w:color w:val="000000"/>
          <w:sz w:val="20"/>
          <w:lang w:val="en-US" w:eastAsia="en-US" w:bidi="ar-SA"/>
        </w:rPr>
        <w:t xml:space="preserve">. In other words, there is no Canadian legislation which conflicts with the theory of the plaintiffs' CIL claims. Relying on </w:t>
      </w:r>
      <w:r>
        <w:rPr>
          <w:rFonts w:ascii="arial" w:eastAsia="arial" w:hAnsi="arial" w:cs="arial"/>
          <w:i/>
          <w:color w:val="000000"/>
          <w:sz w:val="20"/>
          <w:lang w:val="en-US" w:eastAsia="en-US" w:bidi="ar-SA"/>
        </w:rPr>
        <w:t>Hape</w:t>
      </w:r>
      <w:r>
        <w:rPr>
          <w:rFonts w:ascii="arial" w:eastAsia="arial" w:hAnsi="arial" w:cs="arial"/>
          <w:color w:val="000000"/>
          <w:sz w:val="20"/>
          <w:lang w:val="en-US" w:eastAsia="en-US" w:bidi="ar-SA"/>
        </w:rPr>
        <w:t xml:space="preserve"> at para. 39, this means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courts may look to prohibitive rules of customary international law to aid in the interpretation of Canadian law and the development of the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463</w:t>
      </w:r>
      <w:r>
        <w:rPr>
          <w:rFonts w:ascii="arial" w:eastAsia="arial" w:hAnsi="arial" w:cs="arial"/>
          <w:color w:val="000000"/>
          <w:sz w:val="20"/>
          <w:lang w:val="en-US" w:eastAsia="en-US" w:bidi="ar-SA"/>
        </w:rPr>
        <w:t xml:space="preserve">  Furthermore, in </w:t>
      </w:r>
      <w:r>
        <w:rPr>
          <w:rFonts w:ascii="arial" w:eastAsia="arial" w:hAnsi="arial" w:cs="arial"/>
          <w:i/>
          <w:color w:val="000000"/>
          <w:sz w:val="20"/>
          <w:lang w:val="en-US" w:eastAsia="en-US" w:bidi="ar-SA"/>
        </w:rPr>
        <w:t>R. v. Appulonappa,</w:t>
      </w:r>
      <w:r>
        <w:rPr>
          <w:rFonts w:ascii="arial" w:eastAsia="arial" w:hAnsi="arial" w:cs="arial"/>
          <w:color w:val="000000"/>
          <w:sz w:val="20"/>
          <w:lang w:val="en-US" w:eastAsia="en-US" w:bidi="ar-SA"/>
        </w:rPr>
        <w:t xml:space="preserve"> </w:t>
      </w:r>
      <w:hyperlink r:id="rId198" w:history="1">
        <w:r>
          <w:rPr>
            <w:rFonts w:ascii="arial" w:eastAsia="arial" w:hAnsi="arial" w:cs="arial"/>
            <w:i/>
            <w:color w:val="0077CC"/>
            <w:sz w:val="20"/>
            <w:u w:val="single"/>
            <w:shd w:val="clear" w:color="auto" w:fill="FFFFFF"/>
            <w:lang w:val="en-US" w:eastAsia="en-US" w:bidi="ar-SA"/>
          </w:rPr>
          <w:t>2015 SCC 59</w:t>
        </w:r>
      </w:hyperlink>
      <w:r>
        <w:rPr>
          <w:rFonts w:ascii="arial" w:eastAsia="arial" w:hAnsi="arial" w:cs="arial"/>
          <w:color w:val="000000"/>
          <w:sz w:val="20"/>
          <w:lang w:val="en-US" w:eastAsia="en-US" w:bidi="ar-SA"/>
        </w:rPr>
        <w:t xml:space="preserve"> at para. 40, the Supreme Court of Canada described </w:t>
      </w:r>
      <w:r>
        <w:rPr>
          <w:rFonts w:ascii="arial" w:eastAsia="arial" w:hAnsi="arial" w:cs="arial"/>
          <w:i/>
          <w:color w:val="000000"/>
          <w:sz w:val="20"/>
          <w:lang w:val="en-US" w:eastAsia="en-US" w:bidi="ar-SA"/>
        </w:rPr>
        <w:t>Hape</w:t>
      </w:r>
      <w:r>
        <w:rPr>
          <w:rFonts w:ascii="arial" w:eastAsia="arial" w:hAnsi="arial" w:cs="arial"/>
          <w:color w:val="000000"/>
          <w:sz w:val="20"/>
          <w:lang w:val="en-US" w:eastAsia="en-US" w:bidi="ar-SA"/>
        </w:rPr>
        <w:t xml:space="preserve"> as requiring courts to "interpret legislation in a way that reflects the values and principles of customary and conventional international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464</w:t>
      </w:r>
      <w:r>
        <w:rPr>
          <w:rFonts w:ascii="arial" w:eastAsia="arial" w:hAnsi="arial" w:cs="arial"/>
          <w:color w:val="000000"/>
          <w:sz w:val="20"/>
          <w:lang w:val="en-US" w:eastAsia="en-US" w:bidi="ar-SA"/>
        </w:rPr>
        <w:t>  An additional argument advanced by Nevsun is that the CIL claims are not necessary. The alleged acts, if established, are actionable under existing torts and the NOCC already seeks punitive damages. While this may indeed be the case, I do not consider this to be a material factor in determining whether the CIL claims should be struck as having no reasonable chance of success. The plaintiffs are entitled to base their claims on additional or alternative bases of relief, as long as they otherwise satisfy the requirements for proper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465</w:t>
      </w:r>
      <w:r>
        <w:rPr>
          <w:rFonts w:ascii="arial" w:eastAsia="arial" w:hAnsi="arial" w:cs="arial"/>
          <w:color w:val="000000"/>
          <w:sz w:val="20"/>
          <w:lang w:val="en-US" w:eastAsia="en-US" w:bidi="ar-SA"/>
        </w:rPr>
        <w:t xml:space="preserve">  The plaintiffs, relying on </w:t>
      </w:r>
      <w:r>
        <w:rPr>
          <w:rFonts w:ascii="arial" w:eastAsia="arial" w:hAnsi="arial" w:cs="arial"/>
          <w:i/>
          <w:color w:val="000000"/>
          <w:sz w:val="20"/>
          <w:lang w:val="en-US" w:eastAsia="en-US" w:bidi="ar-SA"/>
        </w:rPr>
        <w:t>Jones v. Tsige</w:t>
      </w:r>
      <w:r>
        <w:rPr>
          <w:rFonts w:ascii="arial" w:eastAsia="arial" w:hAnsi="arial" w:cs="arial"/>
          <w:color w:val="000000"/>
          <w:sz w:val="20"/>
          <w:lang w:val="en-US" w:eastAsia="en-US" w:bidi="ar-SA"/>
        </w:rPr>
        <w:t xml:space="preserve">, </w:t>
      </w:r>
      <w:hyperlink r:id="rId199" w:history="1">
        <w:r>
          <w:rPr>
            <w:rFonts w:ascii="arial" w:eastAsia="arial" w:hAnsi="arial" w:cs="arial"/>
            <w:i/>
            <w:color w:val="0077CC"/>
            <w:sz w:val="20"/>
            <w:u w:val="single"/>
            <w:shd w:val="clear" w:color="auto" w:fill="FFFFFF"/>
            <w:lang w:val="en-US" w:eastAsia="en-US" w:bidi="ar-SA"/>
          </w:rPr>
          <w:t>2012 ONCA 32</w:t>
        </w:r>
      </w:hyperlink>
      <w:r>
        <w:rPr>
          <w:rFonts w:ascii="arial" w:eastAsia="arial" w:hAnsi="arial" w:cs="arial"/>
          <w:color w:val="000000"/>
          <w:sz w:val="20"/>
          <w:lang w:val="en-US" w:eastAsia="en-US" w:bidi="ar-SA"/>
        </w:rPr>
        <w:t xml:space="preserve">, submit that the CIL claims satisfy the requirements for the creation or recognition of four new nominate torts. They argue that for the court to dismiss these claims at a preliminary stage would be an example of what the Supreme Court of Canada contemplated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stating at para. 21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law is not static and unchanging. Actions that yesterday were deemed hopeless may tomorrow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466</w:t>
      </w:r>
      <w:r>
        <w:rPr>
          <w:rFonts w:ascii="arial" w:eastAsia="arial" w:hAnsi="arial" w:cs="arial"/>
          <w:color w:val="000000"/>
          <w:sz w:val="20"/>
          <w:lang w:val="en-US" w:eastAsia="en-US" w:bidi="ar-SA"/>
        </w:rPr>
        <w:t>  It is not necessary for me to decide on this application whether one or more new nominate torts should be recognized. The plaintiffs may face significant obstacles at the trial in establishing the need for these new torts but at this stage of the proceeding, I cannot conclude that they are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467</w:t>
      </w:r>
      <w:r>
        <w:rPr>
          <w:rFonts w:ascii="arial" w:eastAsia="arial" w:hAnsi="arial" w:cs="arial"/>
          <w:color w:val="000000"/>
          <w:sz w:val="20"/>
          <w:lang w:val="en-US" w:eastAsia="en-US" w:bidi="ar-SA"/>
        </w:rPr>
        <w:t>  That is because these claims are said to arise as the result of social or technological change posing a novel harm for which there is no existing remedy. The Hon. Ian Binnie, C.C., Q.C., has written about these issues and potential solutions: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the reach of business operations was more or less coextensive with the nation states in which they resided, there was no doubt which state was in charge, although in practice the control may have been imperfectly exercised. Today, however, transnational companies have power and influence approaching and sometimes exceeding that of the states in which they operate but without the public law responsibilities of statehood. This has created a challenge for the international community as it seeks to develop remedies for harms arising out of the involvement of such companies in human rights abuses ...: Justice lan Binnie (as he then was), "Legal Redress for Corporate Participation in International Human Rights Abuses: A Progress Report" (2009) 38:4 The Brief 44 at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468</w:t>
      </w:r>
      <w:r>
        <w:rPr>
          <w:rFonts w:ascii="arial" w:eastAsia="arial" w:hAnsi="arial" w:cs="arial"/>
          <w:color w:val="000000"/>
          <w:sz w:val="20"/>
          <w:lang w:val="en-US" w:eastAsia="en-US" w:bidi="ar-SA"/>
        </w:rPr>
        <w:t>  A key element of Nevsun's submission is that CIL does not recognize that corporations, being creatures of domestic law, can be responsible for breaches of CIL norms. In particular it submits that corporate liability is incompatible with:</w:t>
      </w:r>
      <w:r>
        <w:rPr>
          <w:rFonts w:ascii="arial" w:eastAsia="arial" w:hAnsi="arial" w:cs="arial"/>
          <w:sz w:val="20"/>
          <w:lang w:val="en-US" w:eastAsia="en-US" w:bidi="ar-SA"/>
        </w:rPr>
        <w:cr/>
      </w:r>
    </w:p>
    <w:p>
      <w:pPr>
        <w:numPr>
          <w:numId w:val="3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basic structure of international law, including that corporations are created and regulated not on the international, but domestic plane;</w:t>
      </w:r>
    </w:p>
    <w:p>
      <w:pPr>
        <w:numPr>
          <w:numId w:val="3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international conventions such as the </w:t>
      </w:r>
      <w:r>
        <w:rPr>
          <w:rFonts w:ascii="arial" w:eastAsia="arial" w:hAnsi="arial" w:cs="arial"/>
          <w:i/>
          <w:color w:val="000000"/>
          <w:sz w:val="20"/>
          <w:lang w:val="en-US" w:eastAsia="en-US" w:bidi="ar-SA"/>
        </w:rPr>
        <w:t>CAT</w:t>
      </w:r>
      <w:r>
        <w:rPr>
          <w:rFonts w:ascii="arial" w:eastAsia="arial" w:hAnsi="arial" w:cs="arial"/>
          <w:color w:val="000000"/>
          <w:sz w:val="20"/>
          <w:lang w:val="en-US" w:eastAsia="en-US" w:bidi="ar-SA"/>
        </w:rPr>
        <w:t xml:space="preserve"> from which the CIL norms relied on emerged;</w:t>
      </w:r>
    </w:p>
    <w:p>
      <w:pPr>
        <w:numPr>
          <w:numId w:val="3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international efforts to legislate corporate liability, that would be unnecessary if corporate responsibility for CIL norms was itself a rule of CIL; and</w:t>
      </w:r>
    </w:p>
    <w:p>
      <w:pPr>
        <w:numPr>
          <w:numId w:val="3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basic structure of CIL, that requires virtually uniform state practice accompanied by </w:t>
      </w:r>
      <w:r>
        <w:rPr>
          <w:rFonts w:ascii="arial" w:eastAsia="arial" w:hAnsi="arial" w:cs="arial"/>
          <w:i/>
          <w:color w:val="000000"/>
          <w:sz w:val="20"/>
          <w:lang w:val="en-US" w:eastAsia="en-US" w:bidi="ar-SA"/>
        </w:rPr>
        <w:t>opinio juris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469</w:t>
      </w:r>
      <w:r>
        <w:rPr>
          <w:rFonts w:ascii="arial" w:eastAsia="arial" w:hAnsi="arial" w:cs="arial"/>
          <w:color w:val="000000"/>
          <w:sz w:val="20"/>
          <w:lang w:val="en-US" w:eastAsia="en-US" w:bidi="ar-SA"/>
        </w:rPr>
        <w:t>  The plaintiffs respond by submitting that corporations do not enjoy blanket immunity from CIL. They point to the jurisprudence from the United States and international tribunals in support of their position that although the CIL claims are novel they are not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470</w:t>
      </w:r>
      <w:r>
        <w:rPr>
          <w:rFonts w:ascii="arial" w:eastAsia="arial" w:hAnsi="arial" w:cs="arial"/>
          <w:color w:val="000000"/>
          <w:sz w:val="20"/>
          <w:lang w:val="en-US" w:eastAsia="en-US" w:bidi="ar-SA"/>
        </w:rPr>
        <w:t>  Considerable effort was expended by the parties on this issue. In relation to this application alone, I was provided with briefs of authorities which totaled upwards of 225 cases, decisions from international tribunals and extracts from the works of learned authors, a sizeable number of which related to corporate liability and/or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471</w:t>
      </w:r>
      <w:r>
        <w:rPr>
          <w:rFonts w:ascii="arial" w:eastAsia="arial" w:hAnsi="arial" w:cs="arial"/>
          <w:color w:val="000000"/>
          <w:sz w:val="20"/>
          <w:lang w:val="en-US" w:eastAsia="en-US" w:bidi="ar-SA"/>
        </w:rPr>
        <w:t>  Potentially persuasive arguments were advanced by both sides. From Nevsun's perspective these included:</w:t>
      </w:r>
      <w:r>
        <w:rPr>
          <w:rFonts w:ascii="arial" w:eastAsia="arial" w:hAnsi="arial" w:cs="arial"/>
          <w:sz w:val="20"/>
          <w:lang w:val="en-US" w:eastAsia="en-US" w:bidi="ar-SA"/>
        </w:rPr>
        <w:cr/>
      </w:r>
    </w:p>
    <w:p>
      <w:pPr>
        <w:numPr>
          <w:numId w:val="3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limited utility, if any, of the American jurisprudence in that the United States have the </w:t>
      </w:r>
      <w:r>
        <w:rPr>
          <w:rFonts w:ascii="arial" w:eastAsia="arial" w:hAnsi="arial" w:cs="arial"/>
          <w:i/>
          <w:color w:val="000000"/>
          <w:sz w:val="20"/>
          <w:lang w:val="en-US" w:eastAsia="en-US" w:bidi="ar-SA"/>
        </w:rPr>
        <w:t>ATS</w:t>
      </w:r>
      <w:r>
        <w:rPr>
          <w:rFonts w:ascii="arial" w:eastAsia="arial" w:hAnsi="arial" w:cs="arial"/>
          <w:color w:val="000000"/>
          <w:sz w:val="20"/>
          <w:lang w:val="en-US" w:eastAsia="en-US" w:bidi="ar-SA"/>
        </w:rPr>
        <w:t>; and</w:t>
      </w:r>
    </w:p>
    <w:p>
      <w:pPr>
        <w:numPr>
          <w:numId w:val="3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lack of international recognition of corporate liability and the alleged absence of a virtually uniform state practice accompanied by </w:t>
      </w:r>
      <w:r>
        <w:rPr>
          <w:rFonts w:ascii="arial" w:eastAsia="arial" w:hAnsi="arial" w:cs="arial"/>
          <w:i/>
          <w:color w:val="000000"/>
          <w:sz w:val="20"/>
          <w:lang w:val="en-US" w:eastAsia="en-US" w:bidi="ar-SA"/>
        </w:rPr>
        <w:t>opinio juris</w:t>
      </w:r>
      <w:r>
        <w:rPr>
          <w:rFonts w:ascii="arial" w:eastAsia="arial" w:hAnsi="arial" w:cs="arial"/>
          <w:color w:val="000000"/>
          <w:sz w:val="20"/>
          <w:lang w:val="en-US" w:eastAsia="en-US" w:bidi="ar-SA"/>
        </w:rPr>
        <w:t>; specifically that states have either uniformly and consistently opposed the application of international obligations to domestic law or at least acknowledged that they do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472</w:t>
      </w:r>
      <w:r>
        <w:rPr>
          <w:rFonts w:ascii="arial" w:eastAsia="arial" w:hAnsi="arial" w:cs="arial"/>
          <w:color w:val="000000"/>
          <w:sz w:val="20"/>
          <w:lang w:val="en-US" w:eastAsia="en-US" w:bidi="ar-SA"/>
        </w:rPr>
        <w:t>  From the plaintiffs' perspective these consisted of:</w:t>
      </w:r>
      <w:r>
        <w:rPr>
          <w:rFonts w:ascii="arial" w:eastAsia="arial" w:hAnsi="arial" w:cs="arial"/>
          <w:sz w:val="20"/>
          <w:lang w:val="en-US" w:eastAsia="en-US" w:bidi="ar-SA"/>
        </w:rPr>
        <w:cr/>
      </w:r>
    </w:p>
    <w:p>
      <w:pPr>
        <w:numPr>
          <w:numId w:val="3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history of corporate liability in the United States arising out of the </w:t>
      </w:r>
      <w:r>
        <w:rPr>
          <w:rFonts w:ascii="arial" w:eastAsia="arial" w:hAnsi="arial" w:cs="arial"/>
          <w:i/>
          <w:color w:val="000000"/>
          <w:sz w:val="20"/>
          <w:lang w:val="en-US" w:eastAsia="en-US" w:bidi="ar-SA"/>
        </w:rPr>
        <w:t>ATS</w:t>
      </w:r>
      <w:r>
        <w:rPr>
          <w:rFonts w:ascii="arial" w:eastAsia="arial" w:hAnsi="arial" w:cs="arial"/>
          <w:color w:val="000000"/>
          <w:sz w:val="20"/>
          <w:lang w:val="en-US" w:eastAsia="en-US" w:bidi="ar-SA"/>
        </w:rPr>
        <w:t>;</w:t>
      </w:r>
    </w:p>
    <w:p>
      <w:pPr>
        <w:numPr>
          <w:numId w:val="3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references to decisions of international tribunals to support their position that no international law tribunal has ever recognized a doctrine of corporate immunity, and that corporations and not their shareholders have international rights;</w:t>
      </w:r>
    </w:p>
    <w:p>
      <w:pPr>
        <w:numPr>
          <w:numId w:val="3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crime against humanity, such as apartheid can be committed by both natural and legal persons;</w:t>
      </w:r>
    </w:p>
    <w:p>
      <w:pPr>
        <w:numPr>
          <w:numId w:val="3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Nuremberg Trials which took place in two separate phases after the Second World War included those involving the heads of major German business entities seen as key contributors to the Nazi war effort: IGFarben, Krupp, and Flick. In their decisions in these trials, the tribunals made reference not only to the liability of the original defendants, but that of the corporations themselves which in the case of Krupp related to the private expropriation of assets based on anti-Jewish laws.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473</w:t>
      </w:r>
      <w:r>
        <w:rPr>
          <w:rFonts w:ascii="arial" w:eastAsia="arial" w:hAnsi="arial" w:cs="arial"/>
          <w:color w:val="000000"/>
          <w:sz w:val="20"/>
          <w:lang w:val="en-US" w:eastAsia="en-US" w:bidi="ar-SA"/>
        </w:rPr>
        <w:t>  While I agree with Nevsun that the American jurisprudence may be of limited assistance to the plaintiffs and that there is merit to many of its submissions, I also agree with the plaintiffs that the history of corporate liability under international law "is a complex and layered narrative that spans centuries and draws from many different fields of law, countries, and types of materials".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474</w:t>
      </w:r>
      <w:r>
        <w:rPr>
          <w:rFonts w:ascii="arial" w:eastAsia="arial" w:hAnsi="arial" w:cs="arial"/>
          <w:color w:val="000000"/>
          <w:sz w:val="20"/>
          <w:lang w:val="en-US" w:eastAsia="en-US" w:bidi="ar-SA"/>
        </w:rPr>
        <w:t xml:space="preserve">  Whether corporations are subjects of CIL is something Nevsun says is answered by </w:t>
      </w:r>
      <w:r>
        <w:rPr>
          <w:rFonts w:ascii="arial" w:eastAsia="arial" w:hAnsi="arial" w:cs="arial"/>
          <w:i/>
          <w:color w:val="000000"/>
          <w:sz w:val="20"/>
          <w:lang w:val="en-US" w:eastAsia="en-US" w:bidi="ar-SA"/>
        </w:rPr>
        <w:t>Kiobel v. Royal Dutch Pet. Co.,</w:t>
      </w:r>
      <w:r>
        <w:rPr>
          <w:rFonts w:ascii="arial" w:eastAsia="arial" w:hAnsi="arial" w:cs="arial"/>
          <w:color w:val="000000"/>
          <w:sz w:val="20"/>
          <w:lang w:val="en-US" w:eastAsia="en-US" w:bidi="ar-SA"/>
        </w:rPr>
        <w:t xml:space="preserve"> 621 F.3d 111 (2d Cir. 2010) and by state practice negating such a proposition. Nevsun cites the example of when all the OECD countries voted against a proposition raised at the UN Commission on Human Rights in 2014 by Ecuador and South Africa to impose international obligations on corporations through a treaty-process. Another example it points to is the rejection by the UN Commission and the submissions of the states affirming the rejection of the draft instrument on the responsibility of transnational corporations in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475</w:t>
      </w:r>
      <w:r>
        <w:rPr>
          <w:rFonts w:ascii="arial" w:eastAsia="arial" w:hAnsi="arial" w:cs="arial"/>
          <w:color w:val="000000"/>
          <w:sz w:val="20"/>
          <w:lang w:val="en-US" w:eastAsia="en-US" w:bidi="ar-SA"/>
        </w:rPr>
        <w:t xml:space="preserve">  In contrast, the plaintiffs submit that individuals are also subjects of international law. For this proposition, they cite </w:t>
      </w:r>
      <w:r>
        <w:rPr>
          <w:rFonts w:ascii="arial" w:eastAsia="arial" w:hAnsi="arial" w:cs="arial"/>
          <w:i/>
          <w:color w:val="000000"/>
          <w:sz w:val="20"/>
          <w:lang w:val="en-US" w:eastAsia="en-US" w:bidi="ar-SA"/>
        </w:rPr>
        <w:t>Belhaj</w:t>
      </w:r>
      <w:r>
        <w:rPr>
          <w:rFonts w:ascii="arial" w:eastAsia="arial" w:hAnsi="arial" w:cs="arial"/>
          <w:color w:val="000000"/>
          <w:sz w:val="20"/>
          <w:lang w:val="en-US" w:eastAsia="en-US" w:bidi="ar-SA"/>
        </w:rPr>
        <w:t xml:space="preserve"> at para. 115, and </w:t>
      </w:r>
      <w:r>
        <w:rPr>
          <w:rFonts w:ascii="arial" w:eastAsia="arial" w:hAnsi="arial" w:cs="arial"/>
          <w:i/>
          <w:color w:val="000000"/>
          <w:sz w:val="20"/>
          <w:lang w:val="en-US" w:eastAsia="en-US" w:bidi="ar-SA"/>
        </w:rPr>
        <w:t>Filartiga v. Pena-Irala,</w:t>
      </w:r>
      <w:r>
        <w:rPr>
          <w:rFonts w:ascii="arial" w:eastAsia="arial" w:hAnsi="arial" w:cs="arial"/>
          <w:color w:val="000000"/>
          <w:sz w:val="20"/>
          <w:lang w:val="en-US" w:eastAsia="en-US" w:bidi="ar-SA"/>
        </w:rPr>
        <w:t xml:space="preserve"> 630 F. 2d. 876 at para. 42. The plaintiffs' specifically note </w:t>
      </w:r>
      <w:r>
        <w:rPr>
          <w:rFonts w:ascii="arial" w:eastAsia="arial" w:hAnsi="arial" w:cs="arial"/>
          <w:i/>
          <w:color w:val="000000"/>
          <w:sz w:val="20"/>
          <w:lang w:val="en-US" w:eastAsia="en-US" w:bidi="ar-SA"/>
        </w:rPr>
        <w:t>Doe v. Nestle USA Inc.,</w:t>
      </w:r>
      <w:r>
        <w:rPr>
          <w:rFonts w:ascii="arial" w:eastAsia="arial" w:hAnsi="arial" w:cs="arial"/>
          <w:color w:val="000000"/>
          <w:sz w:val="20"/>
          <w:lang w:val="en-US" w:eastAsia="en-US" w:bidi="ar-SA"/>
        </w:rPr>
        <w:t xml:space="preserve"> 766 F. 3d 1013 at 1022 (9th Cir. 2014) for the proposition that corporations are not immune from claims of slavery and forced labour. The court in </w:t>
      </w:r>
      <w:r>
        <w:rPr>
          <w:rFonts w:ascii="arial" w:eastAsia="arial" w:hAnsi="arial" w:cs="arial"/>
          <w:i/>
          <w:color w:val="000000"/>
          <w:sz w:val="20"/>
          <w:lang w:val="en-US" w:eastAsia="en-US" w:bidi="ar-SA"/>
        </w:rPr>
        <w:t>Doe</w:t>
      </w:r>
      <w:r>
        <w:rPr>
          <w:rFonts w:ascii="arial" w:eastAsia="arial" w:hAnsi="arial" w:cs="arial"/>
          <w:color w:val="000000"/>
          <w:sz w:val="20"/>
          <w:lang w:val="en-US" w:eastAsia="en-US" w:bidi="ar-SA"/>
        </w:rPr>
        <w:t xml:space="preserve"> stated,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xml:space="preserve"> that "there are no rules exempting acts of enslavement carried out on behalf of 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476</w:t>
      </w:r>
      <w:r>
        <w:rPr>
          <w:rFonts w:ascii="arial" w:eastAsia="arial" w:hAnsi="arial" w:cs="arial"/>
          <w:color w:val="000000"/>
          <w:sz w:val="20"/>
          <w:lang w:val="en-US" w:eastAsia="en-US" w:bidi="ar-SA"/>
        </w:rPr>
        <w:t xml:space="preserve">  Based on the extensive materials and submissions made on this issue, I find the statement of Justice Wilson in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at 990-991, to be germane: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fact that a pleading reveals "an arguable, difficult or important point of law" cannot justify striking out part of the statement of claim. </w:t>
      </w:r>
      <w:r>
        <w:rPr>
          <w:rFonts w:ascii="arial" w:eastAsia="arial" w:hAnsi="arial" w:cs="arial"/>
          <w:color w:val="000000"/>
          <w:sz w:val="20"/>
          <w:u w:val="single"/>
          <w:lang w:val="en-US" w:eastAsia="en-US" w:bidi="ar-SA"/>
        </w:rPr>
        <w:t>Indeed, I would go so far as to suggest that where a statement of claim reveals a difficult and important point of law, it may well be critical that the action be allowed to proceed. Only in this way can we be sure that the common law in general, and the law of torts in particular, will continue to evolve to meet the legal challenges that arise in our modern industrial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477</w:t>
      </w:r>
      <w:r>
        <w:rPr>
          <w:rFonts w:ascii="arial" w:eastAsia="arial" w:hAnsi="arial" w:cs="arial"/>
          <w:color w:val="000000"/>
          <w:sz w:val="20"/>
          <w:lang w:val="en-US" w:eastAsia="en-US" w:bidi="ar-SA"/>
        </w:rPr>
        <w:t xml:space="preserve">  This is especially so here since, in my view, a contextual analysis will be required before the Court can provide a decision as to whether the common law, and in particular the law of tort, should evolve in the manner sought by the plaintiffs. That manner is not just with respect to the CIL claims generally, but also potential corporate liability in particular. There is also the issue as to whether corporate liability can arise out of an application of domestic law nothwithstanding the fact it does not form part of the </w:t>
      </w:r>
      <w:r>
        <w:rPr>
          <w:rFonts w:ascii="arial" w:eastAsia="arial" w:hAnsi="arial" w:cs="arial"/>
          <w:i/>
          <w:color w:val="000000"/>
          <w:sz w:val="20"/>
          <w:lang w:val="en-US" w:eastAsia="en-US" w:bidi="ar-SA"/>
        </w:rPr>
        <w:t>opinio juris</w:t>
      </w:r>
      <w:r>
        <w:rPr>
          <w:rFonts w:ascii="arial" w:eastAsia="arial" w:hAnsi="arial" w:cs="arial"/>
          <w:color w:val="000000"/>
          <w:sz w:val="20"/>
          <w:lang w:val="en-US" w:eastAsia="en-US" w:bidi="ar-SA"/>
        </w:rPr>
        <w:t xml:space="preserve"> component of 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478</w:t>
      </w:r>
      <w:r>
        <w:rPr>
          <w:rFonts w:ascii="arial" w:eastAsia="arial" w:hAnsi="arial" w:cs="arial"/>
          <w:color w:val="000000"/>
          <w:sz w:val="20"/>
          <w:lang w:val="en-US" w:eastAsia="en-US" w:bidi="ar-SA"/>
        </w:rPr>
        <w:t>  Nevsun also argues that the CIL claims invite the Court to embark into an area that it should treat with the utmost caution. It submits that advancement of the law in the manner the plaintiffs' seeks is for the legislature, not the courts in that:</w:t>
      </w:r>
      <w:r>
        <w:rPr>
          <w:rFonts w:ascii="arial" w:eastAsia="arial" w:hAnsi="arial" w:cs="arial"/>
          <w:sz w:val="20"/>
          <w:lang w:val="en-US" w:eastAsia="en-US" w:bidi="ar-SA"/>
        </w:rPr>
        <w:cr/>
      </w:r>
    </w:p>
    <w:p>
      <w:pPr>
        <w:numPr>
          <w:numId w:val="3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legislature has the major responsibility for law reform;</w:t>
      </w:r>
    </w:p>
    <w:p>
      <w:pPr>
        <w:numPr>
          <w:numId w:val="3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Supreme Court of Canada has cautioned that the judiciary should "confine itself" to incremental changes necessary to keep the common law in step with the dynamic and evolving fabric of society;</w:t>
      </w:r>
    </w:p>
    <w:p>
      <w:pPr>
        <w:numPr>
          <w:numId w:val="3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changes, with complex ramifications, "however necessary or desirable", should be left to the legislature;</w:t>
      </w:r>
    </w:p>
    <w:p>
      <w:pPr>
        <w:numPr>
          <w:numId w:val="4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division of labour is consistent with constitutional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479</w:t>
      </w:r>
      <w:r>
        <w:rPr>
          <w:rFonts w:ascii="arial" w:eastAsia="arial" w:hAnsi="arial" w:cs="arial"/>
          <w:color w:val="000000"/>
          <w:sz w:val="20"/>
          <w:lang w:val="en-US" w:eastAsia="en-US" w:bidi="ar-SA"/>
        </w:rPr>
        <w:t xml:space="preserve">  I am mindful of the comments of the Supreme Court of Canada in relation to the court's role as distinguished from that of the legislature as stated, for example, by Justice McLachlin as she then was in </w:t>
      </w:r>
      <w:r>
        <w:rPr>
          <w:rFonts w:ascii="arial" w:eastAsia="arial" w:hAnsi="arial" w:cs="arial"/>
          <w:i/>
          <w:color w:val="000000"/>
          <w:sz w:val="20"/>
          <w:lang w:val="en-US" w:eastAsia="en-US" w:bidi="ar-SA"/>
        </w:rPr>
        <w:t>Watkins v. Olafson</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[1989] 2 S.C.R. 750</w:t>
        </w:r>
      </w:hyperlink>
      <w:r>
        <w:rPr>
          <w:rFonts w:ascii="arial" w:eastAsia="arial" w:hAnsi="arial" w:cs="arial"/>
          <w:color w:val="000000"/>
          <w:sz w:val="20"/>
          <w:lang w:val="en-US" w:eastAsia="en-US" w:bidi="ar-SA"/>
        </w:rPr>
        <w:t xml:space="preserve"> at 760-761 and Justice Iacobucci in </w:t>
      </w:r>
      <w:r>
        <w:rPr>
          <w:rFonts w:ascii="arial" w:eastAsia="arial" w:hAnsi="arial" w:cs="arial"/>
          <w:i/>
          <w:color w:val="000000"/>
          <w:sz w:val="20"/>
          <w:lang w:val="en-US" w:eastAsia="en-US" w:bidi="ar-SA"/>
        </w:rPr>
        <w:t>R. v. Salituro,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3 S.C.R. 654</w:t>
      </w:r>
      <w:r>
        <w:rPr>
          <w:rFonts w:ascii="arial" w:eastAsia="arial" w:hAnsi="arial" w:cs="arial"/>
          <w:color w:val="000000"/>
          <w:sz w:val="20"/>
          <w:lang w:val="en-US" w:eastAsia="en-US" w:bidi="ar-SA"/>
        </w:rPr>
        <w:t xml:space="preserve"> at 670.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480</w:t>
      </w:r>
      <w:r>
        <w:rPr>
          <w:rFonts w:ascii="arial" w:eastAsia="arial" w:hAnsi="arial" w:cs="arial"/>
          <w:color w:val="000000"/>
          <w:sz w:val="20"/>
          <w:lang w:val="en-US" w:eastAsia="en-US" w:bidi="ar-SA"/>
        </w:rPr>
        <w:t>  But, it is significant, in my view, that the Court is not being asked on this application to decide any of the many substantive issues raised by the parties including the effect of the doctrine of adoption and whether corporate immunity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481</w:t>
      </w:r>
      <w:r>
        <w:rPr>
          <w:rFonts w:ascii="arial" w:eastAsia="arial" w:hAnsi="arial" w:cs="arial"/>
          <w:color w:val="000000"/>
          <w:sz w:val="20"/>
          <w:lang w:val="en-US" w:eastAsia="en-US" w:bidi="ar-SA"/>
        </w:rPr>
        <w:t>  Rather, the inquiry is limited to whether Nevsun has established that the CIL claims have no reasonable chance of success and are bound to fail. If the application is not granted, which I have concluded should be the case, then all these substantive issues, including whether the creation of one or more new nominate torts is necessary, will be determined at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482</w:t>
      </w:r>
      <w:r>
        <w:rPr>
          <w:rFonts w:ascii="arial" w:eastAsia="arial" w:hAnsi="arial" w:cs="arial"/>
          <w:color w:val="000000"/>
          <w:sz w:val="20"/>
          <w:lang w:val="en-US" w:eastAsia="en-US" w:bidi="ar-SA"/>
        </w:rPr>
        <w:t>  Whether the plaintiffs are successful in proving these claims at trial is an entirely different question.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F.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483</w:t>
      </w:r>
      <w:r>
        <w:rPr>
          <w:rFonts w:ascii="arial" w:eastAsia="arial" w:hAnsi="arial" w:cs="arial"/>
          <w:color w:val="000000"/>
          <w:sz w:val="20"/>
          <w:lang w:val="en-US" w:eastAsia="en-US" w:bidi="ar-SA"/>
        </w:rPr>
        <w:t xml:space="preserve">  In many ways this application suffers from the same frailties as the Act of State Application. The CIL claims raise issues which have yet to be considered in Canada outside the </w:t>
      </w:r>
      <w:r>
        <w:rPr>
          <w:rFonts w:ascii="arial" w:eastAsia="arial" w:hAnsi="arial" w:cs="arial"/>
          <w:i/>
          <w:color w:val="000000"/>
          <w:sz w:val="20"/>
          <w:lang w:val="en-US" w:eastAsia="en-US" w:bidi="ar-SA"/>
        </w:rPr>
        <w:t>SIA</w:t>
      </w:r>
      <w:r>
        <w:rPr>
          <w:rFonts w:ascii="arial" w:eastAsia="arial" w:hAnsi="arial" w:cs="arial"/>
          <w:color w:val="000000"/>
          <w:sz w:val="20"/>
          <w:lang w:val="en-US" w:eastAsia="en-US" w:bidi="ar-SA"/>
        </w:rPr>
        <w:t xml:space="preserve"> context. The question of corporate liability has also not been considered or decided.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484</w:t>
      </w:r>
      <w:r>
        <w:rPr>
          <w:rFonts w:ascii="arial" w:eastAsia="arial" w:hAnsi="arial" w:cs="arial"/>
          <w:color w:val="000000"/>
          <w:sz w:val="20"/>
          <w:lang w:val="en-US" w:eastAsia="en-US" w:bidi="ar-SA"/>
        </w:rPr>
        <w:t>  Since there is merit to the submissions of both Nevsun and the plaintiffs, I have concluded:</w:t>
      </w:r>
      <w:r>
        <w:rPr>
          <w:rFonts w:ascii="arial" w:eastAsia="arial" w:hAnsi="arial" w:cs="arial"/>
          <w:sz w:val="20"/>
          <w:lang w:val="en-US" w:eastAsia="en-US" w:bidi="ar-SA"/>
        </w:rPr>
        <w:cr/>
      </w:r>
    </w:p>
    <w:p>
      <w:pPr>
        <w:numPr>
          <w:numId w:val="4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has not established that the inclusion of the CIL claims in the NOCC constitutes a radical defect, has no reasonable chance of success and is bound to fail;</w:t>
      </w:r>
    </w:p>
    <w:p>
      <w:pPr>
        <w:numPr>
          <w:numId w:val="4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a real issue exists, one which has a reasonable chance of success. The issue is whether such claims are permitted based on the common law as it currently stands or constitute a "reasonable development" of the common law; and</w:t>
      </w:r>
    </w:p>
    <w:p>
      <w:pPr>
        <w:numPr>
          <w:numId w:val="4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CIL claims raise arguable, difficult and important points of law and should proceed to trial so that they can be considered in their proper factual and legal context. This is necessary such that the common law and the law of tort may evolve in an appropriate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485</w:t>
      </w:r>
      <w:r>
        <w:rPr>
          <w:rFonts w:ascii="arial" w:eastAsia="arial" w:hAnsi="arial" w:cs="arial"/>
          <w:color w:val="000000"/>
          <w:sz w:val="20"/>
          <w:lang w:val="en-US" w:eastAsia="en-US" w:bidi="ar-SA"/>
        </w:rPr>
        <w:t>  Accordingly the CIL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VIII:</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THE REPRESENTATIVE ACTION APPLICATION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486</w:t>
      </w:r>
      <w:r>
        <w:rPr>
          <w:rFonts w:ascii="arial" w:eastAsia="arial" w:hAnsi="arial" w:cs="arial"/>
          <w:color w:val="000000"/>
          <w:sz w:val="20"/>
          <w:lang w:val="en-US" w:eastAsia="en-US" w:bidi="ar-SA"/>
        </w:rPr>
        <w:t>  Nevsun applies pursuant to Rule 20-3(1) for an order that the plaintiffs may not continue this proceeding on a representative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487</w:t>
      </w:r>
      <w:r>
        <w:rPr>
          <w:rFonts w:ascii="arial" w:eastAsia="arial" w:hAnsi="arial" w:cs="arial"/>
          <w:color w:val="000000"/>
          <w:sz w:val="20"/>
          <w:lang w:val="en-US" w:eastAsia="en-US" w:bidi="ar-SA"/>
        </w:rPr>
        <w:t xml:space="preserve">  The plaintiffs rely on R. 20-3 and not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because neither they nor any of the members of the class they seek to represent are resident in British Columbia as required by section 2(1) of that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488</w:t>
      </w:r>
      <w:r>
        <w:rPr>
          <w:rFonts w:ascii="arial" w:eastAsia="arial" w:hAnsi="arial" w:cs="arial"/>
          <w:color w:val="000000"/>
          <w:sz w:val="20"/>
          <w:lang w:val="en-US" w:eastAsia="en-US" w:bidi="ar-SA"/>
        </w:rPr>
        <w:t>  Nevsun argues that the plaintiffs are attempting to achieve through the Rules of Court what the Legislature has determined it would not permit: to bring a common law class action proceeding consisting entirely of non-resident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489</w:t>
      </w:r>
      <w:r>
        <w:rPr>
          <w:rFonts w:ascii="arial" w:eastAsia="arial" w:hAnsi="arial" w:cs="arial"/>
          <w:color w:val="000000"/>
          <w:sz w:val="20"/>
          <w:lang w:val="en-US" w:eastAsia="en-US" w:bidi="ar-SA"/>
        </w:rPr>
        <w:t>  The plaintiffs' position is that a representative proceeding is the only way to achieve the goals of judicial economy, access to justice, and behaviour modification with respect to the grave wrongs they allege against Nevsun. They say that if the claims do not proceed on a representative basis, Nevsun will acquire effective impunity for its conduct with respect to the putative class members, a great many of whom will have no other practicable recourse.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B: Common Law Class Actions in British Columbia and Rule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490</w:t>
      </w:r>
      <w:r>
        <w:rPr>
          <w:rFonts w:ascii="arial" w:eastAsia="arial" w:hAnsi="arial" w:cs="arial"/>
          <w:color w:val="000000"/>
          <w:sz w:val="20"/>
          <w:lang w:val="en-US" w:eastAsia="en-US" w:bidi="ar-SA"/>
        </w:rPr>
        <w:t xml:space="preserve">  Central to the plaintiffs' position that Rule 20-3 applies in this proceeding is that they satisfy the criteria for a form of "common law class action" set out by the Supreme Court of Canada in </w:t>
      </w:r>
      <w:r>
        <w:rPr>
          <w:rFonts w:ascii="arial" w:eastAsia="arial" w:hAnsi="arial" w:cs="arial"/>
          <w:i/>
          <w:color w:val="000000"/>
          <w:sz w:val="20"/>
          <w:lang w:val="en-US" w:eastAsia="en-US" w:bidi="ar-SA"/>
        </w:rPr>
        <w:t>Western Canadian Shopping Centres Inc. v. Dutton</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491</w:t>
      </w:r>
      <w:r>
        <w:rPr>
          <w:rFonts w:ascii="arial" w:eastAsia="arial" w:hAnsi="arial" w:cs="arial"/>
          <w:color w:val="000000"/>
          <w:sz w:val="20"/>
          <w:lang w:val="en-US" w:eastAsia="en-US" w:bidi="ar-SA"/>
        </w:rPr>
        <w:t xml:space="preserve">  At paras. 38-41 of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Chief Justice McLachlin on behalf of the Court set out the four requirements for such a proceeding:</w:t>
      </w:r>
      <w:r>
        <w:rPr>
          <w:rFonts w:ascii="arial" w:eastAsia="arial" w:hAnsi="arial" w:cs="arial"/>
          <w:sz w:val="20"/>
          <w:lang w:val="en-US" w:eastAsia="en-US" w:bidi="ar-SA"/>
        </w:rPr>
        <w:cr/>
      </w:r>
    </w:p>
    <w:p>
      <w:pPr>
        <w:numPr>
          <w:numId w:val="4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capable of clear definition;</w:t>
      </w:r>
    </w:p>
    <w:p>
      <w:pPr>
        <w:numPr>
          <w:numId w:val="4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issues of fact and law in common to all class members;</w:t>
      </w:r>
    </w:p>
    <w:p>
      <w:pPr>
        <w:numPr>
          <w:numId w:val="4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success for one class member means success for all and:</w:t>
      </w:r>
    </w:p>
    <w:p>
      <w:pPr>
        <w:numPr>
          <w:numId w:val="4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proposed representative adequately represents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492</w:t>
      </w:r>
      <w:r>
        <w:rPr>
          <w:rFonts w:ascii="arial" w:eastAsia="arial" w:hAnsi="arial" w:cs="arial"/>
          <w:color w:val="000000"/>
          <w:sz w:val="20"/>
          <w:lang w:val="en-US" w:eastAsia="en-US" w:bidi="ar-SA"/>
        </w:rPr>
        <w:t xml:space="preserve">  If these conditions are met, the court must also be satisfied that there are no countervailing considerations that outweigh the benefits of allowing the class action to proceed: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concerned an application under the Alberta equivalent to Rule 20-3 but in circumstances where that province did not have comprehensive class action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xml:space="preserve">  British Columbia has both a representative action rule and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Accordingly, the first issue to be decided is whether the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apply to a representative action in this province. The plaintiffs say they do and those criteria are satisfied in this case. Nevsun argues that they do not and that the criteria for a representative proceeding are far more limited than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In the alternative, Nevsun submits that the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are not satisfied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xml:space="preserve">  Rule 20-3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20-3 -- Representative Proceedings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Representative proceeding</w:t>
      </w:r>
    </w:p>
    <w:p>
      <w:pPr>
        <w:numPr>
          <w:numId w:val="4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numerous persons have the same interest in a proceeding, other than a proceeding referred to in subrule (10), the proceeding may be started and, unless the court otherwise orders, continued by or against one or more of them as representing all or as representing one or more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 may appoint representative</w:t>
      </w:r>
    </w:p>
    <w:p>
      <w:pPr>
        <w:numPr>
          <w:numId w:val="4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referred to in subrule (1), the court, on the application of a party, may appoint one or more of the defendants or respondents or another person to represent one or more of the persons having the same interest in the proceeding, and if the court appoints a person not named as a defendant or a respondent, the court must make an order under Rule 6-2 adding that person as a defendant or respondent.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Enforcement of order made in representative proceeding</w:t>
      </w:r>
      <w:r>
        <w:rPr>
          <w:rFonts w:ascii="arial" w:eastAsia="arial" w:hAnsi="arial" w:cs="arial"/>
          <w:sz w:val="20"/>
          <w:lang w:val="en-US" w:eastAsia="en-US" w:bidi="ar-SA"/>
        </w:rPr>
        <w:cr/>
      </w:r>
    </w:p>
    <w:p>
      <w:pPr>
        <w:numPr>
          <w:numId w:val="4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order made in a proceeding referred to in subrule (1) of this rule is binding on all the persons represented in the proceeding as parties, but must not be enforced against a person not a party to the proceeding except with leave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496</w:t>
      </w:r>
      <w:r>
        <w:rPr>
          <w:rFonts w:ascii="arial" w:eastAsia="arial" w:hAnsi="arial" w:cs="arial"/>
          <w:color w:val="000000"/>
          <w:sz w:val="20"/>
          <w:lang w:val="en-US" w:eastAsia="en-US" w:bidi="ar-SA"/>
        </w:rPr>
        <w:t xml:space="preserve">  Sections 2 and 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provide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Plaintiff's class proceeding</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 (1) One member of a class of persons who are resident in British Columbia may commence a proceeding in the court on behalf of the members of that class.</w:t>
      </w:r>
    </w:p>
    <w:p>
      <w:pPr>
        <w:numPr>
          <w:numId w:val="4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 commences a proceeding under subsection (1) must make an application to a judge of the court for an order certifying the proceeding as a class proceeding and, subject to subsection (4), appointing the person as representative plaintiff.</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may certify a person who is not a member of the class as the representative plaintiff for the class proceeding only if it is necessary to do so in order to avoid a substantial injustice to the class.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Class certification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4 (1) The court must certify a proceeding as a class proceeding on an application under section 2 or 3 if all of the following requirements are met:</w:t>
      </w:r>
    </w:p>
    <w:p>
      <w:pPr>
        <w:numPr>
          <w:numId w:val="4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4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4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4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4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4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4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4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numPr>
          <w:numId w:val="4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4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4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4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4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4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497</w:t>
      </w:r>
      <w:r>
        <w:rPr>
          <w:rFonts w:ascii="arial" w:eastAsia="arial" w:hAnsi="arial" w:cs="arial"/>
          <w:color w:val="000000"/>
          <w:sz w:val="20"/>
          <w:lang w:val="en-US" w:eastAsia="en-US" w:bidi="ar-SA"/>
        </w:rPr>
        <w:t xml:space="preserve">  In essence the plaintiffs' submission is that by virtue of the Rule 20-3 representative action proceeding, there continues to exist in this province a regime of common law class action claims based on the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which operates independently from those subject to the CPA.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498</w:t>
      </w:r>
      <w:r>
        <w:rPr>
          <w:rFonts w:ascii="arial" w:eastAsia="arial" w:hAnsi="arial" w:cs="arial"/>
          <w:color w:val="000000"/>
          <w:sz w:val="20"/>
          <w:lang w:val="en-US" w:eastAsia="en-US" w:bidi="ar-SA"/>
        </w:rPr>
        <w:t xml:space="preserve">  I disagree.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the Chief Justice, having referred to the enactment of "comprehensive statutory schemes to govern class action practice" in British Columbia, Ontario and Quebec, stated at paras. 31:</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w:t>
      </w:r>
      <w:r>
        <w:rPr>
          <w:rFonts w:ascii="arial" w:eastAsia="arial" w:hAnsi="arial" w:cs="arial"/>
          <w:color w:val="000000"/>
          <w:sz w:val="20"/>
          <w:u w:val="single"/>
          <w:lang w:val="en-US" w:eastAsia="en-US" w:bidi="ar-SA"/>
        </w:rPr>
        <w:t xml:space="preserve">Absent comprehensive codes of class action procedure, provincial rules based on Rule 10, Schedule, of the English </w:t>
      </w:r>
      <w:r>
        <w:rPr>
          <w:rFonts w:ascii="arial" w:eastAsia="arial" w:hAnsi="arial" w:cs="arial"/>
          <w:i/>
          <w:color w:val="000000"/>
          <w:sz w:val="20"/>
          <w:u w:val="single"/>
          <w:lang w:val="en-US" w:eastAsia="en-US" w:bidi="ar-SA"/>
        </w:rPr>
        <w:t>Supreme Court of Judicature Act, 1873</w:t>
      </w:r>
      <w:r>
        <w:rPr>
          <w:rFonts w:ascii="arial" w:eastAsia="arial" w:hAnsi="arial" w:cs="arial"/>
          <w:color w:val="000000"/>
          <w:sz w:val="20"/>
          <w:u w:val="single"/>
          <w:lang w:val="en-US" w:eastAsia="en-US" w:bidi="ar-SA"/>
        </w:rPr>
        <w:t xml:space="preserve"> govern.</w:t>
      </w:r>
      <w:r>
        <w:rPr>
          <w:rFonts w:ascii="arial" w:eastAsia="arial" w:hAnsi="arial" w:cs="arial"/>
          <w:color w:val="000000"/>
          <w:sz w:val="20"/>
          <w:lang w:val="en-US" w:eastAsia="en-US" w:bidi="ar-SA"/>
        </w:rPr>
        <w:t xml:space="preserve"> This is the case in Alberta, where class action practice is governed by Rule 42 of the </w:t>
      </w:r>
      <w:r>
        <w:rPr>
          <w:rFonts w:ascii="arial" w:eastAsia="arial" w:hAnsi="arial" w:cs="arial"/>
          <w:i/>
          <w:color w:val="000000"/>
          <w:sz w:val="20"/>
          <w:lang w:val="en-US" w:eastAsia="en-US" w:bidi="ar-SA"/>
        </w:rPr>
        <w:t>Alberta Rules of Court</w:t>
      </w:r>
      <w:r>
        <w:rPr>
          <w:rFonts w:ascii="arial" w:eastAsia="arial" w:hAnsi="arial" w:cs="arial"/>
          <w:color w:val="000000"/>
          <w:sz w:val="20"/>
          <w:lang w:val="en-US" w:eastAsia="en-US" w:bidi="ar-SA"/>
        </w:rPr>
        <w:t>:</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42 Where numerous persons have a common interest in the subject of an intended action, one or more of those persons may sue or be sued or may be authorized by the Court to defend on behalf of or for the benefit of all.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499</w:t>
      </w:r>
      <w:r>
        <w:rPr>
          <w:rFonts w:ascii="arial" w:eastAsia="arial" w:hAnsi="arial" w:cs="arial"/>
          <w:color w:val="000000"/>
          <w:sz w:val="20"/>
          <w:lang w:val="en-US" w:eastAsia="en-US" w:bidi="ar-SA"/>
        </w:rPr>
        <w:t>  Furthermore, in this province, the representative proceeding rule has been limited to a narrow class of cases such as claims made by those:</w:t>
      </w:r>
      <w:r>
        <w:rPr>
          <w:rFonts w:ascii="arial" w:eastAsia="arial" w:hAnsi="arial" w:cs="arial"/>
          <w:sz w:val="20"/>
          <w:lang w:val="en-US" w:eastAsia="en-US" w:bidi="ar-SA"/>
        </w:rPr>
        <w:cr/>
      </w:r>
    </w:p>
    <w:p>
      <w:pPr>
        <w:numPr>
          <w:numId w:val="4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alleging a common statutory or collective right, for example aboriginal or language rights: </w:t>
      </w:r>
      <w:r>
        <w:rPr>
          <w:rFonts w:ascii="arial" w:eastAsia="arial" w:hAnsi="arial" w:cs="arial"/>
          <w:i/>
          <w:color w:val="000000"/>
          <w:sz w:val="20"/>
          <w:lang w:val="en-US" w:eastAsia="en-US" w:bidi="ar-SA"/>
        </w:rPr>
        <w:t>Campbell v. British Columbia (Forest and Range</w:t>
      </w:r>
      <w:r>
        <w:rPr>
          <w:rFonts w:ascii="arial" w:eastAsia="arial" w:hAnsi="arial" w:cs="arial"/>
          <w:color w:val="000000"/>
          <w:sz w:val="20"/>
          <w:lang w:val="en-US" w:eastAsia="en-US" w:bidi="ar-SA"/>
        </w:rPr>
        <w:t xml:space="preserve">), </w:t>
      </w:r>
      <w:hyperlink r:id="rId202" w:history="1">
        <w:r>
          <w:rPr>
            <w:rFonts w:ascii="arial" w:eastAsia="arial" w:hAnsi="arial" w:cs="arial"/>
            <w:i/>
            <w:color w:val="0077CC"/>
            <w:sz w:val="20"/>
            <w:u w:val="single"/>
            <w:shd w:val="clear" w:color="auto" w:fill="FFFFFF"/>
            <w:lang w:val="en-US" w:eastAsia="en-US" w:bidi="ar-SA"/>
          </w:rPr>
          <w:t>2011 BCSC 448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Quinn v. Bell Pole</w:t>
      </w:r>
      <w:r>
        <w:rPr>
          <w:rFonts w:ascii="arial" w:eastAsia="arial" w:hAnsi="arial" w:cs="arial"/>
          <w:color w:val="000000"/>
          <w:sz w:val="20"/>
          <w:lang w:val="en-US" w:eastAsia="en-US" w:bidi="ar-SA"/>
        </w:rPr>
        <w:t xml:space="preserve">, </w:t>
      </w:r>
      <w:hyperlink r:id="rId203" w:history="1">
        <w:r>
          <w:rPr>
            <w:rFonts w:ascii="arial" w:eastAsia="arial" w:hAnsi="arial" w:cs="arial"/>
            <w:i/>
            <w:color w:val="0077CC"/>
            <w:sz w:val="20"/>
            <w:u w:val="single"/>
            <w:shd w:val="clear" w:color="auto" w:fill="FFFFFF"/>
            <w:lang w:val="en-US" w:eastAsia="en-US" w:bidi="ar-SA"/>
          </w:rPr>
          <w:t>2013 BCSC 892</w:t>
        </w:r>
      </w:hyperlink>
      <w:r>
        <w:rPr>
          <w:rFonts w:ascii="arial" w:eastAsia="arial" w:hAnsi="arial" w:cs="arial"/>
          <w:color w:val="000000"/>
          <w:sz w:val="20"/>
          <w:lang w:val="en-US" w:eastAsia="en-US" w:bidi="ar-SA"/>
        </w:rPr>
        <w:t xml:space="preserve"> at paras. 17, 19 [</w:t>
      </w:r>
      <w:r>
        <w:rPr>
          <w:rFonts w:ascii="arial" w:eastAsia="arial" w:hAnsi="arial" w:cs="arial"/>
          <w:i/>
          <w:color w:val="000000"/>
          <w:sz w:val="20"/>
          <w:lang w:val="en-US" w:eastAsia="en-US" w:bidi="ar-SA"/>
        </w:rPr>
        <w:t>Quinn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L'Association des parents de I'ecole Rose-des-Vents v. Conseil scolaire francophone de la Colombie-Britannique</w:t>
      </w:r>
      <w:r>
        <w:rPr>
          <w:rFonts w:ascii="arial" w:eastAsia="arial" w:hAnsi="arial" w:cs="arial"/>
          <w:color w:val="000000"/>
          <w:sz w:val="20"/>
          <w:lang w:val="en-US" w:eastAsia="en-US" w:bidi="ar-SA"/>
        </w:rPr>
        <w:t xml:space="preserve">, </w:t>
      </w:r>
      <w:hyperlink r:id="rId204" w:history="1">
        <w:r>
          <w:rPr>
            <w:rFonts w:ascii="arial" w:eastAsia="arial" w:hAnsi="arial" w:cs="arial"/>
            <w:i/>
            <w:color w:val="0077CC"/>
            <w:sz w:val="20"/>
            <w:u w:val="single"/>
            <w:shd w:val="clear" w:color="auto" w:fill="FFFFFF"/>
            <w:lang w:val="en-US" w:eastAsia="en-US" w:bidi="ar-SA"/>
          </w:rPr>
          <w:t>2011 BCSC 1495</w:t>
        </w:r>
      </w:hyperlink>
      <w:r>
        <w:rPr>
          <w:rFonts w:ascii="arial" w:eastAsia="arial" w:hAnsi="arial" w:cs="arial"/>
          <w:color w:val="000000"/>
          <w:sz w:val="20"/>
          <w:lang w:val="en-US" w:eastAsia="en-US" w:bidi="ar-SA"/>
        </w:rPr>
        <w:t xml:space="preserve"> aff'd </w:t>
      </w:r>
      <w:hyperlink r:id="rId205" w:history="1">
        <w:r>
          <w:rPr>
            <w:rFonts w:ascii="arial" w:eastAsia="arial" w:hAnsi="arial" w:cs="arial"/>
            <w:i/>
            <w:color w:val="0077CC"/>
            <w:sz w:val="20"/>
            <w:u w:val="single"/>
            <w:shd w:val="clear" w:color="auto" w:fill="FFFFFF"/>
            <w:lang w:val="en-US" w:eastAsia="en-US" w:bidi="ar-SA"/>
          </w:rPr>
          <w:t>2015 SCC 21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Conseil scolaire</w:t>
      </w:r>
      <w:r>
        <w:rPr>
          <w:rFonts w:ascii="arial" w:eastAsia="arial" w:hAnsi="arial" w:cs="arial"/>
          <w:color w:val="000000"/>
          <w:sz w:val="20"/>
          <w:lang w:val="en-US" w:eastAsia="en-US" w:bidi="ar-SA"/>
        </w:rPr>
        <w:t>];</w:t>
      </w:r>
    </w:p>
    <w:p>
      <w:pPr>
        <w:numPr>
          <w:numId w:val="4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who seek a common statutory declaration or remedy such as game show participants, remedies under a collective agreement, owners in a housing development and the like: </w:t>
      </w:r>
      <w:r>
        <w:rPr>
          <w:rFonts w:ascii="arial" w:eastAsia="arial" w:hAnsi="arial" w:cs="arial"/>
          <w:i/>
          <w:color w:val="000000"/>
          <w:sz w:val="20"/>
          <w:lang w:val="en-US" w:eastAsia="en-US" w:bidi="ar-SA"/>
        </w:rPr>
        <w:t>James v. British Columbia,</w:t>
      </w:r>
      <w:r>
        <w:rPr>
          <w:rFonts w:ascii="arial" w:eastAsia="arial" w:hAnsi="arial" w:cs="arial"/>
          <w:color w:val="000000"/>
          <w:sz w:val="20"/>
          <w:lang w:val="en-US" w:eastAsia="en-US" w:bidi="ar-SA"/>
        </w:rPr>
        <w:t xml:space="preserve"> </w:t>
      </w:r>
      <w:hyperlink r:id="rId206" w:history="1">
        <w:r>
          <w:rPr>
            <w:rFonts w:ascii="arial" w:eastAsia="arial" w:hAnsi="arial" w:cs="arial"/>
            <w:i/>
            <w:color w:val="0077CC"/>
            <w:sz w:val="20"/>
            <w:u w:val="single"/>
            <w:shd w:val="clear" w:color="auto" w:fill="FFFFFF"/>
            <w:lang w:val="en-US" w:eastAsia="en-US" w:bidi="ar-SA"/>
          </w:rPr>
          <w:t>2007 BCCA 547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Parker Cove Owners' Association v. Parker Cove Properties,</w:t>
      </w:r>
      <w:r>
        <w:rPr>
          <w:rFonts w:ascii="arial" w:eastAsia="arial" w:hAnsi="arial" w:cs="arial"/>
          <w:color w:val="000000"/>
          <w:sz w:val="20"/>
          <w:lang w:val="en-US" w:eastAsia="en-US" w:bidi="ar-SA"/>
        </w:rPr>
        <w:t xml:space="preserve"> </w:t>
      </w:r>
      <w:hyperlink r:id="rId207" w:history="1">
        <w:r>
          <w:rPr>
            <w:rFonts w:ascii="arial" w:eastAsia="arial" w:hAnsi="arial" w:cs="arial"/>
            <w:i/>
            <w:color w:val="0077CC"/>
            <w:sz w:val="20"/>
            <w:u w:val="single"/>
            <w:shd w:val="clear" w:color="auto" w:fill="FFFFFF"/>
            <w:lang w:val="en-US" w:eastAsia="en-US" w:bidi="ar-SA"/>
          </w:rPr>
          <w:t>2010 BCCA 100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Parker Cove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Hayes v. British Columbia Television Broadcasting Systems Ltd.</w:t>
      </w:r>
      <w:r>
        <w:rPr>
          <w:rFonts w:ascii="arial" w:eastAsia="arial" w:hAnsi="arial" w:cs="arial"/>
          <w:color w:val="000000"/>
          <w:sz w:val="20"/>
          <w:lang w:val="en-US" w:eastAsia="en-US" w:bidi="ar-SA"/>
        </w:rPr>
        <w:t xml:space="preserve"> </w:t>
      </w:r>
      <w:hyperlink r:id="rId208" w:history="1">
        <w:r>
          <w:rPr>
            <w:rFonts w:ascii="arial" w:eastAsia="arial" w:hAnsi="arial" w:cs="arial"/>
            <w:i/>
            <w:color w:val="0077CC"/>
            <w:sz w:val="20"/>
            <w:u w:val="single"/>
            <w:shd w:val="clear" w:color="auto" w:fill="FFFFFF"/>
            <w:lang w:val="en-US" w:eastAsia="en-US" w:bidi="ar-SA"/>
          </w:rPr>
          <w:t>(1990), 46 B.C.L.R. (2d) 339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Hayes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Hayes</w:t>
      </w:r>
      <w:r>
        <w:rPr>
          <w:rFonts w:ascii="arial" w:eastAsia="arial" w:hAnsi="arial" w:cs="arial"/>
          <w:color w:val="000000"/>
          <w:sz w:val="20"/>
          <w:lang w:val="en-US" w:eastAsia="en-US" w:bidi="ar-SA"/>
        </w:rPr>
        <w:t>, McDonald J.A. described the test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deciding whether a case is appropriate for a representative action, tests were laid down by Chief Justice McEachern of this Court, then Chief Justice of the Supreme Court, in </w:t>
      </w:r>
      <w:r>
        <w:rPr>
          <w:rFonts w:ascii="arial" w:eastAsia="arial" w:hAnsi="arial" w:cs="arial"/>
          <w:i/>
          <w:color w:val="000000"/>
          <w:sz w:val="20"/>
          <w:lang w:val="en-US" w:eastAsia="en-US" w:bidi="ar-SA"/>
        </w:rPr>
        <w:t>Kripps et al v. Touche Ross &amp; Co</w:t>
      </w:r>
      <w:r>
        <w:rPr>
          <w:rFonts w:ascii="arial" w:eastAsia="arial" w:hAnsi="arial" w:cs="arial"/>
          <w:color w:val="000000"/>
          <w:sz w:val="20"/>
          <w:lang w:val="en-US" w:eastAsia="en-US" w:bidi="ar-SA"/>
        </w:rPr>
        <w:t xml:space="preserve">. </w:t>
      </w:r>
      <w:hyperlink r:id="rId209" w:history="1">
        <w:r>
          <w:rPr>
            <w:rFonts w:ascii="arial" w:eastAsia="arial" w:hAnsi="arial" w:cs="arial"/>
            <w:i/>
            <w:color w:val="0077CC"/>
            <w:sz w:val="20"/>
            <w:u w:val="single"/>
            <w:shd w:val="clear" w:color="auto" w:fill="FFFFFF"/>
            <w:lang w:val="en-US" w:eastAsia="en-US" w:bidi="ar-SA"/>
          </w:rPr>
          <w:t>(1986), 7 B.C.L.R. (2d) 105</w:t>
        </w:r>
      </w:hyperlink>
      <w:r>
        <w:rPr>
          <w:rFonts w:ascii="arial" w:eastAsia="arial" w:hAnsi="arial" w:cs="arial"/>
          <w:color w:val="000000"/>
          <w:sz w:val="20"/>
          <w:lang w:val="en-US" w:eastAsia="en-US" w:bidi="ar-SA"/>
        </w:rPr>
        <w:t>. The tests are stated in the form of three questions to be answered:</w:t>
      </w:r>
    </w:p>
    <w:p>
      <w:pPr>
        <w:numPr>
          <w:numId w:val="4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purported class capable of clear and finite definition?</w:t>
      </w:r>
    </w:p>
    <w:p>
      <w:pPr>
        <w:numPr>
          <w:numId w:val="4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principal issue of fact and law essentially the same with regard to all members?</w:t>
      </w:r>
    </w:p>
    <w:p>
      <w:pPr>
        <w:numPr>
          <w:numId w:val="4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Assuming liability, is there a single measure of damages applicable to all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501</w:t>
      </w:r>
      <w:r>
        <w:rPr>
          <w:rFonts w:ascii="arial" w:eastAsia="arial" w:hAnsi="arial" w:cs="arial"/>
          <w:color w:val="000000"/>
          <w:sz w:val="20"/>
          <w:lang w:val="en-US" w:eastAsia="en-US" w:bidi="ar-SA"/>
        </w:rPr>
        <w:t xml:space="preserve">  He then cited the following passage from </w:t>
      </w:r>
      <w:r>
        <w:rPr>
          <w:rFonts w:ascii="arial" w:eastAsia="arial" w:hAnsi="arial" w:cs="arial"/>
          <w:i/>
          <w:color w:val="000000"/>
          <w:sz w:val="20"/>
          <w:lang w:val="en-US" w:eastAsia="en-US" w:bidi="ar-SA"/>
        </w:rPr>
        <w:t>Shaw et al v. The Real Estate Board of Greater Vancouver</w:t>
      </w:r>
      <w:r>
        <w:rPr>
          <w:rFonts w:ascii="arial" w:eastAsia="arial" w:hAnsi="arial" w:cs="arial"/>
          <w:color w:val="000000"/>
          <w:sz w:val="20"/>
          <w:lang w:val="en-US" w:eastAsia="en-US" w:bidi="ar-SA"/>
        </w:rPr>
        <w:t xml:space="preserve"> </w:t>
      </w:r>
      <w:hyperlink r:id="rId210" w:history="1">
        <w:r>
          <w:rPr>
            <w:rFonts w:ascii="arial" w:eastAsia="arial" w:hAnsi="arial" w:cs="arial"/>
            <w:i/>
            <w:color w:val="0077CC"/>
            <w:sz w:val="20"/>
            <w:u w:val="single"/>
            <w:shd w:val="clear" w:color="auto" w:fill="FFFFFF"/>
            <w:lang w:val="en-US" w:eastAsia="en-US" w:bidi="ar-SA"/>
          </w:rPr>
          <w:t>(1973), 36 D.L.R. (3d) 250</w:t>
        </w:r>
      </w:hyperlink>
      <w:r>
        <w:rPr>
          <w:rFonts w:ascii="arial" w:eastAsia="arial" w:hAnsi="arial" w:cs="arial"/>
          <w:color w:val="000000"/>
          <w:sz w:val="20"/>
          <w:lang w:val="en-US" w:eastAsia="en-US" w:bidi="ar-SA"/>
        </w:rPr>
        <w:t xml:space="preserve"> at 253 (B.C.C.A.)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appears to me that the many passages uttered by Judges of high authority over the years really boils down to a simple proposition that a class action is appropriate where if the plaintiff wins the other persons he purports to represent win too, and if he, because of that success, becomes entitled to relief whether or not in a fund or property, the others also [become] likewise entitled to that relief, having regard, always, for different quantitative participation.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502</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Hayes</w:t>
      </w:r>
      <w:r>
        <w:rPr>
          <w:rFonts w:ascii="arial" w:eastAsia="arial" w:hAnsi="arial" w:cs="arial"/>
          <w:color w:val="000000"/>
          <w:sz w:val="20"/>
          <w:lang w:val="en-US" w:eastAsia="en-US" w:bidi="ar-SA"/>
        </w:rPr>
        <w:t xml:space="preserve"> was decided in 1990 approximately 10 years before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and the plaintiffs argue that it has been "overtaken by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was enacted in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503</w:t>
      </w:r>
      <w:r>
        <w:rPr>
          <w:rFonts w:ascii="arial" w:eastAsia="arial" w:hAnsi="arial" w:cs="arial"/>
          <w:color w:val="000000"/>
          <w:sz w:val="20"/>
          <w:lang w:val="en-US" w:eastAsia="en-US" w:bidi="ar-SA"/>
        </w:rPr>
        <w:t xml:space="preserve">  In support of their position, the plaintiffs rely on certain cases decided in this province after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where those criteria were applied. These include </w:t>
      </w:r>
      <w:r>
        <w:rPr>
          <w:rFonts w:ascii="arial" w:eastAsia="arial" w:hAnsi="arial" w:cs="arial"/>
          <w:i/>
          <w:color w:val="000000"/>
          <w:sz w:val="20"/>
          <w:lang w:val="en-US" w:eastAsia="en-US" w:bidi="ar-SA"/>
        </w:rPr>
        <w:t>Quinn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Richards v. Darwin Properties (Seymour) Inc</w:t>
      </w:r>
      <w:r>
        <w:rPr>
          <w:rFonts w:ascii="arial" w:eastAsia="arial" w:hAnsi="arial" w:cs="arial"/>
          <w:color w:val="000000"/>
          <w:sz w:val="20"/>
          <w:lang w:val="en-US" w:eastAsia="en-US" w:bidi="ar-SA"/>
        </w:rPr>
        <w:t xml:space="preserve">., </w:t>
      </w:r>
      <w:hyperlink r:id="rId211" w:history="1">
        <w:r>
          <w:rPr>
            <w:rFonts w:ascii="arial" w:eastAsia="arial" w:hAnsi="arial" w:cs="arial"/>
            <w:i/>
            <w:color w:val="0077CC"/>
            <w:sz w:val="20"/>
            <w:u w:val="single"/>
            <w:shd w:val="clear" w:color="auto" w:fill="FFFFFF"/>
            <w:lang w:val="en-US" w:eastAsia="en-US" w:bidi="ar-SA"/>
          </w:rPr>
          <w:t>2015 BCSC 2023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504</w:t>
      </w:r>
      <w:r>
        <w:rPr>
          <w:rFonts w:ascii="arial" w:eastAsia="arial" w:hAnsi="arial" w:cs="arial"/>
          <w:color w:val="000000"/>
          <w:sz w:val="20"/>
          <w:lang w:val="en-US" w:eastAsia="en-US" w:bidi="ar-SA"/>
        </w:rPr>
        <w:t xml:space="preserve">  I do not take these authorities to stand for the proposition argued by the plaintiffs, which is that the representative action rule broadens the traditional limited class of plaintiffs to include those who do not meet the residency requirement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and to provide them with essentially the same benefits as if they did qualify under that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xml:space="preserve">, Justice Huddart commented on the fact British Columbia had both a representative action rule and comprehensive class action legislation. After referring to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she stated at para. 33 that British Columbia added Rule 5(12) and Rule. 5(13) in 1977 to permit representative actions such that now, both class proceedings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and representative actions under the Rules are permitted. She stated at para. 33: "A court's obligation is to make both work, so that litigants can select the procedure that works best for their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506</w:t>
      </w:r>
      <w:r>
        <w:rPr>
          <w:rFonts w:ascii="arial" w:eastAsia="arial" w:hAnsi="arial" w:cs="arial"/>
          <w:color w:val="000000"/>
          <w:sz w:val="20"/>
          <w:lang w:val="en-US" w:eastAsia="en-US" w:bidi="ar-SA"/>
        </w:rPr>
        <w:t xml:space="preserve">  She continued at para. 34 to endorse the approach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that courts must strive for a balance between efficiency and fairness. Two examples of this include notice and addressing problems of procedure. Class members must be given notice of the suit so as to have a chance to exclude themselves prior to any decision that purports to affect their interests. Further, due to the complexity of such proceedings, procedural issues must be addressed on a case-by-case basis, in the absence of comprehensive class-action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507</w:t>
      </w:r>
      <w:r>
        <w:rPr>
          <w:rFonts w:ascii="arial" w:eastAsia="arial" w:hAnsi="arial" w:cs="arial"/>
          <w:color w:val="000000"/>
          <w:sz w:val="20"/>
          <w:lang w:val="en-US" w:eastAsia="en-US" w:bidi="ar-SA"/>
        </w:rPr>
        <w:t xml:space="preserve">  Justice Huddart, at para. 35, warned against merely relying on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for guidelines and instead advanced a purposive approach, such that courts should: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look to the history of r. 5(13), its purpose as explained in the authorities, and most importantly, to the ordinary meaning of its language in the context of the British Columbia Supreme Court Rules as a whole, bearing in mind the need to make the representative action and the class proceeding work as complementary vehicles for the efficient and fair prosecution and defence of causes of action with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508</w:t>
      </w:r>
      <w:r>
        <w:rPr>
          <w:rFonts w:ascii="arial" w:eastAsia="arial" w:hAnsi="arial" w:cs="arial"/>
          <w:color w:val="000000"/>
          <w:sz w:val="20"/>
          <w:lang w:val="en-US" w:eastAsia="en-US" w:bidi="ar-SA"/>
        </w:rPr>
        <w:t>  At para. 50, Justice Huddart noted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representative proceeding may be preferred where the class is limited and clearly ascertainable, as in this case and in all the authorities provided to us where a representative proceeding was permitted to continue when challenged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509</w:t>
      </w:r>
      <w:r>
        <w:rPr>
          <w:rFonts w:ascii="arial" w:eastAsia="arial" w:hAnsi="arial" w:cs="arial"/>
          <w:color w:val="000000"/>
          <w:sz w:val="20"/>
          <w:lang w:val="en-US" w:eastAsia="en-US" w:bidi="ar-SA"/>
        </w:rPr>
        <w:t xml:space="preserve">  In my view, the expression "may be preferred" should be considered in the context of what was said at para. 33 of </w:t>
      </w:r>
      <w:r>
        <w:rPr>
          <w:rFonts w:ascii="arial" w:eastAsia="arial" w:hAnsi="arial" w:cs="arial"/>
          <w:i/>
          <w:color w:val="000000"/>
          <w:sz w:val="20"/>
          <w:lang w:val="en-US" w:eastAsia="en-US" w:bidi="ar-SA"/>
        </w:rPr>
        <w:t>James</w:t>
      </w:r>
      <w:r>
        <w:rPr>
          <w:rFonts w:ascii="arial" w:eastAsia="arial" w:hAnsi="arial" w:cs="arial"/>
          <w:color w:val="000000"/>
          <w:sz w:val="20"/>
          <w:lang w:val="en-US" w:eastAsia="en-US" w:bidi="ar-SA"/>
        </w:rPr>
        <w:t>, being "a court's obligation is to make both work, so that litigants can select the procedure that works best for their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510</w:t>
      </w:r>
      <w:r>
        <w:rPr>
          <w:rFonts w:ascii="arial" w:eastAsia="arial" w:hAnsi="arial" w:cs="arial"/>
          <w:color w:val="000000"/>
          <w:sz w:val="20"/>
          <w:lang w:val="en-US" w:eastAsia="en-US" w:bidi="ar-SA"/>
        </w:rPr>
        <w:t xml:space="preserve">  In this case the plaintiffs are not able to select the procedure that works best for them. They are precluded from seeking relief under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due to the residency requirement. I note that it may have been open for them to apply under s. 2(4)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to have a non-member of the class certified as a representative plaintiff, but they have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511</w:t>
      </w:r>
      <w:r>
        <w:rPr>
          <w:rFonts w:ascii="arial" w:eastAsia="arial" w:hAnsi="arial" w:cs="arial"/>
          <w:color w:val="000000"/>
          <w:sz w:val="20"/>
          <w:lang w:val="en-US" w:eastAsia="en-US" w:bidi="ar-SA"/>
        </w:rPr>
        <w:t xml:space="preserve">  While the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may be of assistance in considering the propriety of a representative action in this province, there are several significant differences between the two proceedings. They include:</w:t>
      </w:r>
      <w:r>
        <w:rPr>
          <w:rFonts w:ascii="arial" w:eastAsia="arial" w:hAnsi="arial" w:cs="arial"/>
          <w:sz w:val="20"/>
          <w:lang w:val="en-US" w:eastAsia="en-US" w:bidi="ar-SA"/>
        </w:rPr>
        <w:cr/>
      </w:r>
    </w:p>
    <w:p>
      <w:pPr>
        <w:numPr>
          <w:numId w:val="4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20-3(1) refers to the plaintiffs having "the same interest in a proceeding" whereas s. 4(1)(c)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uses the words "the claims of the class members raise common issues...". Although "same interest" under the Rule has been held to mean "common interest" that is within the context of the assertion of a "common right" or "common grievance" normally arising from a "common origin" (see </w:t>
      </w:r>
      <w:r>
        <w:rPr>
          <w:rFonts w:ascii="arial" w:eastAsia="arial" w:hAnsi="arial" w:cs="arial"/>
          <w:i/>
          <w:color w:val="000000"/>
          <w:sz w:val="20"/>
          <w:lang w:val="en-US" w:eastAsia="en-US" w:bidi="ar-SA"/>
        </w:rPr>
        <w:t>Parker Cove</w:t>
      </w:r>
      <w:r>
        <w:rPr>
          <w:rFonts w:ascii="arial" w:eastAsia="arial" w:hAnsi="arial" w:cs="arial"/>
          <w:color w:val="000000"/>
          <w:sz w:val="20"/>
          <w:lang w:val="en-US" w:eastAsia="en-US" w:bidi="ar-SA"/>
        </w:rPr>
        <w:t xml:space="preserve"> at paras.7, 9, 39). The "same interest" in my view is not necessarily equivalent to raising "common issues". While Justice Wilcock in </w:t>
      </w:r>
      <w:r>
        <w:rPr>
          <w:rFonts w:ascii="arial" w:eastAsia="arial" w:hAnsi="arial" w:cs="arial"/>
          <w:i/>
          <w:color w:val="000000"/>
          <w:sz w:val="20"/>
          <w:lang w:val="en-US" w:eastAsia="en-US" w:bidi="ar-SA"/>
        </w:rPr>
        <w:t>Conseil scolaire</w:t>
      </w:r>
      <w:r>
        <w:rPr>
          <w:rFonts w:ascii="arial" w:eastAsia="arial" w:hAnsi="arial" w:cs="arial"/>
          <w:color w:val="000000"/>
          <w:sz w:val="20"/>
          <w:lang w:val="en-US" w:eastAsia="en-US" w:bidi="ar-SA"/>
        </w:rPr>
        <w:t xml:space="preserve"> did refer to the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regarding "common issues", this appears to have been in the context that the plaintiffs had the same or common interest which arose from the educational language questions which were the basis for that proceeding. He also referred to </w:t>
      </w:r>
      <w:r>
        <w:rPr>
          <w:rFonts w:ascii="arial" w:eastAsia="arial" w:hAnsi="arial" w:cs="arial"/>
          <w:i/>
          <w:color w:val="000000"/>
          <w:sz w:val="20"/>
          <w:lang w:val="en-US" w:eastAsia="en-US" w:bidi="ar-SA"/>
        </w:rPr>
        <w:t>Shaw</w:t>
      </w:r>
      <w:r>
        <w:rPr>
          <w:rFonts w:ascii="arial" w:eastAsia="arial" w:hAnsi="arial" w:cs="arial"/>
          <w:color w:val="000000"/>
          <w:sz w:val="20"/>
          <w:lang w:val="en-US" w:eastAsia="en-US" w:bidi="ar-SA"/>
        </w:rPr>
        <w:t xml:space="preserve"> which was relied on by the Court of Appeal in </w:t>
      </w:r>
      <w:r>
        <w:rPr>
          <w:rFonts w:ascii="arial" w:eastAsia="arial" w:hAnsi="arial" w:cs="arial"/>
          <w:i/>
          <w:color w:val="000000"/>
          <w:sz w:val="20"/>
          <w:lang w:val="en-US" w:eastAsia="en-US" w:bidi="ar-SA"/>
        </w:rPr>
        <w:t>Hayes</w:t>
      </w:r>
      <w:r>
        <w:rPr>
          <w:rFonts w:ascii="arial" w:eastAsia="arial" w:hAnsi="arial" w:cs="arial"/>
          <w:color w:val="000000"/>
          <w:sz w:val="20"/>
          <w:lang w:val="en-US" w:eastAsia="en-US" w:bidi="ar-SA"/>
        </w:rPr>
        <w:t>, albeit in relation to a pleadings issue;</w:t>
      </w:r>
    </w:p>
    <w:p>
      <w:pPr>
        <w:numPr>
          <w:numId w:val="43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 4(e)(ii)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requires the filing of a litigation plan. There is no such requirement in Rule 20-3. In my view this supports the proposition that the representative proceeding as it has developed historically in this province applies to situations as described above involving a limited and clearly ascertainable class of persons as opposed to a broader class as contemplated by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w:t>
      </w:r>
    </w:p>
    <w:p>
      <w:pPr>
        <w:numPr>
          <w:numId w:val="43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 class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opt in procedure would allow for the creation of separate classes with entitlement potentially to different remedies. That is not possible in a representative action": </w:t>
      </w:r>
      <w:r>
        <w:rPr>
          <w:rFonts w:ascii="arial" w:eastAsia="arial" w:hAnsi="arial" w:cs="arial"/>
          <w:i/>
          <w:color w:val="000000"/>
          <w:sz w:val="20"/>
          <w:lang w:val="en-US" w:eastAsia="en-US" w:bidi="ar-SA"/>
        </w:rPr>
        <w:t>Parker Cove</w:t>
      </w:r>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512</w:t>
      </w:r>
      <w:r>
        <w:rPr>
          <w:rFonts w:ascii="arial" w:eastAsia="arial" w:hAnsi="arial" w:cs="arial"/>
          <w:color w:val="000000"/>
          <w:sz w:val="20"/>
          <w:lang w:val="en-US" w:eastAsia="en-US" w:bidi="ar-SA"/>
        </w:rPr>
        <w:t>  Although not required to do so, the plaintiffs did file a litigation plan. It originally provided for an opting out mechanism but the plan was amended during the hearing of these applications to provide for an opting in provision.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513</w:t>
      </w:r>
      <w:r>
        <w:rPr>
          <w:rFonts w:ascii="arial" w:eastAsia="arial" w:hAnsi="arial" w:cs="arial"/>
          <w:color w:val="000000"/>
          <w:sz w:val="20"/>
          <w:lang w:val="en-US" w:eastAsia="en-US" w:bidi="ar-SA"/>
        </w:rPr>
        <w:t>  I am not assisted by the many authorities from other jurisdictions upon which the plaintiffs rely in their attempt to broaden the scope of Rule 20-3.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514</w:t>
      </w:r>
      <w:r>
        <w:rPr>
          <w:rFonts w:ascii="arial" w:eastAsia="arial" w:hAnsi="arial" w:cs="arial"/>
          <w:color w:val="000000"/>
          <w:sz w:val="20"/>
          <w:lang w:val="en-US" w:eastAsia="en-US" w:bidi="ar-SA"/>
        </w:rPr>
        <w:t xml:space="preserve">  One example is </w:t>
      </w:r>
      <w:r>
        <w:rPr>
          <w:rFonts w:ascii="arial" w:eastAsia="arial" w:hAnsi="arial" w:cs="arial"/>
          <w:i/>
          <w:color w:val="000000"/>
          <w:sz w:val="20"/>
          <w:lang w:val="en-US" w:eastAsia="en-US" w:bidi="ar-SA"/>
        </w:rPr>
        <w:t>Saunders v. Houghton</w:t>
      </w:r>
      <w:r>
        <w:rPr>
          <w:rFonts w:ascii="arial" w:eastAsia="arial" w:hAnsi="arial" w:cs="arial"/>
          <w:color w:val="000000"/>
          <w:sz w:val="20"/>
          <w:lang w:val="en-US" w:eastAsia="en-US" w:bidi="ar-SA"/>
        </w:rPr>
        <w:t>, [2010] 3 NZLR 331. This involved a representative proceeding on behalf of shareholders who bought into an initial public offering and in the secondary market. The court at 336 noted that in interpreting the applicable rule in other jurisdictions, "[t]here are different lines of authority, some ... adopting a generous approach to representation applications and others that do not." New Zealand does not have a class proceedings statue; that was also the case in many of the authorities I was referred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515</w:t>
      </w:r>
      <w:r>
        <w:rPr>
          <w:rFonts w:ascii="arial" w:eastAsia="arial" w:hAnsi="arial" w:cs="arial"/>
          <w:color w:val="000000"/>
          <w:sz w:val="20"/>
          <w:lang w:val="en-US" w:eastAsia="en-US" w:bidi="ar-SA"/>
        </w:rPr>
        <w:t xml:space="preserve">  Considering the "history and purpose" of the representative proceeding rule and the circumstances in which it applied both prior and subsequent to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and the enactment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 conclude that common law class actions under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are only available in the absence of comprehensive class action legislation. Non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proceedings are governed by Rule 20-3 and the way that rule and its predecessors have been interpreted by the courts of this province. This includes the test set out in </w:t>
      </w:r>
      <w:r>
        <w:rPr>
          <w:rFonts w:ascii="arial" w:eastAsia="arial" w:hAnsi="arial" w:cs="arial"/>
          <w:i/>
          <w:color w:val="000000"/>
          <w:sz w:val="20"/>
          <w:lang w:val="en-US" w:eastAsia="en-US" w:bidi="ar-SA"/>
        </w:rPr>
        <w:t>Hayes</w:t>
      </w:r>
      <w:r>
        <w:rPr>
          <w:rFonts w:ascii="arial" w:eastAsia="arial" w:hAnsi="arial" w:cs="arial"/>
          <w:color w:val="000000"/>
          <w:sz w:val="20"/>
          <w:lang w:val="en-US" w:eastAsia="en-US" w:bidi="ar-SA"/>
        </w:rPr>
        <w:t xml:space="preserve">, although the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may well be of assistance in some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516</w:t>
      </w:r>
      <w:r>
        <w:rPr>
          <w:rFonts w:ascii="arial" w:eastAsia="arial" w:hAnsi="arial" w:cs="arial"/>
          <w:color w:val="000000"/>
          <w:sz w:val="20"/>
          <w:lang w:val="en-US" w:eastAsia="en-US" w:bidi="ar-SA"/>
        </w:rPr>
        <w:t xml:space="preserve">  I also accept Nevsun's argument that to decide otherwise would provide Rule 20-3 with extra territorial effect by authorizing a representative action where the only plaintiffs or group members are non-residents. The plaintiffs' submit that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contemplated this interpretation to suggest a more active role for the court in a representative proceeding set down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517</w:t>
      </w:r>
      <w:r>
        <w:rPr>
          <w:rFonts w:ascii="arial" w:eastAsia="arial" w:hAnsi="arial" w:cs="arial"/>
          <w:color w:val="000000"/>
          <w:sz w:val="20"/>
          <w:lang w:val="en-US" w:eastAsia="en-US" w:bidi="ar-SA"/>
        </w:rPr>
        <w:t>  In their submissions, the plaintiffs appear to recognize that the representative action they envision requires the Court "to develop the common law" and adopt "a more active role", and that it should not be overly concerned with "too strictly adhering to forms and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518</w:t>
      </w:r>
      <w:r>
        <w:rPr>
          <w:rFonts w:ascii="arial" w:eastAsia="arial" w:hAnsi="arial" w:cs="arial"/>
          <w:color w:val="000000"/>
          <w:sz w:val="20"/>
          <w:lang w:val="en-US" w:eastAsia="en-US" w:bidi="ar-SA"/>
        </w:rPr>
        <w:t xml:space="preserve">  In my view, a "more active role for the court" cannot extend to permit the plaintiffs to circumvent the residency requirement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This would be contrary to the historical development of the Rule. Only the Legislature, not this Court, can ascribe to Rule 20-3 the purpose and effect advanced by the plaintiffs in this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C: Have the Rule 20-3 Requirements Been 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519</w:t>
      </w:r>
      <w:r>
        <w:rPr>
          <w:rFonts w:ascii="arial" w:eastAsia="arial" w:hAnsi="arial" w:cs="arial"/>
          <w:color w:val="000000"/>
          <w:sz w:val="20"/>
          <w:lang w:val="en-US" w:eastAsia="en-US" w:bidi="ar-SA"/>
        </w:rPr>
        <w:t>  Nevsun's position is that it is for the plaintiffs to satisfy the court that they and the "unnamed represented parties" have the "same interest" and they have not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520</w:t>
      </w:r>
      <w:r>
        <w:rPr>
          <w:rFonts w:ascii="arial" w:eastAsia="arial" w:hAnsi="arial" w:cs="arial"/>
          <w:color w:val="000000"/>
          <w:sz w:val="20"/>
          <w:lang w:val="en-US" w:eastAsia="en-US" w:bidi="ar-SA"/>
        </w:rPr>
        <w:t>  It points to the affidavits the plaintiffs filed, the different experiences they claim to have had, and how they worked under different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521</w:t>
      </w:r>
      <w:r>
        <w:rPr>
          <w:rFonts w:ascii="arial" w:eastAsia="arial" w:hAnsi="arial" w:cs="arial"/>
          <w:color w:val="000000"/>
          <w:sz w:val="20"/>
          <w:lang w:val="en-US" w:eastAsia="en-US" w:bidi="ar-SA"/>
        </w:rPr>
        <w:t>  Nevsun also argues that the plaintiffs' assertions of a same or common interest only pertain to its alleged liability and says that, assuming liability is established, the damages will require individual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522</w:t>
      </w:r>
      <w:r>
        <w:rPr>
          <w:rFonts w:ascii="arial" w:eastAsia="arial" w:hAnsi="arial" w:cs="arial"/>
          <w:color w:val="000000"/>
          <w:sz w:val="20"/>
          <w:lang w:val="en-US" w:eastAsia="en-US" w:bidi="ar-SA"/>
        </w:rPr>
        <w:t>  The plaintiffs point to what they say is a clear proposed class definition being: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conscripts in the Eritrean National Service Program who worked at the Bisha mine from 2008 to the present. Membership in the class is therefore determinable based on two objective criteria: the individual's status as a conscript in the National Service Program, and work at the Bisha mine between 2008 and the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523</w:t>
      </w:r>
      <w:r>
        <w:rPr>
          <w:rFonts w:ascii="arial" w:eastAsia="arial" w:hAnsi="arial" w:cs="arial"/>
          <w:color w:val="000000"/>
          <w:sz w:val="20"/>
          <w:lang w:val="en-US" w:eastAsia="en-US" w:bidi="ar-SA"/>
        </w:rPr>
        <w:t xml:space="preserve">  They also submit that the other criteria referred to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have been satisfied. I shall return to that issue below.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524</w:t>
      </w:r>
      <w:r>
        <w:rPr>
          <w:rFonts w:ascii="arial" w:eastAsia="arial" w:hAnsi="arial" w:cs="arial"/>
          <w:color w:val="000000"/>
          <w:sz w:val="20"/>
          <w:lang w:val="en-US" w:eastAsia="en-US" w:bidi="ar-SA"/>
        </w:rPr>
        <w:t>  In my view, there is a fundamental obstacle to this action proceeding as a representative proceeding. This is not a situation where membership in the proposed class is readily ascertainable as in such cases as:</w:t>
      </w:r>
      <w:r>
        <w:rPr>
          <w:rFonts w:ascii="arial" w:eastAsia="arial" w:hAnsi="arial" w:cs="arial"/>
          <w:sz w:val="20"/>
          <w:lang w:val="en-US" w:eastAsia="en-US" w:bidi="ar-SA"/>
        </w:rPr>
        <w:cr/>
      </w:r>
    </w:p>
    <w:p>
      <w:pPr>
        <w:numPr>
          <w:numId w:val="4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 Nation aboriginal title or rights issues;</w:t>
      </w:r>
    </w:p>
    <w:p>
      <w:pPr>
        <w:numPr>
          <w:numId w:val="4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association seeking linguistic rights remedies;</w:t>
      </w:r>
    </w:p>
    <w:p>
      <w:pPr>
        <w:numPr>
          <w:numId w:val="4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members of unions, a housing cooperative or participants in a game show,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the like, all of whom are seeking the same or a similar remedy and where there is a single measure of damages for the class that is subject only to quantification.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525</w:t>
      </w:r>
      <w:r>
        <w:rPr>
          <w:rFonts w:ascii="arial" w:eastAsia="arial" w:hAnsi="arial" w:cs="arial"/>
          <w:color w:val="000000"/>
          <w:sz w:val="20"/>
          <w:lang w:val="en-US" w:eastAsia="en-US" w:bidi="ar-SA"/>
        </w:rPr>
        <w:t>  Furthermore, no principal issues of fact or law are essentially the same with regard to all members. The creation of sub classes is not available under this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526</w:t>
      </w:r>
      <w:r>
        <w:rPr>
          <w:rFonts w:ascii="arial" w:eastAsia="arial" w:hAnsi="arial" w:cs="arial"/>
          <w:color w:val="000000"/>
          <w:sz w:val="20"/>
          <w:lang w:val="en-US" w:eastAsia="en-US" w:bidi="ar-SA"/>
        </w:rPr>
        <w:t>  A threshold issue of fact is whether the plaintiffs, named or unnamed, are members of the proposed class. This can only be ascertained after they have established that they were at the Bisha Mine, during what time frame, in what capacity, and what their relevant NSP status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527</w:t>
      </w:r>
      <w:r>
        <w:rPr>
          <w:rFonts w:ascii="arial" w:eastAsia="arial" w:hAnsi="arial" w:cs="arial"/>
          <w:color w:val="000000"/>
          <w:sz w:val="20"/>
          <w:lang w:val="en-US" w:eastAsia="en-US" w:bidi="ar-SA"/>
        </w:rPr>
        <w:t>  Not only has Nevsun, which is its right, taken the position that none of the acts alleged by the plaintiffs occurred, it has also garnered evidence putting squarely in issue whether any of the plaintiffs, or others who have sworn affidavits pertaining to the abuses they witnessed or were subjected to, were in fact ever present at the Bisha Mine. There is also evidence that there were individuals subject to NSP requirements who were working in the general area of the Bisha Mine, but on government or public work projects rather than the Bisha Mine, a commercial venture.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528</w:t>
      </w:r>
      <w:r>
        <w:rPr>
          <w:rFonts w:ascii="arial" w:eastAsia="arial" w:hAnsi="arial" w:cs="arial"/>
          <w:color w:val="000000"/>
          <w:sz w:val="20"/>
          <w:lang w:val="en-US" w:eastAsia="en-US" w:bidi="ar-SA"/>
        </w:rPr>
        <w:t>  It will be necessary for there to be an individual examination of the circumstances of each plaintiff and proposed class member on this issue alone. This will likely include document production, examinations for discovery, and the need for each class member to testify at the trial which would defeat the entire purpose of a representative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529</w:t>
      </w:r>
      <w:r>
        <w:rPr>
          <w:rFonts w:ascii="arial" w:eastAsia="arial" w:hAnsi="arial" w:cs="arial"/>
          <w:color w:val="000000"/>
          <w:sz w:val="20"/>
          <w:lang w:val="en-US" w:eastAsia="en-US" w:bidi="ar-SA"/>
        </w:rPr>
        <w:t>  Accordingly, I conclude that Nevsun's application should be granted on this basis alone.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D: Application of the </w:t>
      </w:r>
      <w:r>
        <w:rPr>
          <w:rFonts w:ascii="arial" w:eastAsia="arial" w:hAnsi="arial" w:cs="arial"/>
          <w:b/>
          <w:i/>
          <w:color w:val="000000"/>
          <w:sz w:val="20"/>
          <w:lang w:val="en-US" w:eastAsia="en-US" w:bidi="ar-SA"/>
        </w:rPr>
        <w:t>Dutton</w:t>
      </w:r>
      <w:r>
        <w:rPr>
          <w:rFonts w:ascii="arial" w:eastAsia="arial" w:hAnsi="arial" w:cs="arial"/>
          <w:b/>
          <w:color w:val="000000"/>
          <w:sz w:val="20"/>
          <w:lang w:val="en-US" w:eastAsia="en-US" w:bidi="ar-SA"/>
        </w:rPr>
        <w:t xml:space="preserve"> Criteria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530</w:t>
      </w:r>
      <w:r>
        <w:rPr>
          <w:rFonts w:ascii="arial" w:eastAsia="arial" w:hAnsi="arial" w:cs="arial"/>
          <w:color w:val="000000"/>
          <w:sz w:val="20"/>
          <w:lang w:val="en-US" w:eastAsia="en-US" w:bidi="ar-SA"/>
        </w:rPr>
        <w:t xml:space="preserve">  If I am wrong in my conclusions regarding the scope of Rule 20-3 and whether its requirements have been met in this case, I will review the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in order to determine whether their application would lead to a different result.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(a) is the class capable of clear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531</w:t>
      </w:r>
      <w:r>
        <w:rPr>
          <w:rFonts w:ascii="arial" w:eastAsia="arial" w:hAnsi="arial" w:cs="arial"/>
          <w:color w:val="000000"/>
          <w:sz w:val="20"/>
          <w:lang w:val="en-US" w:eastAsia="en-US" w:bidi="ar-SA"/>
        </w:rPr>
        <w:t>  The plaintiffs' position is that the proposed class satisfies this requirement; objective criteria for membership are set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532</w:t>
      </w:r>
      <w:r>
        <w:rPr>
          <w:rFonts w:ascii="arial" w:eastAsia="arial" w:hAnsi="arial" w:cs="arial"/>
          <w:color w:val="000000"/>
          <w:sz w:val="20"/>
          <w:lang w:val="en-US" w:eastAsia="en-US" w:bidi="ar-SA"/>
        </w:rPr>
        <w:t>  The difficulty with this submission is that the plaintiffs' own evidence demonstrates inconsistencies, if not outright contradictions, about the status and working conditions of the named plaintiffs and putative class members. The word "conscripts" itself is problematic since it embraces various disparate groups as described in the plaintiffs' own evidence. Mr. Alemayo's affidavit, for example, describes "Segen conscripts", "Mereb conscripts", and "74 conscripts". Further, this definition does not distinguish those who are conscripts, were conscripts, or may have been demobilized during their time at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533</w:t>
      </w:r>
      <w:r>
        <w:rPr>
          <w:rFonts w:ascii="arial" w:eastAsia="arial" w:hAnsi="arial" w:cs="arial"/>
          <w:color w:val="000000"/>
          <w:sz w:val="20"/>
          <w:lang w:val="en-US" w:eastAsia="en-US" w:bidi="ar-SA"/>
        </w:rPr>
        <w:t>  In addition, the pleaded facts and the evidence do not suggest that the entire class was subject to all of the alleged abuse. Indeed, the named plaintiffs' circumstances make clear that this was not the case. It is apparent that not all potential class members were subject to, or complained of, the types of mistreatment the plaintiffs assert, much of which allegedly occurred at the Segen compound, not at the Bisha Mine, and at the hands of representatives of Segen or the Eritrean military.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534</w:t>
      </w:r>
      <w:r>
        <w:rPr>
          <w:rFonts w:ascii="arial" w:eastAsia="arial" w:hAnsi="arial" w:cs="arial"/>
          <w:color w:val="000000"/>
          <w:sz w:val="20"/>
          <w:lang w:val="en-US" w:eastAsia="en-US" w:bidi="ar-SA"/>
        </w:rPr>
        <w:t>  The following table of allegations illustrates the difficulties: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50" type="#_x0000_t75" style="width:429pt;height:328.5pt">
            <v:imagedata r:id="rId212" o:title=""/>
          </v:shape>
        </w:pict>
      </w:r>
      <w:r>
        <w:rPr>
          <w:rFonts w:ascii="arial" w:eastAsia="arial" w:hAnsi="arial" w:cs="arial"/>
          <w:sz w:val="20"/>
          <w:lang w:val="en-US" w:eastAsia="en-US" w:bidi="ar-SA"/>
        </w:rPr>
        <w:t xml:space="preserv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535</w:t>
      </w:r>
      <w:r>
        <w:rPr>
          <w:rFonts w:ascii="arial" w:eastAsia="arial" w:hAnsi="arial" w:cs="arial"/>
          <w:color w:val="000000"/>
          <w:sz w:val="20"/>
          <w:lang w:val="en-US" w:eastAsia="en-US" w:bidi="ar-SA"/>
        </w:rPr>
        <w:t>  The different classes, the individual facts alleged in relation to each of the plaintiffs coupled with the evidence regarding the varying nature of the employment, roles, responsibilities and treatment of prospective class members, as well as the different points in time they were said to be at the Bisha Mine, demonstrates there is no coherent class definition.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536</w:t>
      </w:r>
      <w:r>
        <w:rPr>
          <w:rFonts w:ascii="arial" w:eastAsia="arial" w:hAnsi="arial" w:cs="arial"/>
          <w:color w:val="000000"/>
          <w:sz w:val="20"/>
          <w:lang w:val="en-US" w:eastAsia="en-US" w:bidi="ar-SA"/>
        </w:rPr>
        <w:t>  As I have noted, sub classes are not permitted in a representative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537</w:t>
      </w:r>
      <w:r>
        <w:rPr>
          <w:rFonts w:ascii="arial" w:eastAsia="arial" w:hAnsi="arial" w:cs="arial"/>
          <w:color w:val="000000"/>
          <w:sz w:val="20"/>
          <w:lang w:val="en-US" w:eastAsia="en-US" w:bidi="ar-SA"/>
        </w:rPr>
        <w:t xml:space="preserve">  Accordingly, I conclude that the first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requirement has not been met.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(b) there must be issues of fact or law common to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538</w:t>
      </w:r>
      <w:r>
        <w:rPr>
          <w:rFonts w:ascii="arial" w:eastAsia="arial" w:hAnsi="arial" w:cs="arial"/>
          <w:color w:val="000000"/>
          <w:sz w:val="20"/>
          <w:lang w:val="en-US" w:eastAsia="en-US" w:bidi="ar-SA"/>
        </w:rPr>
        <w:t xml:space="preserve">  The underlying question on the commonality inquiry is whether allowing the suit to proceed as a representative one will avoid duplication of fact-finding or legal analysis. In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39, the Chief Justice explained that "class members' claims must share a substantial common ingredient to justify a class action". In deciding whether common issues justify a class action, the court should "examine the significance of the common issues in relation to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539</w:t>
      </w:r>
      <w:r>
        <w:rPr>
          <w:rFonts w:ascii="arial" w:eastAsia="arial" w:hAnsi="arial" w:cs="arial"/>
          <w:color w:val="000000"/>
          <w:sz w:val="20"/>
          <w:lang w:val="en-US" w:eastAsia="en-US" w:bidi="ar-SA"/>
        </w:rPr>
        <w:t>  Nevsun's position is that no substantial issue of fact or law is common to all potential class members. There is no common, systemic wrong that is independently actionable by all. In fact, the plaintiffs' claims depend on idiosyncratic facts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540</w:t>
      </w:r>
      <w:r>
        <w:rPr>
          <w:rFonts w:ascii="arial" w:eastAsia="arial" w:hAnsi="arial" w:cs="arial"/>
          <w:color w:val="000000"/>
          <w:sz w:val="20"/>
          <w:lang w:val="en-US" w:eastAsia="en-US" w:bidi="ar-SA"/>
        </w:rPr>
        <w:t>  Nevsun argues that the potential class is splintered by numerous considerations reflecting the individual inquiries, including:</w:t>
      </w:r>
      <w:r>
        <w:rPr>
          <w:rFonts w:ascii="arial" w:eastAsia="arial" w:hAnsi="arial" w:cs="arial"/>
          <w:sz w:val="20"/>
          <w:lang w:val="en-US" w:eastAsia="en-US" w:bidi="ar-SA"/>
        </w:rPr>
        <w:cr/>
      </w:r>
    </w:p>
    <w:p>
      <w:pPr>
        <w:numPr>
          <w:numId w:val="4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they had been demobilized, in the ANSP or RNSP (i.e. active or reserve);</w:t>
      </w:r>
    </w:p>
    <w:p>
      <w:pPr>
        <w:numPr>
          <w:numId w:val="4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they had not been demobilized, whether they nevertheless advised SENET or BMSC that they had been demobilized; Nevsun's evidence is that employees were required to show that they had been demobilized;</w:t>
      </w:r>
    </w:p>
    <w:p>
      <w:pPr>
        <w:numPr>
          <w:numId w:val="4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they were employed by Segen, or Mereb, or were in some fashion under the control of the Eritrean military;</w:t>
      </w:r>
    </w:p>
    <w:p>
      <w:pPr>
        <w:numPr>
          <w:numId w:val="4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they were housed at Segen or Mereb (or other) camps, or lived in surrounding communities, and if they were housed at the camps, whether they were prevented from leaving;</w:t>
      </w:r>
    </w:p>
    <w:p>
      <w:pPr>
        <w:numPr>
          <w:numId w:val="4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they were granted leaves of absence when requested;</w:t>
      </w:r>
    </w:p>
    <w:p>
      <w:pPr>
        <w:numPr>
          <w:numId w:val="4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 whom and in what capacity they worked at the Bisha Mine;</w:t>
      </w:r>
    </w:p>
    <w:p>
      <w:pPr>
        <w:numPr>
          <w:numId w:val="4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and for how long they worked at the Bisha Mine;</w:t>
      </w:r>
    </w:p>
    <w:p>
      <w:pPr>
        <w:numPr>
          <w:numId w:val="4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conditions, including rates of pay at the Bisha Mine differed from other workplaces in Eritrea at the material times;</w:t>
      </w:r>
    </w:p>
    <w:p>
      <w:pPr>
        <w:numPr>
          <w:numId w:val="4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they were subject to forced labour or any other of the varying kinds of alleged abuses;</w:t>
      </w:r>
    </w:p>
    <w:p>
      <w:pPr>
        <w:numPr>
          <w:numId w:val="4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and when alleged abuses occurred;</w:t>
      </w:r>
    </w:p>
    <w:p>
      <w:pPr>
        <w:numPr>
          <w:numId w:val="4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alleged abuses were committed by members of the Eritrean military, Segen, or others;</w:t>
      </w:r>
    </w:p>
    <w:p>
      <w:pPr>
        <w:numPr>
          <w:numId w:val="4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circumstances of the alleged abuse are such that Nevsun is liable;</w:t>
      </w:r>
    </w:p>
    <w:p>
      <w:pPr>
        <w:numPr>
          <w:numId w:val="4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if any, individuals suffered as a result of alleged abuses;</w:t>
      </w:r>
    </w:p>
    <w:p>
      <w:pPr>
        <w:numPr>
          <w:numId w:val="4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other factors which might contribute to past or continuing claims for loss or damage, such as imprisonment, kidnapping, torture or other events subsequent to work at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541</w:t>
      </w:r>
      <w:r>
        <w:rPr>
          <w:rFonts w:ascii="arial" w:eastAsia="arial" w:hAnsi="arial" w:cs="arial"/>
          <w:color w:val="000000"/>
          <w:sz w:val="20"/>
          <w:lang w:val="en-US" w:eastAsia="en-US" w:bidi="ar-SA"/>
        </w:rPr>
        <w:t>  The plaintiffs submit that the fact finding process and legal analysis is at the core of the plaintiffs' claims and is the same for all of them and the putative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542</w:t>
      </w:r>
      <w:r>
        <w:rPr>
          <w:rFonts w:ascii="arial" w:eastAsia="arial" w:hAnsi="arial" w:cs="arial"/>
          <w:color w:val="000000"/>
          <w:sz w:val="20"/>
          <w:lang w:val="en-US" w:eastAsia="en-US" w:bidi="ar-SA"/>
        </w:rPr>
        <w:t>  They argue that the proceeding is likely to involve an inquiry into, amongst other things, the part Nevsun played in the control and oversight of the Bisha Mine and its development; what its directors, officers and employees knew or ought to have known; the actions taken and not taken; whether Nevsun owed a duty of care to class members and whether, if so, that duty was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543</w:t>
      </w:r>
      <w:r>
        <w:rPr>
          <w:rFonts w:ascii="arial" w:eastAsia="arial" w:hAnsi="arial" w:cs="arial"/>
          <w:color w:val="000000"/>
          <w:sz w:val="20"/>
          <w:lang w:val="en-US" w:eastAsia="en-US" w:bidi="ar-SA"/>
        </w:rPr>
        <w:t>  In particular, they assert that common issues key to the first part of the case are outlined in its litigation plan and will further substantially each class member's legal claim against Nevsun, including whether:</w:t>
      </w:r>
      <w:r>
        <w:rPr>
          <w:rFonts w:ascii="arial" w:eastAsia="arial" w:hAnsi="arial" w:cs="arial"/>
          <w:sz w:val="20"/>
          <w:lang w:val="en-US" w:eastAsia="en-US" w:bidi="ar-SA"/>
        </w:rPr>
        <w:cr/>
      </w:r>
    </w:p>
    <w:p>
      <w:pPr>
        <w:numPr>
          <w:numId w:val="4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by active NSP conscripts was used at the Bisha Mine;</w:t>
      </w:r>
    </w:p>
    <w:p>
      <w:pPr>
        <w:numPr>
          <w:numId w:val="4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labour by demobilized NSP conscripts was used at the Bisha Mine;</w:t>
      </w:r>
    </w:p>
    <w:p>
      <w:pPr>
        <w:numPr>
          <w:numId w:val="4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use of forced labour, slavery, torture, cruel, inhuman or degrading treatment, and crimes against humanity at the Bisha Mine, Nevsun</w:t>
      </w:r>
    </w:p>
    <w:p>
      <w:pPr>
        <w:numPr>
          <w:numId w:val="4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aided and abetted it;</w:t>
      </w:r>
    </w:p>
    <w:p>
      <w:pPr>
        <w:numPr>
          <w:numId w:val="4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ordered, solicited, or induced it;</w:t>
      </w:r>
    </w:p>
    <w:p>
      <w:pPr>
        <w:numPr>
          <w:numId w:val="4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expressly or implicitly approved of it;</w:t>
      </w:r>
    </w:p>
    <w:p>
      <w:pPr>
        <w:numPr>
          <w:numId w:val="4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acquiesced in it;</w:t>
      </w:r>
    </w:p>
    <w:p>
      <w:pPr>
        <w:numPr>
          <w:numId w:val="4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prevent or stop it;</w:t>
      </w:r>
    </w:p>
    <w:p>
      <w:pPr>
        <w:numPr>
          <w:numId w:val="4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knowingly and intentionally contributed to the commission of these acts by a group of persons acting with a common purpose in the development of the Bisha Mine;</w:t>
      </w:r>
    </w:p>
    <w:p>
      <w:pPr>
        <w:numPr>
          <w:numId w:val="46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had effective authority and control over Segen and other subordinates at the Bisha Mine and failed to properly exercise control over its subordinates at the Bisha Mine;</w:t>
      </w:r>
    </w:p>
    <w:p>
      <w:pPr>
        <w:numPr>
          <w:numId w:val="4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Nevsun either knew or consciously disregarded information indicating that its subordinates at the Bisha Mine were committing or about to commit acts in violation of the foregoing principles of CIL and </w:t>
      </w:r>
      <w:r>
        <w:rPr>
          <w:rFonts w:ascii="arial" w:eastAsia="arial" w:hAnsi="arial" w:cs="arial"/>
          <w:i/>
          <w:color w:val="000000"/>
          <w:sz w:val="20"/>
          <w:lang w:val="en-US" w:eastAsia="en-US" w:bidi="ar-SA"/>
        </w:rPr>
        <w:t>jus cogens</w:t>
      </w:r>
      <w:r>
        <w:rPr>
          <w:rFonts w:ascii="arial" w:eastAsia="arial" w:hAnsi="arial" w:cs="arial"/>
          <w:color w:val="000000"/>
          <w:sz w:val="20"/>
          <w:lang w:val="en-US" w:eastAsia="en-US" w:bidi="ar-SA"/>
        </w:rPr>
        <w:t>;</w:t>
      </w:r>
    </w:p>
    <w:p>
      <w:pPr>
        <w:numPr>
          <w:numId w:val="4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acts were within the effective responsibility and control of Nevsun and Nevsun failed to take all necessary and reasonable measures within its power to prevent or repress their commission;</w:t>
      </w:r>
    </w:p>
    <w:p>
      <w:pPr>
        <w:numPr>
          <w:numId w:val="4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is liable for the conduct of BMSC, Segen, Mereb and/or Eritrea;</w:t>
      </w:r>
    </w:p>
    <w:p>
      <w:pPr>
        <w:numPr>
          <w:numId w:val="46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owed a duty of care to the plaintiffs;</w:t>
      </w:r>
    </w:p>
    <w:p>
      <w:pPr>
        <w:numPr>
          <w:numId w:val="46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breached the standard of care;</w:t>
      </w:r>
    </w:p>
    <w:p>
      <w:pPr>
        <w:numPr>
          <w:numId w:val="4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 unlawfully conspired with BMSC, Segen, Mereb and the Eritrean military to injure the plaintiffs;</w:t>
      </w:r>
    </w:p>
    <w:p>
      <w:pPr>
        <w:numPr>
          <w:numId w:val="46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entitled to restitution, a constructive trust, or other equitable relief; and</w:t>
      </w:r>
    </w:p>
    <w:p>
      <w:pPr>
        <w:numPr>
          <w:numId w:val="4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Nevsun's conduct warrants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544</w:t>
      </w:r>
      <w:r>
        <w:rPr>
          <w:rFonts w:ascii="arial" w:eastAsia="arial" w:hAnsi="arial" w:cs="arial"/>
          <w:color w:val="000000"/>
          <w:sz w:val="20"/>
          <w:lang w:val="en-US" w:eastAsia="en-US" w:bidi="ar-SA"/>
        </w:rPr>
        <w:t xml:space="preserve">  The plaintiffs then say that the second part of the proceeding will engage individual issues and require substantially more involvement from the putative class members. The issues to be determined in the second part include: </w:t>
      </w:r>
      <w:r>
        <w:rPr>
          <w:rFonts w:ascii="arial" w:eastAsia="arial" w:hAnsi="arial" w:cs="arial"/>
          <w:color w:val="000000"/>
          <w:sz w:val="20"/>
          <w:u w:val="single"/>
          <w:lang w:val="en-US" w:eastAsia="en-US" w:bidi="ar-SA"/>
        </w:rPr>
        <w:t>when</w:t>
      </w:r>
      <w:r>
        <w:rPr>
          <w:rFonts w:ascii="arial" w:eastAsia="arial" w:hAnsi="arial" w:cs="arial"/>
          <w:color w:val="000000"/>
          <w:sz w:val="20"/>
          <w:lang w:val="en-US" w:eastAsia="en-US" w:bidi="ar-SA"/>
        </w:rPr>
        <w:t xml:space="preserve"> each proposed class member was at the Bisha Mine; </w:t>
      </w:r>
      <w:r>
        <w:rPr>
          <w:rFonts w:ascii="arial" w:eastAsia="arial" w:hAnsi="arial" w:cs="arial"/>
          <w:color w:val="000000"/>
          <w:sz w:val="20"/>
          <w:u w:val="single"/>
          <w:lang w:val="en-US" w:eastAsia="en-US" w:bidi="ar-SA"/>
        </w:rPr>
        <w:t>whether</w:t>
      </w:r>
      <w:r>
        <w:rPr>
          <w:rFonts w:ascii="arial" w:eastAsia="arial" w:hAnsi="arial" w:cs="arial"/>
          <w:color w:val="000000"/>
          <w:sz w:val="20"/>
          <w:lang w:val="en-US" w:eastAsia="en-US" w:bidi="ar-SA"/>
        </w:rPr>
        <w:t xml:space="preserve"> they provided labour while in active/extended NSP or while demobilized; </w:t>
      </w:r>
      <w:r>
        <w:rPr>
          <w:rFonts w:ascii="arial" w:eastAsia="arial" w:hAnsi="arial" w:cs="arial"/>
          <w:color w:val="000000"/>
          <w:sz w:val="20"/>
          <w:u w:val="single"/>
          <w:lang w:val="en-US" w:eastAsia="en-US" w:bidi="ar-SA"/>
        </w:rPr>
        <w:t>whether</w:t>
      </w:r>
      <w:r>
        <w:rPr>
          <w:rFonts w:ascii="arial" w:eastAsia="arial" w:hAnsi="arial" w:cs="arial"/>
          <w:color w:val="000000"/>
          <w:sz w:val="20"/>
          <w:lang w:val="en-US" w:eastAsia="en-US" w:bidi="ar-SA"/>
        </w:rPr>
        <w:t xml:space="preserve"> they were tortured or otherwise mistreated at the Bisha Mine and its surrounds; and </w:t>
      </w:r>
      <w:r>
        <w:rPr>
          <w:rFonts w:ascii="arial" w:eastAsia="arial" w:hAnsi="arial" w:cs="arial"/>
          <w:color w:val="000000"/>
          <w:sz w:val="20"/>
          <w:u w:val="single"/>
          <w:lang w:val="en-US" w:eastAsia="en-US" w:bidi="ar-SA"/>
        </w:rPr>
        <w:t>whether</w:t>
      </w:r>
      <w:r>
        <w:rPr>
          <w:rFonts w:ascii="arial" w:eastAsia="arial" w:hAnsi="arial" w:cs="arial"/>
          <w:color w:val="000000"/>
          <w:sz w:val="20"/>
          <w:lang w:val="en-US" w:eastAsia="en-US" w:bidi="ar-SA"/>
        </w:rPr>
        <w:t xml:space="preserve"> they are entitled to damages as claimed and if so, the quantum.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545</w:t>
      </w:r>
      <w:r>
        <w:rPr>
          <w:rFonts w:ascii="arial" w:eastAsia="arial" w:hAnsi="arial" w:cs="arial"/>
          <w:color w:val="000000"/>
          <w:sz w:val="20"/>
          <w:lang w:val="en-US" w:eastAsia="en-US" w:bidi="ar-SA"/>
        </w:rPr>
        <w:t xml:space="preserve">  It is noteworthy that the plaintiffs' position with respect to the second part of the proceeding is predicated on the assumption that the plaintiffs and putative class members </w:t>
      </w:r>
      <w:r>
        <w:rPr>
          <w:rFonts w:ascii="arial" w:eastAsia="arial" w:hAnsi="arial" w:cs="arial"/>
          <w:color w:val="000000"/>
          <w:sz w:val="20"/>
          <w:u w:val="single"/>
          <w:lang w:val="en-US" w:eastAsia="en-US" w:bidi="ar-SA"/>
        </w:rPr>
        <w:t>were</w:t>
      </w:r>
      <w:r>
        <w:rPr>
          <w:rFonts w:ascii="arial" w:eastAsia="arial" w:hAnsi="arial" w:cs="arial"/>
          <w:color w:val="000000"/>
          <w:sz w:val="20"/>
          <w:lang w:val="en-US" w:eastAsia="en-US" w:bidi="ar-SA"/>
        </w:rPr>
        <w:t xml:space="preserve"> at the Bisha 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546</w:t>
      </w:r>
      <w:r>
        <w:rPr>
          <w:rFonts w:ascii="arial" w:eastAsia="arial" w:hAnsi="arial" w:cs="arial"/>
          <w:color w:val="000000"/>
          <w:sz w:val="20"/>
          <w:lang w:val="en-US" w:eastAsia="en-US" w:bidi="ar-SA"/>
        </w:rPr>
        <w:t>  In my view, this is putting the cart before the horse. Nevsun denies that any of the plaintiffs or putative class members were at the Bisha Mine from 2008 to the present. Nevsun's potential liability is dependent on a consideration of this issue and I do not accept that it can form part of the second stage of the proceeding. It is a threshold issue which must be addressed at the outset.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547</w:t>
      </w:r>
      <w:r>
        <w:rPr>
          <w:rFonts w:ascii="arial" w:eastAsia="arial" w:hAnsi="arial" w:cs="arial"/>
          <w:color w:val="000000"/>
          <w:sz w:val="20"/>
          <w:lang w:val="en-US" w:eastAsia="en-US" w:bidi="ar-SA"/>
        </w:rPr>
        <w:t xml:space="preserve">  I am also of the view that while there may be some common issues as outlined by the plaintiffs, the individual circumstances of the plaintiffs and putative class members need to be examined. As Justice Smith stated in </w:t>
      </w:r>
      <w:r>
        <w:rPr>
          <w:rFonts w:ascii="arial" w:eastAsia="arial" w:hAnsi="arial" w:cs="arial"/>
          <w:i/>
          <w:color w:val="000000"/>
          <w:sz w:val="20"/>
          <w:lang w:val="en-US" w:eastAsia="en-US" w:bidi="ar-SA"/>
        </w:rPr>
        <w:t>Thorburn v. British Columbia,</w:t>
      </w:r>
      <w:r>
        <w:rPr>
          <w:rFonts w:ascii="arial" w:eastAsia="arial" w:hAnsi="arial" w:cs="arial"/>
          <w:color w:val="000000"/>
          <w:sz w:val="20"/>
          <w:lang w:val="en-US" w:eastAsia="en-US" w:bidi="ar-SA"/>
        </w:rPr>
        <w:t xml:space="preserve"> </w:t>
      </w:r>
      <w:hyperlink r:id="rId213" w:history="1">
        <w:r>
          <w:rPr>
            <w:rFonts w:ascii="arial" w:eastAsia="arial" w:hAnsi="arial" w:cs="arial"/>
            <w:i/>
            <w:color w:val="0077CC"/>
            <w:sz w:val="20"/>
            <w:u w:val="single"/>
            <w:shd w:val="clear" w:color="auto" w:fill="FFFFFF"/>
            <w:lang w:val="en-US" w:eastAsia="en-US" w:bidi="ar-SA"/>
          </w:rPr>
          <w:t>2013 BCCA 480</w:t>
        </w:r>
      </w:hyperlink>
      <w:r>
        <w:rPr>
          <w:rFonts w:ascii="arial" w:eastAsia="arial" w:hAnsi="arial" w:cs="arial"/>
          <w:color w:val="000000"/>
          <w:sz w:val="20"/>
          <w:lang w:val="en-US" w:eastAsia="en-US" w:bidi="ar-SA"/>
        </w:rPr>
        <w:t xml:space="preserve">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...Accordingly, even if the answers to the "common issues" could be said to clarify the questions they pose, they would not advance the litigation in any meaningful way as they would not avoid the duplication that would be necessary for the individual fact finding and legal analysis of each class member's claim. In other words, a finding of a s. 8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violation as a result of an unreasonable search of one class member will not found a similar finding for another class member as a finding of an unreasonable search is dependent on a multitude of variable circumstances unique to each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also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paras. 39,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548</w:t>
      </w:r>
      <w:r>
        <w:rPr>
          <w:rFonts w:ascii="arial" w:eastAsia="arial" w:hAnsi="arial" w:cs="arial"/>
          <w:color w:val="000000"/>
          <w:sz w:val="20"/>
          <w:lang w:val="en-US" w:eastAsia="en-US" w:bidi="ar-SA"/>
        </w:rPr>
        <w:t xml:space="preserve">  Accordingly, I conclude that the second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requirement is not present in this case.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(c) success for one class member means success for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549</w:t>
      </w:r>
      <w:r>
        <w:rPr>
          <w:rFonts w:ascii="arial" w:eastAsia="arial" w:hAnsi="arial" w:cs="arial"/>
          <w:color w:val="000000"/>
          <w:sz w:val="20"/>
          <w:lang w:val="en-US" w:eastAsia="en-US" w:bidi="ar-SA"/>
        </w:rPr>
        <w:t xml:space="preserve">  Success on the common issues need not lead to liability for each common issue. Success for one class member must mean success for all, or at least not result in failure for the others. All of the members of the class must benefit from the successful prosecution of the action, although not necessarily to the same extent: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550</w:t>
      </w:r>
      <w:r>
        <w:rPr>
          <w:rFonts w:ascii="arial" w:eastAsia="arial" w:hAnsi="arial" w:cs="arial"/>
          <w:color w:val="000000"/>
          <w:sz w:val="20"/>
          <w:lang w:val="en-US" w:eastAsia="en-US" w:bidi="ar-SA"/>
        </w:rPr>
        <w:t>  The plaintiffs' position is that they satisfy this requirement. They say that they and the other putative class members allege that they were forced to provide labour at Nevsun's Bisha Mine. Accordingly, if the plaintiffs are successful in establishing that Nevsun is liable for some or all of the conduct alleged in the plaintiffs' claims, that success will be equally applicable to the claims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551</w:t>
      </w:r>
      <w:r>
        <w:rPr>
          <w:rFonts w:ascii="arial" w:eastAsia="arial" w:hAnsi="arial" w:cs="arial"/>
          <w:color w:val="000000"/>
          <w:sz w:val="20"/>
          <w:lang w:val="en-US" w:eastAsia="en-US" w:bidi="ar-SA"/>
        </w:rPr>
        <w:t>  In response to the limitation defences raised by Nevsun, including that Eritrean law applies, the plaintiffs agree that limitations issues are individual and submit that they are properly resolved in the second part of this case, after the common issues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552</w:t>
      </w:r>
      <w:r>
        <w:rPr>
          <w:rFonts w:ascii="arial" w:eastAsia="arial" w:hAnsi="arial" w:cs="arial"/>
          <w:color w:val="000000"/>
          <w:sz w:val="20"/>
          <w:lang w:val="en-US" w:eastAsia="en-US" w:bidi="ar-SA"/>
        </w:rPr>
        <w:t>  I disagree with the plaintiffs that success for one will mean success or, at a minimum, not lead to failure for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553</w:t>
      </w:r>
      <w:r>
        <w:rPr>
          <w:rFonts w:ascii="arial" w:eastAsia="arial" w:hAnsi="arial" w:cs="arial"/>
          <w:color w:val="000000"/>
          <w:sz w:val="20"/>
          <w:lang w:val="en-US" w:eastAsia="en-US" w:bidi="ar-SA"/>
        </w:rPr>
        <w:t>  One example suffices to make this point. One or more plaintiffs may establish they were at the Bisha Mine, but not others. Those who fail to do so will have their claim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554</w:t>
      </w:r>
      <w:r>
        <w:rPr>
          <w:rFonts w:ascii="arial" w:eastAsia="arial" w:hAnsi="arial" w:cs="arial"/>
          <w:color w:val="000000"/>
          <w:sz w:val="20"/>
          <w:lang w:val="en-US" w:eastAsia="en-US" w:bidi="ar-SA"/>
        </w:rPr>
        <w:t xml:space="preserve">  Furthermore, some of the members of the putative class may have committed certain of the alleged abuses advanced by other members such as the administration of beatings and torture. The potential for inter-class conflict militates against class action proceedings: </w:t>
      </w:r>
      <w:r>
        <w:rPr>
          <w:rFonts w:ascii="arial" w:eastAsia="arial" w:hAnsi="arial" w:cs="arial"/>
          <w:i/>
          <w:color w:val="000000"/>
          <w:sz w:val="20"/>
          <w:lang w:val="en-US" w:eastAsia="en-US" w:bidi="ar-SA"/>
        </w:rPr>
        <w:t>Monaco v. Coquitlam (City),</w:t>
      </w:r>
      <w:r>
        <w:rPr>
          <w:rFonts w:ascii="arial" w:eastAsia="arial" w:hAnsi="arial" w:cs="arial"/>
          <w:color w:val="000000"/>
          <w:sz w:val="20"/>
          <w:lang w:val="en-US" w:eastAsia="en-US" w:bidi="ar-SA"/>
        </w:rPr>
        <w:t xml:space="preserve"> </w:t>
      </w:r>
      <w:hyperlink r:id="rId214" w:history="1">
        <w:r>
          <w:rPr>
            <w:rFonts w:ascii="arial" w:eastAsia="arial" w:hAnsi="arial" w:cs="arial"/>
            <w:i/>
            <w:color w:val="0077CC"/>
            <w:sz w:val="20"/>
            <w:u w:val="single"/>
            <w:shd w:val="clear" w:color="auto" w:fill="FFFFFF"/>
            <w:lang w:val="en-US" w:eastAsia="en-US" w:bidi="ar-SA"/>
          </w:rPr>
          <w:t>2015 BCSC 2421</w:t>
        </w:r>
      </w:hyperlink>
      <w:r>
        <w:rPr>
          <w:rFonts w:ascii="arial" w:eastAsia="arial" w:hAnsi="arial" w:cs="arial"/>
          <w:color w:val="000000"/>
          <w:sz w:val="20"/>
          <w:lang w:val="en-US" w:eastAsia="en-US" w:bidi="ar-SA"/>
        </w:rPr>
        <w:t xml:space="preserve"> at para. 167.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555</w:t>
      </w:r>
      <w:r>
        <w:rPr>
          <w:rFonts w:ascii="arial" w:eastAsia="arial" w:hAnsi="arial" w:cs="arial"/>
          <w:color w:val="000000"/>
          <w:sz w:val="20"/>
          <w:lang w:val="en-US" w:eastAsia="en-US" w:bidi="ar-SA"/>
        </w:rPr>
        <w:t xml:space="preserve">  I conclude that the third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requirement has not been satisfied.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 proposed representative adequately</w:t>
      </w:r>
    </w:p>
    <w:p>
      <w:pPr>
        <w:spacing w:before="120" w:line="260" w:lineRule="atLeast"/>
        <w:jc w:val="center"/>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 represents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556</w:t>
      </w:r>
      <w:r>
        <w:rPr>
          <w:rFonts w:ascii="arial" w:eastAsia="arial" w:hAnsi="arial" w:cs="arial"/>
          <w:color w:val="000000"/>
          <w:sz w:val="20"/>
          <w:lang w:val="en-US" w:eastAsia="en-US" w:bidi="ar-SA"/>
        </w:rPr>
        <w:t>  Nevsun raises several objections regarding whether the plaintiffs adequately represent the class. These include:</w:t>
      </w:r>
      <w:r>
        <w:rPr>
          <w:rFonts w:ascii="arial" w:eastAsia="arial" w:hAnsi="arial" w:cs="arial"/>
          <w:sz w:val="20"/>
          <w:lang w:val="en-US" w:eastAsia="en-US" w:bidi="ar-SA"/>
        </w:rPr>
        <w:cr/>
      </w:r>
    </w:p>
    <w:p>
      <w:pPr>
        <w:numPr>
          <w:numId w:val="4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are no longer in Eritrea. At the time they swore their affidavits, predating the filing of the action, they were living as refugees in Ethiopia and there is no updated evidence about their current circumstances;</w:t>
      </w:r>
    </w:p>
    <w:p>
      <w:pPr>
        <w:numPr>
          <w:numId w:val="4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they continue to be willing to act as representative plaintiffs;</w:t>
      </w:r>
    </w:p>
    <w:p>
      <w:pPr>
        <w:numPr>
          <w:numId w:val="4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language and translation difficulties;</w:t>
      </w:r>
    </w:p>
    <w:p>
      <w:pPr>
        <w:numPr>
          <w:numId w:val="4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little evidence that the experiences or treatment of the named plaintiffs, whether at the Bisha Mine or at the camp, is representative of the class they seek to represent. There is not a single homogenous class; and</w:t>
      </w:r>
    </w:p>
    <w:p>
      <w:pPr>
        <w:numPr>
          <w:numId w:val="4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potential class members are still in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557</w:t>
      </w:r>
      <w:r>
        <w:rPr>
          <w:rFonts w:ascii="arial" w:eastAsia="arial" w:hAnsi="arial" w:cs="arial"/>
          <w:color w:val="000000"/>
          <w:sz w:val="20"/>
          <w:lang w:val="en-US" w:eastAsia="en-US" w:bidi="ar-SA"/>
        </w:rPr>
        <w:t>  The plaintiffs say that they are willing to represent the class. They filed a detailed litigation plan and an amended plan prior to the hearing of the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558</w:t>
      </w:r>
      <w:r>
        <w:rPr>
          <w:rFonts w:ascii="arial" w:eastAsia="arial" w:hAnsi="arial" w:cs="arial"/>
          <w:color w:val="000000"/>
          <w:sz w:val="20"/>
          <w:lang w:val="en-US" w:eastAsia="en-US" w:bidi="ar-SA"/>
        </w:rPr>
        <w:t xml:space="preserve">  In light of my conclusions regarding the other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I do not propose to analyse this requirement in any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559</w:t>
      </w:r>
      <w:r>
        <w:rPr>
          <w:rFonts w:ascii="arial" w:eastAsia="arial" w:hAnsi="arial" w:cs="arial"/>
          <w:color w:val="000000"/>
          <w:sz w:val="20"/>
          <w:lang w:val="en-US" w:eastAsia="en-US" w:bidi="ar-SA"/>
        </w:rPr>
        <w:t>  Suffice it to say that, had the other requirements been satisfied, I would have provided the plaintiffs with the opportunity to update the evidence and further refine their litigation plan to address these concerns raised by Nevsun.</w:t>
      </w:r>
      <w:r>
        <w:rPr>
          <w:rFonts w:ascii="arial" w:eastAsia="arial" w:hAnsi="arial" w:cs="arial"/>
          <w:sz w:val="20"/>
          <w:lang w:val="en-US" w:eastAsia="en-US" w:bidi="ar-SA"/>
        </w:rPr>
        <w:cr/>
      </w:r>
    </w:p>
    <w:p>
      <w:pPr>
        <w:numPr>
          <w:numId w:val="47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countervailing considerations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560</w:t>
      </w:r>
      <w:r>
        <w:rPr>
          <w:rFonts w:ascii="arial" w:eastAsia="arial" w:hAnsi="arial" w:cs="arial"/>
          <w:color w:val="000000"/>
          <w:sz w:val="20"/>
          <w:lang w:val="en-US" w:eastAsia="en-US" w:bidi="ar-SA"/>
        </w:rPr>
        <w:t>  Both Nevsun and the plaintiffs raise countervailing considerations which they assert advance their respective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561</w:t>
      </w:r>
      <w:r>
        <w:rPr>
          <w:rFonts w:ascii="arial" w:eastAsia="arial" w:hAnsi="arial" w:cs="arial"/>
          <w:color w:val="000000"/>
          <w:sz w:val="20"/>
          <w:lang w:val="en-US" w:eastAsia="en-US" w:bidi="ar-SA"/>
        </w:rPr>
        <w:t>  For Nevsun, this includes the important differences between the class members' factual and legal positions and different defences that may be available to it with respect to the claims of different groups of plaintiffs. It also points to the lack of evidence regarding the potential class size.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562</w:t>
      </w:r>
      <w:r>
        <w:rPr>
          <w:rFonts w:ascii="arial" w:eastAsia="arial" w:hAnsi="arial" w:cs="arial"/>
          <w:color w:val="000000"/>
          <w:sz w:val="20"/>
          <w:lang w:val="en-US" w:eastAsia="en-US" w:bidi="ar-SA"/>
        </w:rPr>
        <w:t>  Nevsun also refers to the submissions of plaintiffs' counsel claiming that, as a matter of "fairness" and "efficiency", the court should allow the claim to proceed as a representative action for the time being and to reassess the situation in a year. It says that conferring significant benefits to the plaintiffs at this stage, at its expense and that of judicial economy, is inconsistent with these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563</w:t>
      </w:r>
      <w:r>
        <w:rPr>
          <w:rFonts w:ascii="arial" w:eastAsia="arial" w:hAnsi="arial" w:cs="arial"/>
          <w:color w:val="000000"/>
          <w:sz w:val="20"/>
          <w:lang w:val="en-US" w:eastAsia="en-US" w:bidi="ar-SA"/>
        </w:rPr>
        <w:t>  The plaintiffs point to the efforts made to date to identify the class size and to the evidence from Biniam Solomon regarding contacting Eritreans both in Eritrea and internationally.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564</w:t>
      </w:r>
      <w:r>
        <w:rPr>
          <w:rFonts w:ascii="arial" w:eastAsia="arial" w:hAnsi="arial" w:cs="arial"/>
          <w:color w:val="000000"/>
          <w:sz w:val="20"/>
          <w:lang w:val="en-US" w:eastAsia="en-US" w:bidi="ar-SA"/>
        </w:rPr>
        <w:t>  The plaintiffs say that their inquiries to determine the class size continue. This includes utilizing the services of Radio Erena that, according to Mr. Biniam Solomon, has the capacity to broadcast to a global audience including Eritrea.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565</w:t>
      </w:r>
      <w:r>
        <w:rPr>
          <w:rFonts w:ascii="arial" w:eastAsia="arial" w:hAnsi="arial" w:cs="arial"/>
          <w:color w:val="000000"/>
          <w:sz w:val="20"/>
          <w:lang w:val="en-US" w:eastAsia="en-US" w:bidi="ar-SA"/>
        </w:rPr>
        <w:t>  According to Abadi Alemayo's affidavit sworn in June 2014, he was an environment and safety officer at the Bisha Mine from August 2008 to October 2010. He describes what he termed "a large number of conscripts at Bisha" composed of three different groups being "Segen" "Mereb" and "74".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566</w:t>
      </w:r>
      <w:r>
        <w:rPr>
          <w:rFonts w:ascii="arial" w:eastAsia="arial" w:hAnsi="arial" w:cs="arial"/>
          <w:color w:val="000000"/>
          <w:sz w:val="20"/>
          <w:lang w:val="en-US" w:eastAsia="en-US" w:bidi="ar-SA"/>
        </w:rPr>
        <w:t>  During the hearing of these applications, counsel for the plaintiffs advised the Court that contact had been made with approximately 50 people who identified themselves as NSP conscripts. This did not necessarily mean that they would opt in, to the representative action. Counsel advised that between 50 and 200 individuals may opt in but also acknowledged that the number could be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567</w:t>
      </w:r>
      <w:r>
        <w:rPr>
          <w:rFonts w:ascii="arial" w:eastAsia="arial" w:hAnsi="arial" w:cs="arial"/>
          <w:color w:val="000000"/>
          <w:sz w:val="20"/>
          <w:lang w:val="en-US" w:eastAsia="en-US" w:bidi="ar-SA"/>
        </w:rPr>
        <w:t xml:space="preserve">  In light of my conclusions regarding the principal </w:t>
      </w:r>
      <w:r>
        <w:rPr>
          <w:rFonts w:ascii="arial" w:eastAsia="arial" w:hAnsi="arial" w:cs="arial"/>
          <w:i/>
          <w:color w:val="000000"/>
          <w:sz w:val="20"/>
          <w:lang w:val="en-US" w:eastAsia="en-US" w:bidi="ar-SA"/>
        </w:rPr>
        <w:t>Dutton</w:t>
      </w:r>
      <w:r>
        <w:rPr>
          <w:rFonts w:ascii="arial" w:eastAsia="arial" w:hAnsi="arial" w:cs="arial"/>
          <w:color w:val="000000"/>
          <w:sz w:val="20"/>
          <w:lang w:val="en-US" w:eastAsia="en-US" w:bidi="ar-SA"/>
        </w:rPr>
        <w:t xml:space="preserve"> criteria, I would add that there are countervailing factors favouring the arguments of both the plaintiffs and Nevsun. Had I found that all the other criteria had been met, I would not have granted the application due to uncertain evidence regarding class size and communication with Eritreans both inside and outside that country. Those are issues that could have been addressed through case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568</w:t>
      </w:r>
      <w:r>
        <w:rPr>
          <w:rFonts w:ascii="arial" w:eastAsia="arial" w:hAnsi="arial" w:cs="arial"/>
          <w:color w:val="000000"/>
          <w:sz w:val="20"/>
          <w:lang w:val="en-US" w:eastAsia="en-US" w:bidi="ar-SA"/>
        </w:rPr>
        <w:t>  There are, however, significant advantages to having putative plaintiffs commence their own action as opposed to "opting in" to this representative action:</w:t>
      </w:r>
      <w:r>
        <w:rPr>
          <w:rFonts w:ascii="arial" w:eastAsia="arial" w:hAnsi="arial" w:cs="arial"/>
          <w:sz w:val="20"/>
          <w:lang w:val="en-US" w:eastAsia="en-US" w:bidi="ar-SA"/>
        </w:rPr>
        <w:cr/>
      </w:r>
    </w:p>
    <w:p>
      <w:pPr>
        <w:numPr>
          <w:numId w:val="4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will all be parties of record, such that Nevsun is entitled to discovery as of right. They could also be liable for costs;</w:t>
      </w:r>
    </w:p>
    <w:p>
      <w:pPr>
        <w:numPr>
          <w:numId w:val="4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proceeding, or any of the individual claims, can be settled at any time since Nevsun will know who the plaintiffs are and can deal with their individual claims directly. This is in comparison to an opt-in representative proceeding where the parties could not settle until the opt-in period has lapsed;</w:t>
      </w:r>
    </w:p>
    <w:p>
      <w:pPr>
        <w:numPr>
          <w:numId w:val="4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will know if and when the limitation periods have lapsed based on the date the plaintiffs' claims arose and that claim being filed, subject to determination of the applicable choice of law. This issue can be dealt with separately through case management;</w:t>
      </w:r>
    </w:p>
    <w:p>
      <w:pPr>
        <w:numPr>
          <w:numId w:val="4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will know who is bound by the action;</w:t>
      </w:r>
    </w:p>
    <w:p>
      <w:pPr>
        <w:numPr>
          <w:numId w:val="4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does not need to supervise notice and any opt-in or subsequent opt-out process, as it would be required to do in a representative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569</w:t>
      </w:r>
      <w:r>
        <w:rPr>
          <w:rFonts w:ascii="arial" w:eastAsia="arial" w:hAnsi="arial" w:cs="arial"/>
          <w:color w:val="000000"/>
          <w:sz w:val="20"/>
          <w:lang w:val="en-US" w:eastAsia="en-US" w:bidi="ar-SA"/>
        </w:rPr>
        <w:t>  In my view these factors militate against a representative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570</w:t>
      </w:r>
      <w:r>
        <w:rPr>
          <w:rFonts w:ascii="arial" w:eastAsia="arial" w:hAnsi="arial" w:cs="arial"/>
          <w:color w:val="000000"/>
          <w:sz w:val="20"/>
          <w:lang w:val="en-US" w:eastAsia="en-US" w:bidi="ar-SA"/>
        </w:rPr>
        <w:t>  The Representative Action Application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36"/>
        <w:gridCol w:w="7215"/>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06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Going Forward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571</w:t>
      </w:r>
      <w:r>
        <w:rPr>
          <w:rFonts w:ascii="arial" w:eastAsia="arial" w:hAnsi="arial" w:cs="arial"/>
          <w:color w:val="000000"/>
          <w:sz w:val="20"/>
          <w:lang w:val="en-US" w:eastAsia="en-US" w:bidi="ar-SA"/>
        </w:rPr>
        <w:t>  While I recognize that the issues raised in this proceeding are complex and will require extensive trial management, rather than "opting in" to this representative proceeding, the putative class members will have to commence separate actions. In the usual course, that would lead to joinder with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572</w:t>
      </w:r>
      <w:r>
        <w:rPr>
          <w:rFonts w:ascii="arial" w:eastAsia="arial" w:hAnsi="arial" w:cs="arial"/>
          <w:color w:val="000000"/>
          <w:sz w:val="20"/>
          <w:lang w:val="en-US" w:eastAsia="en-US" w:bidi="ar-SA"/>
        </w:rPr>
        <w:t>  Certain factors favour this process and I have identified them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573</w:t>
      </w:r>
      <w:r>
        <w:rPr>
          <w:rFonts w:ascii="arial" w:eastAsia="arial" w:hAnsi="arial" w:cs="arial"/>
          <w:color w:val="000000"/>
          <w:sz w:val="20"/>
          <w:lang w:val="en-US" w:eastAsia="en-US" w:bidi="ar-SA"/>
        </w:rPr>
        <w:t>  The court's broad powers to provide fairness to all the parties have previously been used to manage actions involving many plaintiffs or multiple actions in a coordinated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574</w:t>
      </w:r>
      <w:r>
        <w:rPr>
          <w:rFonts w:ascii="arial" w:eastAsia="arial" w:hAnsi="arial" w:cs="arial"/>
          <w:color w:val="000000"/>
          <w:sz w:val="20"/>
          <w:lang w:val="en-US" w:eastAsia="en-US" w:bidi="ar-SA"/>
        </w:rPr>
        <w:t>  Not surprisingly, I have been advised by counsel that due to the issues arising on these preliminary applications, appellate review will likely occur. Should that be the case, this will provide further time for the plaintiffs to continue in their efforts to identify additional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9"/>
        <w:gridCol w:w="826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VIX:</w:t>
            </w:r>
          </w:p>
        </w:tc>
        <w:tc>
          <w:tcPr>
            <w:tcW w:w="809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CONCLUSIONS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575</w:t>
      </w:r>
      <w:r>
        <w:rPr>
          <w:rFonts w:ascii="arial" w:eastAsia="arial" w:hAnsi="arial" w:cs="arial"/>
          <w:color w:val="000000"/>
          <w:sz w:val="20"/>
          <w:lang w:val="en-US" w:eastAsia="en-US" w:bidi="ar-SA"/>
        </w:rPr>
        <w:t>  The preliminary applications are disposed of as follows:</w:t>
      </w:r>
      <w:r>
        <w:rPr>
          <w:rFonts w:ascii="arial" w:eastAsia="arial" w:hAnsi="arial" w:cs="arial"/>
          <w:sz w:val="20"/>
          <w:lang w:val="en-US" w:eastAsia="en-US" w:bidi="ar-SA"/>
        </w:rPr>
        <w:cr/>
      </w:r>
    </w:p>
    <w:p>
      <w:pPr>
        <w:numPr>
          <w:numId w:val="4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Application is granted in part;</w:t>
      </w:r>
    </w:p>
    <w:p>
      <w:pPr>
        <w:numPr>
          <w:numId w:val="4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Forum, Act of State and Customary International Law Applications are dismissed;</w:t>
      </w:r>
    </w:p>
    <w:p>
      <w:pPr>
        <w:numPr>
          <w:numId w:val="4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Action Application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576</w:t>
      </w:r>
      <w:r>
        <w:rPr>
          <w:rFonts w:ascii="arial" w:eastAsia="arial" w:hAnsi="arial" w:cs="arial"/>
          <w:color w:val="000000"/>
          <w:sz w:val="20"/>
          <w:lang w:val="en-US" w:eastAsia="en-US" w:bidi="ar-SA"/>
        </w:rPr>
        <w:t>  In light of the divided success on these applications, costs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577</w:t>
      </w:r>
      <w:r>
        <w:rPr>
          <w:rFonts w:ascii="arial" w:eastAsia="arial" w:hAnsi="arial" w:cs="arial"/>
          <w:color w:val="000000"/>
          <w:sz w:val="20"/>
          <w:lang w:val="en-US" w:eastAsia="en-US" w:bidi="ar-SA"/>
        </w:rPr>
        <w:t>  I direct that a further judicial case management conference occur within 60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578</w:t>
      </w:r>
      <w:r>
        <w:rPr>
          <w:rFonts w:ascii="arial" w:eastAsia="arial" w:hAnsi="arial" w:cs="arial"/>
          <w:color w:val="000000"/>
          <w:sz w:val="20"/>
          <w:lang w:val="en-US" w:eastAsia="en-US" w:bidi="ar-SA"/>
        </w:rPr>
        <w:t>  I have referred in these reasons for judgment to the cooperation between the parties and counsel as to the manner in which these most complicated issues have been presented and argued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579</w:t>
      </w:r>
      <w:r>
        <w:rPr>
          <w:rFonts w:ascii="arial" w:eastAsia="arial" w:hAnsi="arial" w:cs="arial"/>
          <w:color w:val="000000"/>
          <w:sz w:val="20"/>
          <w:lang w:val="en-US" w:eastAsia="en-US" w:bidi="ar-SA"/>
        </w:rPr>
        <w:t>  I wish to add that I am grateful to all counsel for the most thorough written and oral submissions made by them on these applications. The parties filed extensive written submissions for each application together with voluminous briefs of authorities. I have not addressed every point argued or referred to every case, but I have reviewed all of the authorities on which each party has principally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 ABRIOUX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January 9,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This is a corrigendum to my Reasons for Judgment dated October 6, 2016 (2016 BCSC 1856). Paragraph 93 reads: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[93]</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Isaias Tesfalidet is a lawyer who swore an affidavit on the plaintiffs' behalf. He was formerly assigned to the Office of the Legal Advisor to the Office of the President of the State of Eritrea. He states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4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 of the President allows parties to by-pass a court by applying to have the Office of the President issue a decision on a dispute that falls within court jurisdiction;</w:t>
      </w:r>
    </w:p>
    <w:p>
      <w:pPr>
        <w:numPr>
          <w:numId w:val="4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 of the President may then refer the cases to the Special Court, or decide upon the dispute;</w:t>
      </w:r>
    </w:p>
    <w:p>
      <w:pPr>
        <w:numPr>
          <w:numId w:val="4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procedures for appealing decisions of the Office of the President;</w:t>
      </w:r>
    </w:p>
    <w:p>
      <w:pPr>
        <w:numPr>
          <w:numId w:val="4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he was a conscript, he was assigned to be a regional judge, without choice nor freedom of movement; and</w:t>
      </w:r>
    </w:p>
    <w:p>
      <w:pPr>
        <w:numPr>
          <w:numId w:val="4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deputy of a high-ranking local government official interrupted his courtroom after he had issued an order against the local administration. He asked the official to leave and was then transferred to a remote court where his accommodations had no bathroom and no 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 Subparagraphs (d) and (e) are not the statements of Isaias Tesfalidet. They are those of another former judge, Tsegazghi Tesfaldet and are contained in his affidavit sworn October 12,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 As a result, paragraph 93 should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[93] Isaias Tesfalidet is a lawyer who swore an affidavit on the plaintiffs' behalf. He was formerly assigned to the Office of the Legal Advisor to the Office of the President of the State of Eritrea. He states that:</w:t>
      </w:r>
    </w:p>
    <w:p>
      <w:pPr>
        <w:numPr>
          <w:numId w:val="4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 of the President allows parties to by-pass a court by applying to have the Office of the President issue a decision on</w:t>
      </w:r>
    </w:p>
    <w:p>
      <w:pPr>
        <w:numPr>
          <w:numId w:val="4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Office of the President may then refer the cases to the Special Court, or decide upon the dispute;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(c)there are no procedures for appealing decisions of the Office of the President.</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1" style="position:absolute;z-index:2518640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15"/>
          <w:headerReference w:type="default" r:id="rId216"/>
          <w:footerReference w:type="even" r:id="rId217"/>
          <w:footerReference w:type="default" r:id="rId218"/>
          <w:headerReference w:type="first" r:id="rId219"/>
          <w:footerReference w:type="first" r:id="rId22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21" w:history="1">
        <w:r>
          <w:rPr>
            <w:rFonts w:ascii="arial" w:eastAsia="arial" w:hAnsi="arial" w:cs="arial"/>
            <w:b/>
            <w:bCs/>
            <w:i/>
            <w:color w:val="0077CC"/>
            <w:kern w:val="32"/>
            <w:sz w:val="28"/>
            <w:szCs w:val="32"/>
            <w:u w:val="single"/>
            <w:shd w:val="clear" w:color="auto" w:fill="FFFFFF"/>
            <w:lang w:val="en-US" w:eastAsia="en-US" w:bidi="ar-SA"/>
          </w:rPr>
          <w:t>Brown v. Raffan, [2013] B.C.J. No. 128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F.E. Verhoeven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January 28,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M133035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128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22" w:history="1">
        <w:r>
          <w:rPr>
            <w:rFonts w:ascii="arial" w:eastAsia="arial" w:hAnsi="arial" w:cs="arial"/>
            <w:i/>
            <w:color w:val="0077CC"/>
            <w:sz w:val="20"/>
            <w:u w:val="single"/>
            <w:shd w:val="clear" w:color="auto" w:fill="FFFFFF"/>
            <w:lang w:val="en-US" w:eastAsia="en-US" w:bidi="ar-SA"/>
          </w:rPr>
          <w:t>2013 BCSC 114</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Terri Lea Brown, Plaintiff, and James Leonard Raffan and Matcon Excavation and Shoring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(166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2" style="position:absolute;z-index:251663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 w:name="Keywords_4"/>
      <w:bookmarkEnd w:id="30"/>
      <w:r>
        <w:rPr>
          <w:rFonts w:ascii="arial" w:eastAsia="arial" w:hAnsi="arial" w:cs="arial"/>
          <w:b/>
          <w:color w:val="000000"/>
          <w:sz w:val="20"/>
          <w:lang w:val="en-US" w:eastAsia="en-US" w:bidi="ar-SA"/>
        </w:rPr>
        <w:t>Damages — Physical and psychological injuries — Physical injuries — Body injuries — Back and spine — Soft tissue — Head injuries — Eyes — Teeth — Concussion — Leg injuries — Knee — Considerations impacting on award — Pre-existing injury — Mitigation — Credibility — Action by motorist for damages for injuries sustained in motor vehicle accident allowed in part — Defendant struck plaintiff's vehicle as he attempted to pass other vehicles — Plaintiff, who was frail with chronic conditions, suffered contusions, lacerations, soft tissue injuries to face, spine, shoulder and knees, broken dental plate and concussion and suffered significant consequences for two years post-accident — Plaintiff had not failed to mitigate damages — Plaintiff entitled to non-pecuniary damages of $35,000 — Plaintiff had not established past loss of earnings, loss of future earning capacity, loss of housekeeping capacity, future care costs 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Non-pecuniary loss — Action by motorist for damages for injuries sustained in motor vehicle accident allowed in part — Defendant struck plaintiff's vehicle as he attempted to pass other vehicles — Plaintiff, who was frail with chronic conditions, suffered contusions, lacerations, soft tissue injuries to face, spine, shoulder and knees, broken dental plate and concussion and suffered significant consequences for two years post-accident — Plaintiff had not failed to mitigate damages — Plaintiff entitled to non-pecuniary damages of $35,000 — Plaintiff had not established past loss of earnings, loss of future earning capacity, loss of housekeeping capacity, future care costs 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1" w:name="Case Summary_4"/>
            <w:bookmarkEnd w:id="3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motorist for damages for injuries sustained in a motor vehicle accident. While driving a friend's minivan, the plaintiff was struck by the defendant as he attempted to pass other vehicles. The plaintiff struck her head and her knee on the interior of the vehicle and sustained a wrenching injury to her right shoulder and lacerations and bruising. X-rays of her skull, knee and spine were considered normal. She was diagnosed with a possible whiplash injury to the cervical spine, possible moderate concussion, acute stress disorder, a knee impact injury, stain and contusion, right should strain and a right eye contusion. She was advised to start physiotherapy and counselling, to use pain medication and to take time off work. However, she did not undertake any physiotherapy or counselling as she alleged she could not afford to do so. At the time of the accident, the plaintiff was 44 years of age. As a child, she was the victim of an abusive brother, suffering numerous injuries. She began working at the age of 13 and left home just before her 17th birthday. She married at the age of 18 and had one child, now an adult. Shortly before the accident, she separated from her husband. Between 1991 and 2002, the plaintiff and her husband operated a small engine repair business. From 2006 to 2008, she worked in a corner store and worked with her husband at a flea market. At the time of the accident she was working as an independent contractor for a charitable foundation making deliveries. She enjoyed horseback riding, reading and walking. She had been staying with a friend since before the accident and claimed to have done the bulk of the domestic chores. The plaintiff alleged that she was relatively healthy prior to the accident. However, she had previously been diagnosed with severe scoliosis, was missing a lung and suffered from chronic obstructive pulmonary disease and a thyroid condition. Following the accident, the plaintiff shared the household chores equally with her friend. She had given away her horse, was only able to walk short distances and had difficulty reading. She had tried to return to work, but was unable to do the lifting or driving required. The plaintiff claimed that she was permanently partially disabled as a result of the injuries she sustained in the accident. She claimed damages for non-pecuniary loss, past loss of earnings and earning capacity, loss of future earning capacity, cost of future care and special damages. The defendants admitted liability, but disputed the extent of the plaintiff's damages. In addition, they argued that the plaintiff had failed to mitigate her injuries and losses.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 w:name="Holdings of Court_3"/>
            <w:bookmarkEnd w:id="32"/>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not credible and had not provided reliable evidence to substantiate her claims. However, it was clear that the plaintiff was involved in a significant motor vehicle accident in which she suffered significant acute injuries including contusions, lacerations and soft tissue injuries to her face, spine, shoulder and knees, a broken dental plate and a concussion. Given the frailty of the plaintiff, her recovery was prolonged. The plaintiff's injuries prevented her from being able to work or to function normally in domestic or leisure activities for a period of two years following the accident. In addition, the plaintiff continued to suffer some ongoing consequences of the accident such as scarring headaches, anxiety and occasional pain. The plaintiff had not failed to mitigate her damages by failing to undergo physiotherapy she could not afford. The plaintiff was entitled to non-pecuniary damages of $35,000. As there was no evidence of the plaintiff's pre-accident earnings, that her work was available to her post-accident had she been able to perform it or that she had looked for alternative work, the plaintiff had not established a compensable past loss of earnings capacity. In addition, there was no basis for an award of lost earning capacity or loss of housekeeping capacity as the plaintiff had not established a significant ongoing disability resulting from the accident injuries. In addition, the plaintiff had not established the need for future care or the cost of such services, and she had not established her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3" w:name="Legislation Cited_1"/>
      <w:bookmarkEnd w:id="3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3" style="position:absolute;z-index:2517145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 Rule 11-2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4" w:name="Counsel_4"/>
      <w:bookmarkEnd w:id="3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4" style="position:absolute;z-index:2517657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 Cedrone, W.R. Fowle.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 Cordick.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5" w:name="Judgment_4"/>
      <w:bookmarkEnd w:id="35"/>
      <w:r>
        <w:pict>
          <v:line id="_x0000_s1055" style="position:absolute;z-index:2518169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1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6" w:name="F.E. VERHOEVEN J."/>
            <w:bookmarkEnd w:id="36"/>
            <w:r>
              <w:rPr>
                <w:rFonts w:ascii="arial" w:eastAsia="arial" w:hAnsi="arial" w:cs="arial"/>
                <w:b/>
                <w:color w:val="000000"/>
                <w:sz w:val="30"/>
                <w:lang w:val="en-US" w:eastAsia="en-US" w:bidi="ar-SA"/>
              </w:rPr>
              <w:t>F.E. VERHOEVEN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Terri Brown, was injured in a motor vehicle accident that occurred in Maple Ridge, B.C. on March 9, 2009. Liability has been admitted by the defendants. This action concerns Ms. Brown's claim for damages arising out of her injuries sustained in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Brown claims damages for non-pecuniary loss, past loss of earnings and earnings capacity, loss of future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Specifically, the plaintiff claims damages as follows:</w:t>
      </w:r>
      <w:r>
        <w:rPr>
          <w:rFonts w:ascii="arial" w:eastAsia="arial" w:hAnsi="arial" w:cs="arial"/>
          <w:sz w:val="20"/>
          <w:lang w:val="en-US" w:eastAsia="en-US" w:bidi="ar-SA"/>
        </w:rPr>
        <w:cr/>
      </w:r>
    </w:p>
    <w:p>
      <w:pPr>
        <w:numPr>
          <w:numId w:val="4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$65,000 - $80,000 or higher;</w:t>
      </w:r>
    </w:p>
    <w:p>
      <w:pPr>
        <w:numPr>
          <w:numId w:val="4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loss of earning capacity - $52,500;</w:t>
      </w:r>
    </w:p>
    <w:p>
      <w:pPr>
        <w:numPr>
          <w:numId w:val="4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 $67,500;</w:t>
      </w:r>
    </w:p>
    <w:p>
      <w:pPr>
        <w:numPr>
          <w:numId w:val="4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 $25,000 - $30,000;</w:t>
      </w:r>
    </w:p>
    <w:p>
      <w:pPr>
        <w:numPr>
          <w:numId w:val="4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$20,000; and</w:t>
      </w:r>
    </w:p>
    <w:p>
      <w:pPr>
        <w:numPr>
          <w:numId w:val="4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position of the defendants is that the plaintiff should be awarded non-pecuniary damages in the range of $10,000 - $20,000, and that no other damages have been established by the plaintiff. The defendants also submit that the plaintiff has failed to mitigate her injuries and losses. The defendants submit that the plaintiff's award for non-pecuniary damages and for loss of future earnings capacity, if any such any award is made, should be reduced for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Brown was 44 years of age when the accident occurred on March 9, 2009. Presently she is 48 years of 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She grew up in Fort St. John, B.C. As a child she was the victim of an abusive older brother. Her brother shot her in the neck when she was four years of age, resulting in the loss of a lung, and a delay in school entry. She began school at age 7. On another occasion her brother pushed her causing her to hit her head on a dresser, resulting in permanent scars to her forehead. Her brother was also responsible for injury to her right eye, which she hit on a fish tank, resulting in permanent scarring.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started working at age 13 as a waitress at a truck stop, for minimum wage and tips. She left home just before her 17th birthday, in order to escape the abusive circumstances involving her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She married at age 18 and was pregnant at the same age. She has one daughter, who is now an adult and has two young children. Ms. Brown's daughter and grandchildren reside in Mission, as does Ms.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When the accident occurred Ms. Brown was recently separated from her husband. She left her husband in December 2008, three months prior to the accident, because, she says, her husband was abusive towards her. She testified that the abuse was mainly verbal, although on three occasions the abuse was physical. On the final occasion of physical abuse she left the matrimonial home on Cedar Street in Mission. She moved into a rented basement suite in 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Brown provided little detail as to her employment history in her testimony. She testified that from 1991 to the end of 2002 she and her husband operated a business in small engine repairs and equipment rentals. No detail was provided as to what happened with the business. In 2006, 2007 and up to July 15, 2008, she worked at a corner store, The Ware Food Market. She also worked with her husband at the Abbotsford flea market on Sundays. The store work paid slightly above minimum wage, at $11.75 or $12 per hour. She gave no evidence and provided no records relating to her pre-accident earnings at the flea market. There are also no employment records relating to her work at the food market, other than her tax returns from the years 2006 through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Several months prior to the accident, on June 4, 2008, she was seen and treated at her family doctor's clinic as a result of her former husband kicking her in the back (posterior rib cage)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 few weeks later, on July 15, 2008, she quit the job at the food market. In her testimony she provided no specific reason for quitting that job. She simply said that she needed time to think about where her life was 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After leaving her husband in December 2008, she resided in a rented basement suite. One month prior to the accident she was forced to leave her rented basement suite, for some reason that is not clear on the evidence. She sought shelter in the home of Mr. Alf Racz, a friend that she knew from the flea market. Mr. Racz took her in, initially pursuant to an arrangement calling for her to pay $300 per month rent. She was driving Mr. Racz's vehicle when the accident occurred. The plaintiff testified that she was not able to pay rent to Mr. Racz due to the accident injuries. She continues to reside with Mr. Racz currently, although she has not paid rent since the very first month that she resided in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She testified that at the time of the accident she was working an as independent contractor for the Opportunities for the Disabled Foundation ("OFTDF"). She testified that she obtained this work two and a half months prior to the motor vehicle accident, or in other words in or about December 2008. She testified that she was responsible for picking up cases of chocolate bars from a warehouse and distributing them to various retail locations.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contends that the accident injuries have prevented her from returning to work at OFTDF, or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disputes that the plaintiff has established that she was employed at OFTDF, noting that despite several requests by ICBC, the plaintiff never produced any records confirming this employment or the income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Brown testified that she was generally healthy and vigorous prior to the accident. However, she had been previously diagnosed with severe scoliosis (curvature of the spine). She was missing one lung. She also has Chronic Obstructive Pulmonary Disease (COPD). COPD involves restriction of the airways of the lungs. Her General Practitioner, Dr. Morgan Campbell, testified that COPD is a progressive disease usually associated with cigarette smoking. Ms. Brown continues to smoke but she testified that she is trying to quit and is now down to five cigarettes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Prior to the accident she regularly took medication for her COPD and for a low thyroid condition caused by her neck injury as a child.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March 9, 2009 Ms. Brown was driving a 1992 Ford Aerostar minivan northbound on Wilson Road in Maple Ridge. As noted, the minivan was owned by Alf Racz, who was a passenger in the vehicle at the time of the collision. The defendant James Raffan's vehicle, a pickup truck, was attempting to pass southbound vehicles. There was insufficient room and Mr. Raffan's vehicle collided with the northbound vehicle operated by the plaintiff. The left front area of the defendant's vehicle hit the left front of the minivan driven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photographs of the Ford Aerostar driven by the plaintiff show substantial front end damage. The driver's door needed to be removed in order to extricate the plaintiff from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She was taken to Mission Memorial Hospital for treatment and discharged after about two and a half hours. X-rays taken at the hospital of her skull, left knee, and cervical spine were all considered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Brown testified that she hit her head and her knees on the interior of the vehicle, and that she sustained a wrenching injury to her right shoulder. She testified that she sustained severe lacerations in the area of her right eyebrow, and a bump on her head. There was some bleeding.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her testimony the plaintiff said she was not too sure if she lost consciousness at the scene. As noted by Dr. Campbell in his report, the hospital records indicate no loss of consciousness at the scene. On the evidence, then, I find that the plaintiff did not lose consciousness as a result of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Post-Accident Condition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contends that she is permanently partially disabled as a result of the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testified that prior to the accident she was capable of working 10 hours per day, seven days per week at The Ware Food Store, as well as working at the flea market on Sundays. With respect to OFTDF, she testified that she could lift the boxes of chocolate bars weighing 20 to 25 lbs each, and she could load 25 boxes of chocolate bars into her vehicle for distribution to the retail sites required for her OFTDF work. She testified that she did the bulk of the domestic chores during her marriage, including laundry, cleaning, yard work and cooking.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says that, post-accident, she and Mr. Racz share the domestic duties more or less equally. However, neither of them are well, and the work gets done by "whoever has the energy." In general, she says, "not much gets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testified that prior to the accident she enjoyed horseback riding, reading, walking, and driving. Since the accident she testified that she has given away her horse, is able to walk only a limited distance, drives only when necessary, and has difficulty reading due to blurring in her eye. She says that her relationship with her grandchildren has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She saw both Dr. Campbell and ICBC on March 11, two days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When she saw ICBC she said that she had a black right eye, a cut on her right eyebrow, swelling on the right side of her forehead, a bump on the back left side of her head, bruises to her hips and her left thigh, a large cut on her left knee, and that both knees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According to Dr. Campbell's medical-legal report, on her first visit post-accident on March 11, 2009, he observed extensive bruising in the area of her right eye, and a hematoma on the right frontal forehead. He noted complaints of pain in the cervical spine, with muscle spasm and rigidity, left occipital swelling, and complaints of bilateral shoulder pain, with severe pain in the right shoulder on movement. However her left shoulder was normal. He noted a large bruise on the left forearm, a large bruise on the left knee, swelling of the knee, and pain in the left knee on movement. The right knee was stable with no findings on examination. She had diminished range of motion in the lower back. There were no peripheral neurological complaints. He found no neurological signs or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Dr. Campbell diagnosed: possible whiplash injury of the cervical spine; possible moderate concussion; acute stress disorder; left knee impact injury, strain and contusion; right shoulder strain (possible rotator cuff tear); and a right eye peri-orbital contusion. Ms. Brown was advised to begin gentle physiotherapy and, if possible, seek psychological debriefing therapy. She was advised to use analgesic medication and to take time off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At trial, Ms. Brown testified as to the following injuries caused by the accident:</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Severe lacerations on the right eyebrow;</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Bump on head;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wrenched forward;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knees - lacerations and swelling;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Bleeding (unspecific, but I believe she was referring to bleeding in the area of her knees, where she sustained lacerations);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Upper teeth pain, and breakage of her dental plate, which was not replaced for 1 1/2 years post 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Weight loss, and loss of muscle mass and strength. (She testified that her weight pre-accident was in the range of 115 to 118 lbs, and that post-accident her weight at the lowest was 89 lbs, but has now recovered to about 116 lbs.)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difficulties breathing that she had pre-accident;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Scarring on the right elbow;</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Scarring on both knees;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Numbness in the area around the right eyebrow;</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Injury to right shoulder; and</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Difficulty sleeping, depression, fear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At trial, Ms. Brown testified that her complaints are as follows:</w:t>
      </w:r>
      <w:r>
        <w:rPr>
          <w:rFonts w:ascii="arial" w:eastAsia="arial" w:hAnsi="arial" w:cs="arial"/>
          <w:sz w:val="20"/>
          <w:lang w:val="en-US" w:eastAsia="en-US" w:bidi="ar-SA"/>
        </w:rPr>
        <w:cr/>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Frequent headaches, ranging from mild to severe, on the right side of the head in the area of the eye;</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blurry vision, causing her to blink frequently when reading or driving;</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Light-headedness;</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Continued anxiety and fear of driving;</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 all but completely healed. Pain is now "a twinge" once in a while;</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knee, much improved, but occasional knee pain; and</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pre-existing breathing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testified that she tried to return to work at OFTDF on "three or four occasions in late May or early June 2009", but she could not do the work. She found that she could not lift the boxes and she was unable to do the driving. However, according to her statements to Dr. Campbell as recorded in his report, her post-accident work was somewhat more extensive than she indicated at trial. According to Dr. Campbell's report, on May 12, 2009 she related that she was trying to get back to work at her previous job three days per week. His report indicates that on July 14, 2009, she related that she was back at work part-time, but finding it difficult due to neck pain, right shoulder pain, fatigue with difficulty concentrating, and periods of confusion. However, Dr. Campbell's clinical note of July 28, 2009 records that she is "not working delivery - work ran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For reasons that are unexplained, the plaintiff produced no verifiable records or other evidence regarding her OFTDF work, either pre or post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 to Ms. Brown, other than her attempts to return to the OFTDF work, the only work that she has done since the accident has been to assist Mr. Racz at the flea market on Sundays. There is no evidence of any other efforts to obtain work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She continues to reside with Mr. Racz. She testified she paid Mr. Racz rent for the first month that she resided with him, only. She was unable to pay any rent after the accident forced her to discontinue her work. She testified that her arrangement with Mr. Racz was that her work at the flea market would be set off against her rent obligation. However, in cross-examination she said that she really did not really "work" at the flea market post accident, she just "helped here and there", for no pay, and in lieu of rent.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Assessment of the 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appears that in many ways the plaintiff has had a hard life and it is difficult not to feel a great deal of sympathy for her. However, my task is to fairly assess the plaintiff's claims, on the evidence, without being inappropriately influenced by feelings of sympathy. The difficulty I have is that much of the evidence relied upon by the plaintiff is not reliable, or is entirely absent.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 case such as this, the credibility of the plaintiff's evidence concerning her injuries and their consequences is obviously central.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Unfortunately, I did not find the plaintiff to be a reliable witness in general. I will refer only to some of the matters that lead me to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 central aspect of her claim is that she was generally healthy and vigorous prior to the accident, as demonstrated, for example, by her capacity to work long hours at the food market, and also at OFTDF. However I cannot accept her evidence in relation to these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With respect to her work at the food market, Ms. Brown testified that she worked there seven days per week,10 hours per day, or in other words 70 hours per week, before quitting the job on July 15, 2008. If true, it would have been easy for her to prove this by documentary records, or failing that, by calling a witness. However, as noted, she produced no pay stubs or other employment records relating to her work at the food store. There was no witness testimony at all concerning her pre accident employment, except to a very limited extent in relation to her weekend work or assistance at the Abbotsford Flea Market. In opening, I was advised that her former husband would be testifying, but he did not testify.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only documentary records relating to the Plaintiff's work at the food store is found in her tax returns for 2006, 2007 and 2008. I accept these documents as reliable evidence of her overall earnings in these years. No documents indicate her rate of pay, but at trial Ms. Brown testified that she earned in the range of $11.75 or $12 per hour at the food store. Her 2006 tax return shows earnings of $18,193.88 at the store. For 2007, her last full year of employment at the store, the tax return shows earnings of $19,337. On the basis of her stated hourly pay, her 2007 earnings would be the equivalent of approximately 1,611 hours for the year, or 32.22 hours per week over the course of 50 weeks, allowing for two weeks of vacation. In 2008 she earned $12,147 prior to July 15. This would suggest that she was working in the range of 36 hours per week. Whether these numbers are precisely accurate or not, I conclude that in testifying that she worked 70 hours per week at the food store, she was exaggerating substantially.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also cannot accept her testimony concerning her earnings and her work at the OFTDF.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As noted, she testified that she started this work two and a half months prior to the motor vehicle accident. She testified that she was a "collector." Her job was to distribute boxes of chocolate bars to retail locations located between White Rock and North Vancouver. Her testimony was vague, but she testified that she did "50 collects in a day, and was paid $2 per box." She testified that she was paid in cash, once per week. As I understand her evidence, she placed counter top boxes for point of sale purchase by customers who could thereby support the work of the foundation.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noted, she testified that she tried to return to work for OFTDF post accident but found that she was unable to cope. I took it that she meant that she quit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Once again, her evidence as to her work at OFTDF could easily have been corroborated by reference to appropriate third party employment documents and records. However, none were adduced in evidence at trial, although the validity of her wage loss claims was clearly going to be in issue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her statement to ICBC on March 11, 2009 Ms. Brown stated that she received base pay of $100 per day at OFTDF and was reimbursed for fuel and other expenses. However, despite repeated requests, Ms. Brown never produced any records supporting her income loss to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During cross-examination she was challenged in relation to her failure to produce such records. Following a lengthy break in her testimony to allow for the evidence of Dr. Campbell to be heard, Ms. Brown produced records that she testified she prepared during the period January through March 2009, for submission to OFTDF, by fax. She was allowed to resume her testimony in chief in relation to the OFTDF documents, and she was then cross-examined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records she produced were prepared by her, and are not verified in any way. She testified that she was paid in cash. There are no records of deposits, as she said she used the cash for expenses. There are no receipts for any expenses. The records she produced provide no details concerning the placements made. There are no records of any kind as to cash receipts, or remittances to OFTDF. I never heard final submissions with respect to admissibility of the records. However, even if they had been admitted into evidence as exhibits, I am not satisfied that the OFTDF records the plaintiff adduced are authentic, and I am not satisfied that they are reliable in any sense. I place no weight on them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plaintiff testified that to the best of her knowledge, her OFTDF income was reported to the CRA; however, the evidence does not support this. Again, after being challenged on cross-examination, the plaintiff produced a form of tax return for 2009 indicating "other income" of $4,676, which is stated on the document to relate to contract work for OFTDF from January to March 9, 2009. The return is unsigned, and there is no indication that it was ever filed. No Notice of Assessment was produced. A letter from the CRA in evidence indicates that the 2009 and 2010 income tax returns were not filed. Once again, I am not satisfied that the so-called tax returns for 2009 and 2010 the plaintiff produced on cross-examination are authentic, and I place no weight on them whatsoever.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failure to prove that the OFTDF income was reported to the CRA fortifies my conclusion that the plaintiff's testimony concerning her OFTDF earnings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also find it difficult to understand why the plaintiff was forced to seek shelter with Mr. Racz in early February 2009 if she was making the kind of income that she testified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the circumstances of this case, the fact that the plaintiff has adduced no documentary or other corroborating evidence concerning her employment with OFTDF or her income in that respect leads me to conclude that her earnings are not as claimed.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In that respect, the following principle as stated by Lord Mansfield in </w:t>
      </w:r>
      <w:r>
        <w:rPr>
          <w:rFonts w:ascii="arial" w:eastAsia="arial" w:hAnsi="arial" w:cs="arial"/>
          <w:i/>
          <w:color w:val="000000"/>
          <w:sz w:val="20"/>
          <w:lang w:val="en-US" w:eastAsia="en-US" w:bidi="ar-SA"/>
        </w:rPr>
        <w:t>Blatch v. Archer</w:t>
      </w:r>
      <w:r>
        <w:rPr>
          <w:rFonts w:ascii="arial" w:eastAsia="arial" w:hAnsi="arial" w:cs="arial"/>
          <w:color w:val="000000"/>
          <w:sz w:val="20"/>
          <w:lang w:val="en-US" w:eastAsia="en-US" w:bidi="ar-SA"/>
        </w:rPr>
        <w:t xml:space="preserve"> (1774), 1 Cowp. 63, 98 E.R. 969 at p. 970 is apt: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certainly a maxim that all evidence is to be weighed according to the proof which it was in the power of one side to have produced, and in the power of the other to have contradicted.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There are also no records whatsoever relating to her post accident OFTDF work. The plaintiff's evidence that she tried to do the OFTDF work on three or four occasions in late May or early June 2009 is not consistent with Dr. Campbell's record of her reports to him, which indicate that she was trying to work part-time as of May 12, 2009, and was back at work July 14, 2009, but that as of July 29, 2009 the delivery work "ran out". The inconsistencies in the evidence, coupled with her failure to produce any records, further erodes my confidence in the credibility of the plaintiff's evidence and of her claims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also do not accept the plaintiff's evidence concerning the physical nature of the work with OFTDF. She testified that the boxes of chocolate bars weighed and 20 and 25 lbs each. I have no reliable evidence concerning that point, and in my view, the plaintiff was likely exaggerating the weight of the boxes.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accept, however, that the plaintiff was doing some kind of delivery work for OFTDF. I have no reliable information as to the nature of that work or of the plaintiff's earnings in that respect. I do not have evidence that the OFTDF work would have been available to the plaintiff following July,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credibility as a witness is also diminished by my assessment of her interactions with Dr. Campbell. In my view the plaintiff misrepresented the facts concerning her dealings with ICBC to Dr. Campbell, in order to gain his sympathy and support, and it appears to me that she succeeded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only medical-legal report in evidence is that of Dr. Campbell dated March 15,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consistent theme of Dr. Campbell's report is his acceptance of Ms. Brown's frequent complaints that ICBC failed to provide funding for appropriate treatment and for income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validity of the plaintiff's complaints regarding her dealings with ICBC is relevant to my assessment of her credibility generally. In this respect, I do not accept that Ms. Brown's complaints as related to Dr. Campbell about her mistreatment by ICBC are valid. Details of this are as follows: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 to Dr. Campbell's report, on April 7, 2009 Ms. Brown related that "ICBC was refusing to pay for her physiotherapy and she was very angry about this". This was only partially true. At trial the plaintiff testified that ICBC was refusing to fund the upfront user fee portion of the physiotherapy costs, of $20 per session, which she could not afford to pay.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April 14, 2009 visit, Dr. Campbell reports that Ms. Brown told him that ICBC would not provide her with "financial support during the period of disability". However, ICBC repeatedly asked her to provide documentary support for her wage loss claim, and did not receive it. Even at trial, Ms. Brown did not provide adequate documentary support for her wage loss claim, as I have noted.</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Dr. Campbell indicates in his report that Ms. Brown needed psychological therapy. However, there is no evidence of any report, prescription, or request for such therapy to ICBC. Indeed, Dr. Campbell's CL19 medical report to ICBC dated February 18, 2010 (about one year post accident) makes no mention of any psychological or psychiatric condition, disorder, or need for treatment. The CL19 report refers only to the need for physiotherapy and a referral to an orthopedic specialist, Dr. Bhachu, for her shoulder complaints.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Brown reported to Dr. Campbell that ICBC was refusing to replace her dental plate that was broken in the motor vehicle accident. However, there is no evidence that ICBC refused or delayed payment for the broken dental plate once a claim was made for it. Ms. Brown did not mention the broken dental plate in her initial statement to ICBC. On February 8, 2010, ICBC wrote to Ms. Brown advising her to attend a denturist to see about her cracked dental plate. ICBC subsequently paid for the replacement cost of the dental plate.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testified that she lost 25 pounds or more due to the effects of the accident, and that her weight went down to 89 pounds before rebounding. I accept that she lost weight, but in my view the degree of weight loss was probably exaggerated. Dr. Campbell testified that her weight loss was on the order of 10 to 15 pounds. Dr. Campbell report states that she weighs 102 pounds. Dr. Bhachu's clinical note to Dr. Campbell indicates a weight of 98 pounds in late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Ms. Brown downplayed the effects of her pre-existing scoliosis and COPD in her evidence. Her scoliosis was severe. She testified that her COPD was only mild pre-accident, and that it was worse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summary, for the reasons stated, in general I did not find the plaintiff to be a credible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 has continued to be treated by Dr. Campbell, who has seen her more than 70 times since the accident. Unfortunately, in general, I do not consider the evidence of Dr. Campbell to be reliable. There are several reasons for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Firstly, in my view, Dr. Campbell's sympathy for his patient and her claims has resulted in him becoming an advocate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On reading his report and hearing his evidence, the theme that emerges is one of solidarity by Dr. Campbell with Ms. Brown's complaints about lack of support from ICBC, and her plight as a blameless victim.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At numerous instances in the report, Dr. Campbell relates Ms. Brown's complaints that ICBC failed to refuse to provide for interim wage loss payments, or cost of treatment such as physiotherapy, psychological counselling, or reimbursement for her broken dental plate. Although reciting the plaintiff's complaints in relation to ICBC might conceivably be relevant background information, it is clear on the report and on Dr. Campbell's testimony as a whole that he shares his patient's views that she is a blameless victim of injustice who has been badly treated by ICBC, and, further, that she deserves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In the summary and opinion portions of his report, Dr. Campbell mentions several times that Ms. Brown was "blameless" or "blameless victim" in the motor vehicle accident. Such comments have no proper place in an expert's report, and indicate a conflict with the duty of an expert to assist the court and refrain from being an advocate for a party as set out in Rule 11-2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Campbell also mentions several times that the plaintiff has been given no support or treatment by ICBC. These inappropriate comments are thoroughly enmeshed in his report. I think it best to simply set out some extracts of the report in this respect, in which I have emphasized the offending material.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final portion of Dr. Campbell's report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Summary: Ms. Brown is a 47 year old female patient. She has an ectomorphic body type and is very thin. She has severe scoliosis. Ms. Brown </w:t>
      </w:r>
      <w:r>
        <w:rPr>
          <w:rFonts w:ascii="arial" w:eastAsia="arial" w:hAnsi="arial" w:cs="arial"/>
          <w:color w:val="000000"/>
          <w:sz w:val="20"/>
          <w:u w:val="single"/>
          <w:lang w:val="en-US" w:eastAsia="en-US" w:bidi="ar-SA"/>
        </w:rPr>
        <w:t>was blamelessly involved</w:t>
      </w:r>
      <w:r>
        <w:rPr>
          <w:rFonts w:ascii="arial" w:eastAsia="arial" w:hAnsi="arial" w:cs="arial"/>
          <w:color w:val="000000"/>
          <w:sz w:val="20"/>
          <w:lang w:val="en-US" w:eastAsia="en-US" w:bidi="ar-SA"/>
        </w:rPr>
        <w:t xml:space="preserve"> in a significantly violent motor vehicle accident on March 9th 2009.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Over the post motor vehicle accident period Ms. Brown developed post concussion syndrome. Acute stress disorder. Major depression/anxiety disorder. Cervical spine whiplash injury. Right shoulder strain. Lumbar sacral back strain. Right knee strain. </w:t>
      </w:r>
      <w:r>
        <w:rPr>
          <w:rFonts w:ascii="arial" w:eastAsia="arial" w:hAnsi="arial" w:cs="arial"/>
          <w:color w:val="000000"/>
          <w:sz w:val="20"/>
          <w:u w:val="single"/>
          <w:lang w:val="en-US" w:eastAsia="en-US" w:bidi="ar-SA"/>
        </w:rPr>
        <w:t>Ms. Brown did not receive any ICBC support for her motor vehicle accident related injuries</w:t>
      </w:r>
      <w:r>
        <w:rPr>
          <w:rFonts w:ascii="arial" w:eastAsia="arial" w:hAnsi="arial" w:cs="arial"/>
          <w:color w:val="000000"/>
          <w:sz w:val="20"/>
          <w:lang w:val="en-US" w:eastAsia="en-US" w:bidi="ar-SA"/>
        </w:rPr>
        <w:t xml:space="preserve"> and her treatment and progress was hindered significantly as a result of this and progression of [her] motor vehicle accident diagnoses were affected negatively. Her complaints and disabilities are now chronic.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Opinion: Ms. Brown </w:t>
      </w:r>
      <w:r>
        <w:rPr>
          <w:rFonts w:ascii="arial" w:eastAsia="arial" w:hAnsi="arial" w:cs="arial"/>
          <w:color w:val="000000"/>
          <w:sz w:val="20"/>
          <w:u w:val="single"/>
          <w:lang w:val="en-US" w:eastAsia="en-US" w:bidi="ar-SA"/>
        </w:rPr>
        <w:t>was the blameless victim</w:t>
      </w:r>
      <w:r>
        <w:rPr>
          <w:rFonts w:ascii="arial" w:eastAsia="arial" w:hAnsi="arial" w:cs="arial"/>
          <w:color w:val="000000"/>
          <w:sz w:val="20"/>
          <w:lang w:val="en-US" w:eastAsia="en-US" w:bidi="ar-SA"/>
        </w:rPr>
        <w:t xml:space="preserve"> of a significantly violet motor vehicle accident on March 9th 2009. She was diagnosed with the following:</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Post concussion syndrome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stress disorder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depression/anxiety disorder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Cervical spine whiplash injury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shoulder musculoskeletal injury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Left knee musculoskeletal injury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Lumbar sacral back strain injury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period of her disability related to the March 9th 2009 motor vehicle accident is appropriate and ongoing in consideration of the diagnoses.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For reasons unknown to me Ms. Brown was given no support for her motor vehicle accident related injuries by ICBC</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Prognosis: In my opinion Ms. Brown </w:t>
      </w:r>
      <w:r>
        <w:rPr>
          <w:rFonts w:ascii="arial" w:eastAsia="arial" w:hAnsi="arial" w:cs="arial"/>
          <w:color w:val="000000"/>
          <w:sz w:val="20"/>
          <w:u w:val="single"/>
          <w:lang w:val="en-US" w:eastAsia="en-US" w:bidi="ar-SA"/>
        </w:rPr>
        <w:t>was a blameless victim</w:t>
      </w:r>
      <w:r>
        <w:rPr>
          <w:rFonts w:ascii="arial" w:eastAsia="arial" w:hAnsi="arial" w:cs="arial"/>
          <w:color w:val="000000"/>
          <w:sz w:val="20"/>
          <w:lang w:val="en-US" w:eastAsia="en-US" w:bidi="ar-SA"/>
        </w:rPr>
        <w:t xml:space="preserve"> and sustained significant physical and psychological injury/trauma in the March 9th 2009 motor vehicle accident as well as progression of her condition due to lack of interventional psychological, medical and physical treatment. In my opinion, given the type and now chronic status of Ms. Brown's March 9th 2009 motor vehicle accident injuries she will have permanent disability including signs and symptoms of post brain concussion, neck post whiplash injury pain and limitation of range of movement, right shoulder post soft tissue injury pain and limited right shoulder range of movement and ongoing symptoms of major depression/anxiety. In my opinion Ms, Brown will not be able to continue with her pre March 9th 2009 employment and at best she may be able to do relatively sedentary work. In my opinion this unfortunate accident </w:t>
      </w:r>
      <w:r>
        <w:rPr>
          <w:rFonts w:ascii="arial" w:eastAsia="arial" w:hAnsi="arial" w:cs="arial"/>
          <w:color w:val="000000"/>
          <w:sz w:val="20"/>
          <w:u w:val="single"/>
          <w:lang w:val="en-US" w:eastAsia="en-US" w:bidi="ar-SA"/>
        </w:rPr>
        <w:t>and the lack of appropriate and reasonable consideration and help</w:t>
      </w:r>
      <w:r>
        <w:rPr>
          <w:rFonts w:ascii="arial" w:eastAsia="arial" w:hAnsi="arial" w:cs="arial"/>
          <w:color w:val="000000"/>
          <w:sz w:val="20"/>
          <w:lang w:val="en-US" w:eastAsia="en-US" w:bidi="ar-SA"/>
        </w:rPr>
        <w:t xml:space="preserve"> has permanently adversely changed and decreased the quality of Ms. Browns working and private life. In my opinion she requires reasonable support for an indefinite amount of time to get involved in physical therapy, medical therapy and psychological therapy for the injuries that she sustained in the March 9th 2009 accident. </w:t>
      </w:r>
      <w:r>
        <w:rPr>
          <w:rFonts w:ascii="arial" w:eastAsia="arial" w:hAnsi="arial" w:cs="arial"/>
          <w:color w:val="000000"/>
          <w:sz w:val="20"/>
          <w:u w:val="single"/>
          <w:lang w:val="en-US" w:eastAsia="en-US" w:bidi="ar-SA"/>
        </w:rPr>
        <w:t>In my opinion she needs reasonable financial support and compensation for her significant injuries and losses</w:t>
      </w:r>
      <w:r>
        <w:rPr>
          <w:rFonts w:ascii="arial" w:eastAsia="arial" w:hAnsi="arial" w:cs="arial"/>
          <w:color w:val="000000"/>
          <w:sz w:val="20"/>
          <w:lang w:val="en-US" w:eastAsia="en-US" w:bidi="ar-SA"/>
        </w:rPr>
        <w:t xml:space="preserve"> so that she can begin efforts to recover to the extent that this is possible.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final sentence of the report could not make Dr. Campbell's position more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As noted, Dr. Campbell has seen the plaintiff post-accident 70 or more times. She attends together with Mr. Racz, on a regular two week cycle. Dr. Campbell did not suggest that there was any medical necessity for the frequency of the visits. He testified that the recurring visits were arranged by the patient. In relation to this, I concluded that the numerous visits with Dr. Campbell had more to do with documenting a legal claim than with actual medical need.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Secondly, Dr. Campbell's report is incomplete, and is inconsistent with his evidence at trial, in relation to the plaintiff's pulmonary condition. At trial, Dr. Campbell's opinion is that Ms. Brown is permanently partially disabled due to her accident injuries. Dr. Campbell's report omits any mention of the plaintiff's pre-existing COPD or her pulmonary function, generally, other than noting the loss of one lung as a child. In the context of this case, it is a striking omission.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trial, on cross-examination, he was asked about a medical note that he gave to the plaintiff to assist her with a claim for welfare benefits. The note is dated August 24, 2010. It says that Ms. Brown "has severe COPD and is unable to work for the foreseeable future". No mention is made of the motor vehicle accident. At trial he acknowledged that her COPD and lung issues affect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Campbell tried to explain his note, by stating that he wrote the note before she saw a respirologist, Dr. Ervin, who according to Dr. Campbell diagnosed "restrictive lung disease." The clinical records of Dr. Ervin in evidence are non-specific. The only diagnosis set out there is of "respiratory complications, not elsewhere classified". I was not able to discern how the opinion of Dr. Ervin, whatever it was, explains the note.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At trial, Dr. Campbell stated, on re-examination, that Ms. Brown's restrictive lung disease and COPD were made worse by the accident. As noted his report does not mention COPD and sets out no opinion concerning the effects of the accident on her lung function. Even if the opinion were admissible notwithstanding lack of proper notice, I do not accept the opinion of Dr. Campbell that Ms. Brown has restrictive lung disease which was exacerbated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Thirdly, Dr. Campbell's report and evidence at trial is not consistent with his clinical records. Large parts of the report are unsupported by contemporaneous notes in his clinical records. The report recites the plaintiff's complaints at length, in the description of her condition from time to time, including direct quotes. Virtually none of this is found in his clinical records. Dr. Campbell's diagnosis as found in his clinical records is generally simply "soft tissue injury". The diagnosis set out in his report is far more lengthy and detailed. Dr. Campbell's clinical records end with a visit January 26, 2010, although Ms. Brown has continued to see him many times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Notably, Dr. Campbell states in his report that Ms. Brown suffered from post concussion syndrome, acute stress disorder, and major depression/anxiety disorder, but there is little if anything in his clinical records relating to these conditions. At trial he said that he tends not to write anything in his clinical records relating to depression, unless he is absolutely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his report, Dr. Campbell indicates that on May 19, 2009 he administered PHQ-9 and GAD-7 screening questionnaires, which were highly suggestive of major depression/anxiety. She was given a prescription for antidepressants. However Dr. Campbell's clinical records do not contain the screening questionnaires referred to. He was challenged on this point on cross-examination. In response, he testified that the screening questionnaires were "formalized" at a later time. Dr. Campbell then produced from his file screening questionnaires administered more than a year later, on July 27, 2010. For reasons unexplained, no such questionnaires were produced to counsel as part of Dr. Campbell's clinical records, thus there was no real possibility of proper cross-examination on these records or this topic.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In another case, the lack of contemporaneous notes or records in a doctor's clinical records might make little or no difference to my assessment of the doctor's credibility and reliability as a witness. However, in this case the marked difference and inconsistency between Dr. Campbell's contemporaneous clinical records and his report fortifies my conclusion that Dr. Campbell's medical opinion is not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In Dr. Campbell's CL19 report to ICBC dated February 18, 2010 no mention was made of any psychological effects of the accident. He diagnosed soft tissue injuries of various kinds and "no hard findings". He recommended physiotherapy. He denied that there were any other medical conditions, non MVA related, that cause or contributed to his patient's inability to work. He indicated that she was capable of carrying out her non-work activities. There is no mention of COPD scoliosis or restrictive lung disease. While I recognize the significant limitations of a CL19 report in terms of the amount of time a busy doctor has to fill in the form, and the space available on the form, the fact remains that Dr. Campbell's CL19 report is markedly inconsistent with his medical legal report and his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Fourthly, although Dr. Campbell diagnosed post concussion syndrome, acute stress disorder, and major depression/anxiety disorder, he never referred Ms. Brown for any therapeutic treatment or for any consultation in relation to these conditions. He testified that he did not refer her to therapy because she could not afford it. (His report indicates that he prescribed anti-depressants May 19, 2009 but she said she could not afford them.) Later in his evidence he acknowledged that in fact psychiatric treatment would have been covered by the Medical Services Plan. Once again, in another case the lack of a referral for treatment or for consultation with a specialist might mean little if anything to my assessment of a general practitioner's evidence. In my view, </w:t>
      </w:r>
      <w:r>
        <w:rPr>
          <w:rFonts w:ascii="arial" w:eastAsia="arial" w:hAnsi="arial" w:cs="arial"/>
          <w:i/>
          <w:color w:val="000000"/>
          <w:sz w:val="20"/>
          <w:lang w:val="en-US" w:eastAsia="en-US" w:bidi="ar-SA"/>
        </w:rPr>
        <w:t>Brock v. King</w:t>
      </w:r>
      <w:r>
        <w:rPr>
          <w:rFonts w:ascii="arial" w:eastAsia="arial" w:hAnsi="arial" w:cs="arial"/>
          <w:color w:val="000000"/>
          <w:sz w:val="20"/>
          <w:lang w:val="en-US" w:eastAsia="en-US" w:bidi="ar-SA"/>
        </w:rPr>
        <w:t xml:space="preserve"> </w:t>
      </w:r>
      <w:hyperlink r:id="rId223" w:history="1">
        <w:r>
          <w:rPr>
            <w:rFonts w:ascii="arial" w:eastAsia="arial" w:hAnsi="arial" w:cs="arial"/>
            <w:i/>
            <w:color w:val="0077CC"/>
            <w:sz w:val="20"/>
            <w:u w:val="single"/>
            <w:shd w:val="clear" w:color="auto" w:fill="FFFFFF"/>
            <w:lang w:val="en-US" w:eastAsia="en-US" w:bidi="ar-SA"/>
          </w:rPr>
          <w:t>2009 BCSC 1179</w:t>
        </w:r>
      </w:hyperlink>
      <w:r>
        <w:rPr>
          <w:rFonts w:ascii="arial" w:eastAsia="arial" w:hAnsi="arial" w:cs="arial"/>
          <w:color w:val="000000"/>
          <w:sz w:val="20"/>
          <w:lang w:val="en-US" w:eastAsia="en-US" w:bidi="ar-SA"/>
        </w:rPr>
        <w:t>, (at para. 64-65) relied upon by the plaintiff, was such a case. In this case, however, the lack of treatment or referral by Dr. Campbell in relation to these conditions erodes my confidence is his diagnoses.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Finally, like any other physician, Dr. Campbell must rely on the validity of the patient's information. As I have stated, I do not consider Ms. Brown to be a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In summary I conclude that, in general, I cannot rely upon the medical report and opinion of Dr.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2009 Dr. Campbell referred Ms. Brown to an orthopedic surgeon, Dr. Bhachu, for assessment of her right shoulder pain complaints. In 2011 and 2012 she saw another orthopedic surgeon, Dr. Albert Chan, for investigation of her right knee. According to Dr. Campbell, neither surgeon observed any significant abnormalities or pathology. In 2012 she saw a respirologist, Dr. F.L.C. Ervin. Dr. Campbell did not discuss this referral in his report, and the clinical records in evidence are notably incomplete.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Ms. Brown has not had any physiotherapy treatment for her injuries. She said that she could not afford to pay for physiotherapy. Although ICBC agreed to fund physiotherapy, there was a user fee of $20 per visit which she would be required to fund and she could not afford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Plaintiff's Other Witnesses - Assessment</w:t>
      </w:r>
    </w:p>
    <w:p>
      <w:pPr>
        <w:spacing w:before="120"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Mr. Alf Racz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has resided with Mr. Alf Racz since seeking shelter in his home in early February 2009. He testified that she told him that she was locked out of her place by her landlord and had nowhere to stay. They agreed that she would pay rent of $300 per month until she could find another place to stay. She paid for the first month only and, according to Mr. Racz, has been unable to pay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Racz testified that prior to the accident she was outgoing, personable, happy, hardworking, and industrious, with no notable disability. After the accident, she has become a different person. She is depressed, weak, and feels that everyone has turned their back on her. She feels let down and abandoned.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He characterized their relationship as "landlord/tenant"; however, in my view, that is not an accurate description of the relationship. On Ms. Brown's evidence, they clearly share domestic duties and cohabit together in a relationship of some sort. Dr. Campbell referred to Mr. Racz as her "partner" which indicates his impression of the nature of their relationship. Mr. Racz accompanied her on her many visits to see Dr.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Mr. Racz was her passenger on the day of the accident, when she was driving his vehicle. Since the accident Ms. Brown has assisted Mr. Racz to some extent or other at the flea market on Sundays, as she formerly used to do with her husband or now ex-husband Mr. Greg Brown. Mr. Racz frankly admitted, in cross-examination, that, possibly, she owes him quite a bit of money for "rent" and that he has a financial interest of the outcome of the trial. He testified that he is also in circumstances of financial distress. He was also very frank in testifying that he attended the trial in order to "stand up for the rights of Terri Brown", notwithstanding his own very recent diagnosis of cancer and his own medical circumstances. He strongly believes that Ms. Brown deserves a "fair settlement", to which in his view "she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Although the frank nature of Mr. Racz's testimony was admirable, in view of his clear interest and bias I conclude that I must treat his testimony with a great deal of caution, and in general I am not able to give it very much weight.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Mr. Charles [Chuck] Hunniford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Hunniford sells antiques at the Abbotsford Flea Market. He has a permanent stall there. He has known Ms. Brown for more than 10 years as a result of their association at the flea market. He described her personality prior to the accident as being pleasant, upbeat, and he thought her health was good, with no apparent disabilities. Following the accident, her health has deteriorated. She doesn't do much. She has aged terribly in the last few years, he said. He noted that she has dropped a lot of weight. He acknowledged being friends with Ms. Brown as well as Mr. Racz, who repairs his vehicle. They have a cooperative arrangement between them in relation to sourcing merchandise for the flea market. He feels compassion for Ms. Brown. He gives her surplus merchandise that she can sell on her own account at the flea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Mr. Hunniford is a pleasant person, but is biased in Ms. Brown's favour, and once again I must treat his evidence with caution.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G. Assessment - Plaintiff's Injuries Sustained in the MVA, Condition at Trial, and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plaintiff is entitled to compensation which would, as far as money is able to do so, put her back to her "original position" that she would be in "but for" the injury. She is not entitled to be put in a better position: see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32 and 35, where Major J.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[32] To understand these cases, and to see why they are not applicable to the present situation, one need only consider first principles. 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The so-called "crumbling skull" rule simply recognizes that the pre-existing condition was inherent in the plaintiff's "original position". The defendant need not put the plaintiff in a position better than his or her original position. The defendant is liable for the injuries caused, even if they are extreme, but need not compensate the plaintiff for any debilitating effects of the pre-existing condition which the plaintiff would have experienced anyway. The defendant is liable for the additional damage but not the pre-existing damage: Cooper-Stephenson, supra, at pp. 779-780 and John Munkman, Damages for Personal Injuries and Death (9th ed. 1993), at pp. 39-40.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Graham v. Rourke, </w:t>
      </w:r>
      <w:hyperlink r:id="rId225" w:history="1">
        <w:r>
          <w:rPr>
            <w:rFonts w:ascii="arial" w:eastAsia="arial" w:hAnsi="arial" w:cs="arial"/>
            <w:i/>
            <w:color w:val="0077CC"/>
            <w:sz w:val="20"/>
            <w:u w:val="single"/>
            <w:shd w:val="clear" w:color="auto" w:fill="FFFFFF"/>
            <w:lang w:val="en-US" w:eastAsia="en-US" w:bidi="ar-SA"/>
          </w:rPr>
          <w:t>74 D.L.R. (4th) 1</w:t>
        </w:r>
      </w:hyperlink>
      <w:r>
        <w:rPr>
          <w:rFonts w:ascii="arial" w:eastAsia="arial" w:hAnsi="arial" w:cs="arial"/>
          <w:color w:val="000000"/>
          <w:sz w:val="20"/>
          <w:lang w:val="en-US" w:eastAsia="en-US" w:bidi="ar-SA"/>
        </w:rPr>
        <w:t>; Malec v. J. C. Hutton Proprietary Ltd., 169 C.L.R. 638; Cooper-Stephenson, supra, at pp. 851-852. This is consistent with the general rule that the plaintiff must be returned to the position he would have been in, with all of its attendant risks and shortcomings, and not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difficulty that I have in this case is fairly assessing the plaintiff's "original position" pre accident and her "injured position" post accident, given the difficulties and limitations in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As noted, prior to the accident the plaintiff had a thyroid condition, was missing a lung, and was suffering from COPD and severe scoliosis. She was, as Dr. Campbell noted, a frail person to begin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Campbell testified that COPD is a progressive disease and that it is associated with smoking, and that Ms. Brown has not quit smoking.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Dr. Campbell began treating Ms. Brown in or about August 2007, about a year and a half before the accident. In this period, he saw her only four or five times. There is very little in Dr. Campbell's pre-accident clinical records to indicate ongoing problems, other than the plaintiff's thyroid condition and her scoliosis. Other prior medical records are not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Based upon the tax returns, prior to July 15, 2008 Ms. Brown was apparently capable of working between 30 and 40 hours a week (approximately) at the food market. There was no detail in the evidence concerning the nature of this work, but she must have had a reasonable amount of stamina just in order to work an almost full work week. However, no reasonable explanation was given for her departure from this job, and there is no evidence as to the nature of the work or the plaintiff's ability to perform in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As in any civil trial, the onus is on the plaintiff to prove her case on the civil standard; that is, on the balance of probabilities. In the context of a claim for damages for personal injury, the plaintiff has the burden of establishing that she was injured in the accident, and the extent of her injuries: </w:t>
      </w:r>
      <w:r>
        <w:rPr>
          <w:rFonts w:ascii="arial" w:eastAsia="arial" w:hAnsi="arial" w:cs="arial"/>
          <w:i/>
          <w:color w:val="000000"/>
          <w:sz w:val="20"/>
          <w:lang w:val="en-US" w:eastAsia="en-US" w:bidi="ar-SA"/>
        </w:rPr>
        <w:t>F.H. v. McDougall</w:t>
      </w:r>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2008 SCC 53</w:t>
        </w:r>
      </w:hyperlink>
      <w:r>
        <w:rPr>
          <w:rFonts w:ascii="arial" w:eastAsia="arial" w:hAnsi="arial" w:cs="arial"/>
          <w:color w:val="000000"/>
          <w:sz w:val="20"/>
          <w:lang w:val="en-US" w:eastAsia="en-US" w:bidi="ar-SA"/>
        </w:rPr>
        <w:t xml:space="preserve">, </w:t>
      </w:r>
      <w:hyperlink r:id="rId226" w:history="1">
        <w:r>
          <w:rPr>
            <w:rFonts w:ascii="arial" w:eastAsia="arial" w:hAnsi="arial" w:cs="arial"/>
            <w:i/>
            <w:color w:val="0077CC"/>
            <w:sz w:val="20"/>
            <w:u w:val="single"/>
            <w:shd w:val="clear" w:color="auto" w:fill="FFFFFF"/>
            <w:lang w:val="en-US" w:eastAsia="en-US" w:bidi="ar-SA"/>
          </w:rPr>
          <w:t>[2008] 3 S.C.R. 41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McDougall</w:t>
      </w:r>
      <w:r>
        <w:rPr>
          <w:rFonts w:ascii="arial" w:eastAsia="arial" w:hAnsi="arial" w:cs="arial"/>
          <w:color w:val="000000"/>
          <w:sz w:val="20"/>
          <w:lang w:val="en-US" w:eastAsia="en-US" w:bidi="ar-SA"/>
        </w:rPr>
        <w:t xml:space="preserve">], at para. 44; and </w:t>
      </w:r>
      <w:r>
        <w:rPr>
          <w:rFonts w:ascii="arial" w:eastAsia="arial" w:hAnsi="arial" w:cs="arial"/>
          <w:i/>
          <w:color w:val="000000"/>
          <w:sz w:val="20"/>
          <w:lang w:val="en-US" w:eastAsia="en-US" w:bidi="ar-SA"/>
        </w:rPr>
        <w:t>Cahoon v. Brideaux</w:t>
      </w:r>
      <w:r>
        <w:rPr>
          <w:rFonts w:ascii="arial" w:eastAsia="arial" w:hAnsi="arial" w:cs="arial"/>
          <w:color w:val="000000"/>
          <w:sz w:val="20"/>
          <w:lang w:val="en-US" w:eastAsia="en-US" w:bidi="ar-SA"/>
        </w:rPr>
        <w:t xml:space="preserve">, </w:t>
      </w:r>
      <w:hyperlink r:id="rId227" w:history="1">
        <w:r>
          <w:rPr>
            <w:rFonts w:ascii="arial" w:eastAsia="arial" w:hAnsi="arial" w:cs="arial"/>
            <w:i/>
            <w:color w:val="0077CC"/>
            <w:sz w:val="20"/>
            <w:u w:val="single"/>
            <w:shd w:val="clear" w:color="auto" w:fill="FFFFFF"/>
            <w:lang w:val="en-US" w:eastAsia="en-US" w:bidi="ar-SA"/>
          </w:rPr>
          <w:t>2010 BCCA 228</w:t>
        </w:r>
      </w:hyperlink>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Cahoon</w:t>
      </w:r>
      <w:r>
        <w:rPr>
          <w:rFonts w:ascii="arial" w:eastAsia="arial" w:hAnsi="arial" w:cs="arial"/>
          <w:color w:val="000000"/>
          <w:sz w:val="20"/>
          <w:lang w:val="en-US" w:eastAsia="en-US" w:bidi="ar-SA"/>
        </w:rPr>
        <w:t>] at para. 82.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accept that the plaintiff was involved in a significantly violent motor vehicle accident. There is clear evidence of significant acute injuries to Ms. Brown.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It is clear that she suffered significant contusions and lacerations in the accident. She suffered significant soft tissue injuries to her face, spine, right shoulder and both knees. The blow to her face broke her dental plate. She had upper teeth pain. In general, these have now resolved. There is no evidence of ongoing pathology in these areas. There were no neurological consequences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There was also evidence that the plaintiff lost significant weight following the motor vehicle accident, although not as much she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Currently she is left with some scarring on her right elbow, and on both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that the plaintiff suffered a concussion in the accident. I am not satisfied that any significant sequalae have been established.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do not accept the opinion of Dr. Campbell that she suffered a "major depression" following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 am not satisfied that the plaintiff has proven any significant psychological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However, given the frailty of the plaintiff, I accept that her recovery from the soft tissue injuries she sustained in the accident would be considerably prolonged as compared with a more healthy and vigorous person. I accept that the plaintiff's injuries would have prevented her from being able to work or to function normally in domestic or leisure activities for a considerable period of time following the accident. I accept that the plaintiff was continuing to suffer significantly from the ongoing effects of her injuries at the time Dr. Campbell submitted the CL 19 report to ICBC about one year post-accident. In my view, a generous finding is that the accident injuries caused the plaintiff to continue to suffer significant consequences for a further year after that; in other words, for about two years in total.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I find that the plaintiff continues to suffer from the following conditions or effects of injuries brought on by the motor vehicle accident:</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The frequency, severity and duration are unclear in the evidence;</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Anxiety associated with fear of driving;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Occasional pain in the right knee;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Scarring on her right elbow and knees.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are therefore some ongoing consequences of the accident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am not satisfied that the occasional blurry vision and the light-headedness the plaintiff testified to are related to the accident. I am also not satisfied that the accident caused exacerbation of her pre-existing breathing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has not established on a balance of probabilities that her accident injuries caused a presently continuing disability which interferes with her ability to function at work, domestically, or in her leisure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defendant argues that the plaintiff has failed to take reasonable steps to mitigate her loss, by failing to attend physiotherapy as prescribed by Dr. Campbell and by failing to exercise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Dr. Campbell recommended physiotherapy. I accept that physiotherapy could or might have been beneficial. That was Dr. Campbell's purpose in recommending it. I am not satisfied that the defendants have established that the physiotherapy would have been beneficial, or the extent to which the plaintiff's damages would have been reduced had she engaged in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The defendant must do more than show that the plaintiff failed to engage in treatment that could or might have been beneficial: </w:t>
      </w:r>
      <w:r>
        <w:rPr>
          <w:rFonts w:ascii="arial" w:eastAsia="arial" w:hAnsi="arial" w:cs="arial"/>
          <w:i/>
          <w:color w:val="000000"/>
          <w:sz w:val="20"/>
          <w:lang w:val="en-US" w:eastAsia="en-US" w:bidi="ar-SA"/>
        </w:rPr>
        <w:t>Gregory v. ICBC</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56. The defendant has produced no medical evidence to indicate that the extent to which the plaintiff's damages would have been reduced had she acted reasonably: see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32, citing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Moreover, the plaintiff testified that she did not attend physiotherapy because she could not afford the $20 per session user fee. I accept this evidence. In my view, it cannot be said that the plaintiff has acted unreasonably or failed to mitigate by failing to pursue treatment which she has no means of funding, and which ICBC has refused to 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defendants rely upon </w:t>
      </w:r>
      <w:r>
        <w:rPr>
          <w:rFonts w:ascii="arial" w:eastAsia="arial" w:hAnsi="arial" w:cs="arial"/>
          <w:i/>
          <w:color w:val="000000"/>
          <w:sz w:val="20"/>
          <w:lang w:val="en-US" w:eastAsia="en-US" w:bidi="ar-SA"/>
        </w:rPr>
        <w:t>Smyth v. Gill</w:t>
      </w:r>
      <w:r>
        <w:rPr>
          <w:rFonts w:ascii="arial" w:eastAsia="arial" w:hAnsi="arial" w:cs="arial"/>
          <w:color w:val="000000"/>
          <w:sz w:val="20"/>
          <w:lang w:val="en-US" w:eastAsia="en-US" w:bidi="ar-SA"/>
        </w:rPr>
        <w:t xml:space="preserve">, </w:t>
      </w:r>
      <w:hyperlink r:id="rId231" w:history="1">
        <w:r>
          <w:rPr>
            <w:rFonts w:ascii="arial" w:eastAsia="arial" w:hAnsi="arial" w:cs="arial"/>
            <w:i/>
            <w:color w:val="0077CC"/>
            <w:sz w:val="20"/>
            <w:u w:val="single"/>
            <w:shd w:val="clear" w:color="auto" w:fill="FFFFFF"/>
            <w:lang w:val="en-US" w:eastAsia="en-US" w:bidi="ar-SA"/>
          </w:rPr>
          <w:t>[1999] B.C.J. No. 983</w:t>
        </w:r>
      </w:hyperlink>
      <w:r>
        <w:rPr>
          <w:rFonts w:ascii="arial" w:eastAsia="arial" w:hAnsi="arial" w:cs="arial"/>
          <w:color w:val="000000"/>
          <w:sz w:val="20"/>
          <w:lang w:val="en-US" w:eastAsia="en-US" w:bidi="ar-SA"/>
        </w:rPr>
        <w:t>, 1999 Carswell B.C. 932 [</w:t>
      </w:r>
      <w:r>
        <w:rPr>
          <w:rFonts w:ascii="arial" w:eastAsia="arial" w:hAnsi="arial" w:cs="arial"/>
          <w:i/>
          <w:color w:val="000000"/>
          <w:sz w:val="20"/>
          <w:lang w:val="en-US" w:eastAsia="en-US" w:bidi="ar-SA"/>
        </w:rPr>
        <w:t>Smyth</w:t>
      </w:r>
      <w:r>
        <w:rPr>
          <w:rFonts w:ascii="arial" w:eastAsia="arial" w:hAnsi="arial" w:cs="arial"/>
          <w:color w:val="000000"/>
          <w:sz w:val="20"/>
          <w:lang w:val="en-US" w:eastAsia="en-US" w:bidi="ar-SA"/>
        </w:rPr>
        <w:t>], at para. 41, for the proposition that "financial constraint is not an answer to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that case, the court was satisfied that the plaintiff suffered from thoracic outlet syndrome in her left arm caused by the motor vehicle accident. According to the medical evidence, the symptoms could be relieved by massage therapy, physiotherapy, exercise, anti-inflammatory and analgesic medicine, or by surgery. The plaintiff said she was financially unable to take undertake massage therapy or physiotherapy. Madam Justice Quijano said: "financial constraint is not an answer to failure to mitigate." No authority was cited for this proposition.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A number of other cases have considered the question of whether limited financial resources can be considered when assessing whether a plaintiff has acted unreasonably in failing to undertake the recommended programs or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Madam Justice Ker stated, at paras 209-210: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209 Financial circumstances are certainly one factor to consider in the overall reasonableness assessment of whether a plaintiff has failed to mitigate their losses. What is reasonable will depend on all the surrounding circumstances.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210 ... I cannot find that Mr. Trites acted unreasonably in determining how best to try and pay for all the treatment modalities that had been working for him in assisting his rehabilitation but were no longer going to be paid for by ICBC and were beyond his limited means at the time. As Smith J. noted in </w:t>
      </w:r>
      <w:r>
        <w:rPr>
          <w:rFonts w:ascii="arial" w:eastAsia="arial" w:hAnsi="arial" w:cs="arial"/>
          <w:i/>
          <w:color w:val="000000"/>
          <w:sz w:val="20"/>
          <w:lang w:val="en-US" w:eastAsia="en-US" w:bidi="ar-SA"/>
        </w:rPr>
        <w:t>O'Rourke v. Claire</w:t>
      </w:r>
      <w:r>
        <w:rPr>
          <w:rFonts w:ascii="arial" w:eastAsia="arial" w:hAnsi="arial" w:cs="arial"/>
          <w:color w:val="000000"/>
          <w:sz w:val="20"/>
          <w:lang w:val="en-US" w:eastAsia="en-US" w:bidi="ar-SA"/>
        </w:rPr>
        <w:t xml:space="preserve">, </w:t>
      </w:r>
      <w:hyperlink r:id="rId233" w:history="1">
        <w:r>
          <w:rPr>
            <w:rFonts w:ascii="arial" w:eastAsia="arial" w:hAnsi="arial" w:cs="arial"/>
            <w:i/>
            <w:color w:val="0077CC"/>
            <w:sz w:val="20"/>
            <w:u w:val="single"/>
            <w:shd w:val="clear" w:color="auto" w:fill="FFFFFF"/>
            <w:lang w:val="en-US" w:eastAsia="en-US" w:bidi="ar-SA"/>
          </w:rPr>
          <w:t>[1997] B.C.J. No. 630</w:t>
        </w:r>
      </w:hyperlink>
      <w:r>
        <w:rPr>
          <w:rFonts w:ascii="arial" w:eastAsia="arial" w:hAnsi="arial" w:cs="arial"/>
          <w:color w:val="000000"/>
          <w:sz w:val="20"/>
          <w:lang w:val="en-US" w:eastAsia="en-US" w:bidi="ar-SA"/>
        </w:rPr>
        <w:t xml:space="preserve"> (S.C.) at para. 42 "it does not lie in the mouth of the tortfeasor to say that a plaintiff in such circumstances has failed to mitigate by failing to arrange and pay for his own rehabilitative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Rozendaal v. Landingin</w:t>
      </w:r>
      <w:r>
        <w:rPr>
          <w:rFonts w:ascii="arial" w:eastAsia="arial" w:hAnsi="arial" w:cs="arial"/>
          <w:color w:val="000000"/>
          <w:sz w:val="20"/>
          <w:lang w:val="en-US" w:eastAsia="en-US" w:bidi="ar-SA"/>
        </w:rPr>
        <w:t xml:space="preserve">, </w:t>
      </w:r>
      <w:hyperlink r:id="rId234" w:history="1">
        <w:r>
          <w:rPr>
            <w:rFonts w:ascii="arial" w:eastAsia="arial" w:hAnsi="arial" w:cs="arial"/>
            <w:i/>
            <w:color w:val="0077CC"/>
            <w:sz w:val="20"/>
            <w:u w:val="single"/>
            <w:shd w:val="clear" w:color="auto" w:fill="FFFFFF"/>
            <w:lang w:val="en-US" w:eastAsia="en-US" w:bidi="ar-SA"/>
          </w:rPr>
          <w:t>2013 BCSC 24</w:t>
        </w:r>
      </w:hyperlink>
      <w:r>
        <w:rPr>
          <w:rFonts w:ascii="arial" w:eastAsia="arial" w:hAnsi="arial" w:cs="arial"/>
          <w:color w:val="000000"/>
          <w:sz w:val="20"/>
          <w:lang w:val="en-US" w:eastAsia="en-US" w:bidi="ar-SA"/>
        </w:rPr>
        <w:t xml:space="preserve"> at paras. 66 to 74 Madam Justice Holmes found that the defendant had not established the claim that the plaintiff had failed to mitigate in circumstances where "financial priorities displaced ongoing physiotherapy or active rehabilitation": para 70. I came to the same conclusion in </w:t>
      </w:r>
      <w:r>
        <w:rPr>
          <w:rFonts w:ascii="arial" w:eastAsia="arial" w:hAnsi="arial" w:cs="arial"/>
          <w:i/>
          <w:color w:val="000000"/>
          <w:sz w:val="20"/>
          <w:lang w:val="en-US" w:eastAsia="en-US" w:bidi="ar-SA"/>
        </w:rPr>
        <w:t>Fifi v. Robinson</w:t>
      </w:r>
      <w:r>
        <w:rPr>
          <w:rFonts w:ascii="arial" w:eastAsia="arial" w:hAnsi="arial" w:cs="arial"/>
          <w:color w:val="000000"/>
          <w:sz w:val="20"/>
          <w:lang w:val="en-US" w:eastAsia="en-US" w:bidi="ar-SA"/>
        </w:rPr>
        <w:t xml:space="preserve">, </w:t>
      </w:r>
      <w:hyperlink r:id="rId235" w:history="1">
        <w:r>
          <w:rPr>
            <w:rFonts w:ascii="arial" w:eastAsia="arial" w:hAnsi="arial" w:cs="arial"/>
            <w:i/>
            <w:color w:val="0077CC"/>
            <w:sz w:val="20"/>
            <w:u w:val="single"/>
            <w:shd w:val="clear" w:color="auto" w:fill="FFFFFF"/>
            <w:lang w:val="en-US" w:eastAsia="en-US" w:bidi="ar-SA"/>
          </w:rPr>
          <w:t>2012 BCSC 1378</w:t>
        </w:r>
      </w:hyperlink>
      <w:r>
        <w:rPr>
          <w:rFonts w:ascii="arial" w:eastAsia="arial" w:hAnsi="arial" w:cs="arial"/>
          <w:color w:val="000000"/>
          <w:sz w:val="20"/>
          <w:lang w:val="en-US" w:eastAsia="en-US" w:bidi="ar-SA"/>
        </w:rPr>
        <w:t>, at para. 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In the Alberta Court of Appeal decision in </w:t>
      </w:r>
      <w:r>
        <w:rPr>
          <w:rFonts w:ascii="arial" w:eastAsia="arial" w:hAnsi="arial" w:cs="arial"/>
          <w:i/>
          <w:color w:val="000000"/>
          <w:sz w:val="20"/>
          <w:lang w:val="en-US" w:eastAsia="en-US" w:bidi="ar-SA"/>
        </w:rPr>
        <w:t>Pfob v. Bakalik</w:t>
      </w:r>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2004 ABCA 278</w:t>
        </w:r>
      </w:hyperlink>
      <w:r>
        <w:rPr>
          <w:rFonts w:ascii="arial" w:eastAsia="arial" w:hAnsi="arial" w:cs="arial"/>
          <w:color w:val="000000"/>
          <w:sz w:val="20"/>
          <w:lang w:val="en-US" w:eastAsia="en-US" w:bidi="ar-SA"/>
        </w:rPr>
        <w:t xml:space="preserve">, </w:t>
      </w:r>
      <w:hyperlink r:id="rId236" w:history="1">
        <w:r>
          <w:rPr>
            <w:rFonts w:ascii="arial" w:eastAsia="arial" w:hAnsi="arial" w:cs="arial"/>
            <w:i/>
            <w:color w:val="0077CC"/>
            <w:sz w:val="20"/>
            <w:u w:val="single"/>
            <w:shd w:val="clear" w:color="auto" w:fill="FFFFFF"/>
            <w:lang w:val="en-US" w:eastAsia="en-US" w:bidi="ar-SA"/>
          </w:rPr>
          <w:t>33 Alta. L.R. (4th) 200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Pfob</w:t>
      </w:r>
      <w:r>
        <w:rPr>
          <w:rFonts w:ascii="arial" w:eastAsia="arial" w:hAnsi="arial" w:cs="arial"/>
          <w:color w:val="000000"/>
          <w:sz w:val="20"/>
          <w:lang w:val="en-US" w:eastAsia="en-US" w:bidi="ar-SA"/>
        </w:rPr>
        <w:t xml:space="preserve">] the plaintiff, a self employed contract courier, was unable to pay for the cost of the physiotherapy that had been recommended to him as part of his rehabilitation regimen following the motor vehicle accident. The Court upheld the trial judge's, </w:t>
      </w:r>
      <w:hyperlink r:id="rId237" w:history="1">
        <w:r>
          <w:rPr>
            <w:rFonts w:ascii="arial" w:eastAsia="arial" w:hAnsi="arial" w:cs="arial"/>
            <w:i/>
            <w:color w:val="0077CC"/>
            <w:sz w:val="20"/>
            <w:u w:val="single"/>
            <w:shd w:val="clear" w:color="auto" w:fill="FFFFFF"/>
            <w:lang w:val="en-US" w:eastAsia="en-US" w:bidi="ar-SA"/>
          </w:rPr>
          <w:t>[2003] A.J. No. 1204</w:t>
        </w:r>
      </w:hyperlink>
      <w:r>
        <w:rPr>
          <w:rFonts w:ascii="arial" w:eastAsia="arial" w:hAnsi="arial" w:cs="arial"/>
          <w:color w:val="000000"/>
          <w:sz w:val="20"/>
          <w:lang w:val="en-US" w:eastAsia="en-US" w:bidi="ar-SA"/>
        </w:rPr>
        <w:t>, decision that, in the circumstances, the plaintiff's impecuniosity relieved him of his obligation to mitigate. At paras 23-24 the Court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23 The trial judge found that the respondent was relieved from his duty to mitigate because he followed all recommended treatment except physiotherapy, which he could not afford, and it was not unreasonable for him to await the outcome of his appeal of the decision of the Workers' Compensation Board to deny him coverage for that therapy: (Ibid. at paras. 44-45).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24 The appellant maintains there is no evidence to support the contention that the respondent was not able to afford physiotherapy. However, the trial judge noted the respondent is not a high income earner, is saddled with indebtedness, and had testified that he was unable to afford the therapy. As that evidence was uncontroverted, the trial judge was entitled to rely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In light of these decisions I do not accept the principle set out in </w:t>
      </w:r>
      <w:r>
        <w:rPr>
          <w:rFonts w:ascii="arial" w:eastAsia="arial" w:hAnsi="arial" w:cs="arial"/>
          <w:i/>
          <w:color w:val="000000"/>
          <w:sz w:val="20"/>
          <w:lang w:val="en-US" w:eastAsia="en-US" w:bidi="ar-SA"/>
        </w:rPr>
        <w:t>Smyth</w:t>
      </w:r>
      <w:r>
        <w:rPr>
          <w:rFonts w:ascii="arial" w:eastAsia="arial" w:hAnsi="arial" w:cs="arial"/>
          <w:color w:val="000000"/>
          <w:sz w:val="20"/>
          <w:lang w:val="en-US" w:eastAsia="en-US" w:bidi="ar-SA"/>
        </w:rPr>
        <w:t>. Instead, the question for this Court is whether the defendant has met its burden of demonstrating that the plaintiff acted unreasonably in eschewing the recommended treatment. This is a factual decision to be determined in the circumstances of each case. I am not satisfied that the defendant has established that the plaintiff acted unreasonably by failing to undergo physiotherapy treatment that she could not afford to pay for.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In the result I reject the defence contention that damages should be reduced for failure to mitigate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 will asses Ms. Brown's claims for damages in the following categories.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wage loss and loss of past earning capacity;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have found that the plaintiff's injuries resulted in significant pain, suffering and limitation of function for about two years post accident. I have found that she suffers from some limited ongoing consequences of the accident, but not of such a degree that they constitute an ongoing disability in relation to work, domestic or recreational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general principles relating to assessment of non-pecuniary loss are set out in the decision of the B.C.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263 D.L.R. (4th) 19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paras. 45 and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As noted, the plaintiff submits that an appropriate award for non-pecuniary loss in this case is $65,000 to $80,000, or more. For guidance as to quantum, the plaintiff cites </w:t>
      </w:r>
      <w:r>
        <w:rPr>
          <w:rFonts w:ascii="arial" w:eastAsia="arial" w:hAnsi="arial" w:cs="arial"/>
          <w:i/>
          <w:color w:val="000000"/>
          <w:sz w:val="20"/>
          <w:lang w:val="en-US" w:eastAsia="en-US" w:bidi="ar-SA"/>
        </w:rPr>
        <w:t>Schnare v. Roberts,</w:t>
      </w:r>
      <w:r>
        <w:rPr>
          <w:rFonts w:ascii="arial" w:eastAsia="arial" w:hAnsi="arial" w:cs="arial"/>
          <w:color w:val="000000"/>
          <w:sz w:val="20"/>
          <w:lang w:val="en-US" w:eastAsia="en-US" w:bidi="ar-SA"/>
        </w:rPr>
        <w:t xml:space="preserve"> </w:t>
      </w:r>
      <w:hyperlink r:id="rId239" w:history="1">
        <w:r>
          <w:rPr>
            <w:rFonts w:ascii="arial" w:eastAsia="arial" w:hAnsi="arial" w:cs="arial"/>
            <w:i/>
            <w:color w:val="0077CC"/>
            <w:sz w:val="20"/>
            <w:u w:val="single"/>
            <w:shd w:val="clear" w:color="auto" w:fill="FFFFFF"/>
            <w:lang w:val="en-US" w:eastAsia="en-US" w:bidi="ar-SA"/>
          </w:rPr>
          <w:t>2009 BCSC 397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Kasic v. Leyh</w:t>
      </w:r>
      <w:r>
        <w:rPr>
          <w:rFonts w:ascii="arial" w:eastAsia="arial" w:hAnsi="arial" w:cs="arial"/>
          <w:color w:val="000000"/>
          <w:sz w:val="20"/>
          <w:lang w:val="en-US" w:eastAsia="en-US" w:bidi="ar-SA"/>
        </w:rPr>
        <w:t xml:space="preserve">, </w:t>
      </w:r>
      <w:hyperlink r:id="rId240" w:history="1">
        <w:r>
          <w:rPr>
            <w:rFonts w:ascii="arial" w:eastAsia="arial" w:hAnsi="arial" w:cs="arial"/>
            <w:i/>
            <w:color w:val="0077CC"/>
            <w:sz w:val="20"/>
            <w:u w:val="single"/>
            <w:shd w:val="clear" w:color="auto" w:fill="FFFFFF"/>
            <w:lang w:val="en-US" w:eastAsia="en-US" w:bidi="ar-SA"/>
          </w:rPr>
          <w:t>2009 BCSC 649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Schnare</w:t>
      </w:r>
      <w:r>
        <w:rPr>
          <w:rFonts w:ascii="arial" w:eastAsia="arial" w:hAnsi="arial" w:cs="arial"/>
          <w:color w:val="000000"/>
          <w:sz w:val="20"/>
          <w:lang w:val="en-US" w:eastAsia="en-US" w:bidi="ar-SA"/>
        </w:rPr>
        <w:t>, the plaintiff was a 32 year old teacher with two young children when she was injured in an accident in March, 2005. At trial in January 2009 Adair J. found that she was suffering from some permanent disability. She had neck pain and significant back pain which interfered with most of her normal activities, and had a very significant effect on the quality of her life. She was awarded $85,000 for non pecuniary loss. She was also awarded $125,000 for loss of earning capacity, and $25,000 for loss of housekeeping services, as well as some other minor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Kasic</w:t>
      </w:r>
      <w:r>
        <w:rPr>
          <w:rFonts w:ascii="arial" w:eastAsia="arial" w:hAnsi="arial" w:cs="arial"/>
          <w:color w:val="000000"/>
          <w:sz w:val="20"/>
          <w:lang w:val="en-US" w:eastAsia="en-US" w:bidi="ar-SA"/>
        </w:rPr>
        <w:t>, the plaintiff was 45 years of age when he was injured in motor vehicle accident that occurred in August, 2004. Morrison J. held that he suffered from serious, continuous, chronic, debilitating lower back pain caused by the accident injuries. The injuries had changed him physically, mentally and emotionally. She held that his quality and enjoyment of life had been seriously affected. He was permanently partially disabled. Non pecuniary damages were awarded in the amount of $70,000. Additionally, $100,000 was awarded for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Neither </w:t>
      </w:r>
      <w:r>
        <w:rPr>
          <w:rFonts w:ascii="arial" w:eastAsia="arial" w:hAnsi="arial" w:cs="arial"/>
          <w:i/>
          <w:color w:val="000000"/>
          <w:sz w:val="20"/>
          <w:lang w:val="en-US" w:eastAsia="en-US" w:bidi="ar-SA"/>
        </w:rPr>
        <w:t>Schnare</w:t>
      </w:r>
      <w:r>
        <w:rPr>
          <w:rFonts w:ascii="arial" w:eastAsia="arial" w:hAnsi="arial" w:cs="arial"/>
          <w:color w:val="000000"/>
          <w:sz w:val="20"/>
          <w:lang w:val="en-US" w:eastAsia="en-US" w:bidi="ar-SA"/>
        </w:rPr>
        <w:t xml:space="preserve"> nor </w:t>
      </w:r>
      <w:r>
        <w:rPr>
          <w:rFonts w:ascii="arial" w:eastAsia="arial" w:hAnsi="arial" w:cs="arial"/>
          <w:i/>
          <w:color w:val="000000"/>
          <w:sz w:val="20"/>
          <w:lang w:val="en-US" w:eastAsia="en-US" w:bidi="ar-SA"/>
        </w:rPr>
        <w:t>Kasic</w:t>
      </w:r>
      <w:r>
        <w:rPr>
          <w:rFonts w:ascii="arial" w:eastAsia="arial" w:hAnsi="arial" w:cs="arial"/>
          <w:color w:val="000000"/>
          <w:sz w:val="20"/>
          <w:lang w:val="en-US" w:eastAsia="en-US" w:bidi="ar-SA"/>
        </w:rPr>
        <w:t xml:space="preserve"> provide useful guidance to me here, given my findings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The defence submits that the plaintiff's injuries were limited to mild to moderate soft tissue injuries to her right shoulder and knees, and a contusion to her forehead, and that there is no objective evidence of injury beyond about six months post accident. On that basis the defendant's submit that an appropriate award for non-pecuniary loss is in the range of $10,000 to $20,000. The defendants cited: </w:t>
      </w:r>
      <w:r>
        <w:rPr>
          <w:rFonts w:ascii="arial" w:eastAsia="arial" w:hAnsi="arial" w:cs="arial"/>
          <w:i/>
          <w:color w:val="000000"/>
          <w:sz w:val="20"/>
          <w:lang w:val="en-US" w:eastAsia="en-US" w:bidi="ar-SA"/>
        </w:rPr>
        <w:t>Campbell v. Makela</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2003 BCSC 634</w:t>
        </w:r>
      </w:hyperlink>
      <w:r>
        <w:rPr>
          <w:rFonts w:ascii="arial" w:eastAsia="arial" w:hAnsi="arial" w:cs="arial"/>
          <w:color w:val="000000"/>
          <w:sz w:val="20"/>
          <w:lang w:val="en-US" w:eastAsia="en-US" w:bidi="ar-SA"/>
        </w:rPr>
        <w:t xml:space="preserve">, ($20,000); </w:t>
      </w:r>
      <w:r>
        <w:rPr>
          <w:rFonts w:ascii="arial" w:eastAsia="arial" w:hAnsi="arial" w:cs="arial"/>
          <w:i/>
          <w:color w:val="000000"/>
          <w:sz w:val="20"/>
          <w:lang w:val="en-US" w:eastAsia="en-US" w:bidi="ar-SA"/>
        </w:rPr>
        <w:t>Pennykid v. Escribano</w:t>
      </w:r>
      <w:r>
        <w:rPr>
          <w:rFonts w:ascii="arial" w:eastAsia="arial" w:hAnsi="arial" w:cs="arial"/>
          <w:color w:val="000000"/>
          <w:sz w:val="20"/>
          <w:lang w:val="en-US" w:eastAsia="en-US" w:bidi="ar-SA"/>
        </w:rPr>
        <w:t xml:space="preserve">, </w:t>
      </w:r>
      <w:hyperlink r:id="rId242" w:history="1">
        <w:r>
          <w:rPr>
            <w:rFonts w:ascii="arial" w:eastAsia="arial" w:hAnsi="arial" w:cs="arial"/>
            <w:i/>
            <w:color w:val="0077CC"/>
            <w:sz w:val="20"/>
            <w:u w:val="single"/>
            <w:shd w:val="clear" w:color="auto" w:fill="FFFFFF"/>
            <w:lang w:val="en-US" w:eastAsia="en-US" w:bidi="ar-SA"/>
          </w:rPr>
          <w:t>2004 BCSC 954</w:t>
        </w:r>
      </w:hyperlink>
      <w:r>
        <w:rPr>
          <w:rFonts w:ascii="arial" w:eastAsia="arial" w:hAnsi="arial" w:cs="arial"/>
          <w:color w:val="000000"/>
          <w:sz w:val="20"/>
          <w:lang w:val="en-US" w:eastAsia="en-US" w:bidi="ar-SA"/>
        </w:rPr>
        <w:t xml:space="preserve"> ($14,000); </w:t>
      </w:r>
      <w:r>
        <w:rPr>
          <w:rFonts w:ascii="arial" w:eastAsia="arial" w:hAnsi="arial" w:cs="arial"/>
          <w:i/>
          <w:color w:val="000000"/>
          <w:sz w:val="20"/>
          <w:lang w:val="en-US" w:eastAsia="en-US" w:bidi="ar-SA"/>
        </w:rPr>
        <w:t>Mak v. Eichel</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2008 BCSC 1102</w:t>
        </w:r>
      </w:hyperlink>
      <w:r>
        <w:rPr>
          <w:rFonts w:ascii="arial" w:eastAsia="arial" w:hAnsi="arial" w:cs="arial"/>
          <w:color w:val="000000"/>
          <w:sz w:val="20"/>
          <w:lang w:val="en-US" w:eastAsia="en-US" w:bidi="ar-SA"/>
        </w:rPr>
        <w:t xml:space="preserve"> ($20,000, including an unspecified award for loss of housekeeping capacity); </w:t>
      </w:r>
      <w:r>
        <w:rPr>
          <w:rFonts w:ascii="arial" w:eastAsia="arial" w:hAnsi="arial" w:cs="arial"/>
          <w:i/>
          <w:color w:val="000000"/>
          <w:sz w:val="20"/>
          <w:lang w:val="en-US" w:eastAsia="en-US" w:bidi="ar-SA"/>
        </w:rPr>
        <w:t>Hussain v. Cho</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2012 BCSC 194</w:t>
        </w:r>
      </w:hyperlink>
      <w:r>
        <w:rPr>
          <w:rFonts w:ascii="arial" w:eastAsia="arial" w:hAnsi="arial" w:cs="arial"/>
          <w:color w:val="000000"/>
          <w:sz w:val="20"/>
          <w:lang w:val="en-US" w:eastAsia="en-US" w:bidi="ar-SA"/>
        </w:rPr>
        <w:t xml:space="preserve"> ($25,000 including $5,000 for loss of housekeeping capacity); </w:t>
      </w:r>
      <w:r>
        <w:rPr>
          <w:rFonts w:ascii="arial" w:eastAsia="arial" w:hAnsi="arial" w:cs="arial"/>
          <w:i/>
          <w:color w:val="000000"/>
          <w:sz w:val="20"/>
          <w:lang w:val="en-US" w:eastAsia="en-US" w:bidi="ar-SA"/>
        </w:rPr>
        <w:t>Mohamadi v. Tremblay</w:t>
      </w:r>
      <w:r>
        <w:rPr>
          <w:rFonts w:ascii="arial" w:eastAsia="arial" w:hAnsi="arial" w:cs="arial"/>
          <w:color w:val="000000"/>
          <w:sz w:val="20"/>
          <w:lang w:val="en-US" w:eastAsia="en-US" w:bidi="ar-SA"/>
        </w:rPr>
        <w:t xml:space="preserve">, </w:t>
      </w:r>
      <w:hyperlink r:id="rId245" w:history="1">
        <w:r>
          <w:rPr>
            <w:rFonts w:ascii="arial" w:eastAsia="arial" w:hAnsi="arial" w:cs="arial"/>
            <w:i/>
            <w:color w:val="0077CC"/>
            <w:sz w:val="20"/>
            <w:u w:val="single"/>
            <w:shd w:val="clear" w:color="auto" w:fill="FFFFFF"/>
            <w:lang w:val="en-US" w:eastAsia="en-US" w:bidi="ar-SA"/>
          </w:rPr>
          <w:t>2009 BCSC 898</w:t>
        </w:r>
      </w:hyperlink>
      <w:r>
        <w:rPr>
          <w:rFonts w:ascii="arial" w:eastAsia="arial" w:hAnsi="arial" w:cs="arial"/>
          <w:color w:val="000000"/>
          <w:sz w:val="20"/>
          <w:lang w:val="en-US" w:eastAsia="en-US" w:bidi="ar-SA"/>
        </w:rPr>
        <w:t xml:space="preserve"> ($10,000); </w:t>
      </w:r>
      <w:r>
        <w:rPr>
          <w:rFonts w:ascii="arial" w:eastAsia="arial" w:hAnsi="arial" w:cs="arial"/>
          <w:i/>
          <w:color w:val="000000"/>
          <w:sz w:val="20"/>
          <w:lang w:val="en-US" w:eastAsia="en-US" w:bidi="ar-SA"/>
        </w:rPr>
        <w:t>Eiermann v. Watts</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2004 BCSC 98</w:t>
        </w:r>
      </w:hyperlink>
      <w:r>
        <w:rPr>
          <w:rFonts w:ascii="arial" w:eastAsia="arial" w:hAnsi="arial" w:cs="arial"/>
          <w:color w:val="000000"/>
          <w:sz w:val="20"/>
          <w:lang w:val="en-US" w:eastAsia="en-US" w:bidi="ar-SA"/>
        </w:rPr>
        <w:t xml:space="preserve">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their submissions the defendants' understated the scope of the plaintiff's injuries as compared with my findings.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cases relied upon by the defendants reflect their submissions and for that reason are of only limited assistance to me. I will refer to some of the decisions cited,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Campbell v. Makela</w:t>
      </w:r>
      <w:r>
        <w:rPr>
          <w:rFonts w:ascii="arial" w:eastAsia="arial" w:hAnsi="arial" w:cs="arial"/>
          <w:color w:val="000000"/>
          <w:sz w:val="20"/>
          <w:lang w:val="en-US" w:eastAsia="en-US" w:bidi="ar-SA"/>
        </w:rPr>
        <w:t xml:space="preserve">, </w:t>
      </w:r>
      <w:hyperlink r:id="rId241" w:history="1">
        <w:r>
          <w:rPr>
            <w:rFonts w:ascii="arial" w:eastAsia="arial" w:hAnsi="arial" w:cs="arial"/>
            <w:i/>
            <w:color w:val="0077CC"/>
            <w:sz w:val="20"/>
            <w:u w:val="single"/>
            <w:shd w:val="clear" w:color="auto" w:fill="FFFFFF"/>
            <w:lang w:val="en-US" w:eastAsia="en-US" w:bidi="ar-SA"/>
          </w:rPr>
          <w:t>2003 BCSC 634</w:t>
        </w:r>
      </w:hyperlink>
      <w:r>
        <w:rPr>
          <w:rFonts w:ascii="arial" w:eastAsia="arial" w:hAnsi="arial" w:cs="arial"/>
          <w:color w:val="000000"/>
          <w:sz w:val="20"/>
          <w:lang w:val="en-US" w:eastAsia="en-US" w:bidi="ar-SA"/>
        </w:rPr>
        <w:t>, a ten year old decision of this court, the plaintiff's acute injuries were found to have resolved by 50% within two months of the accident: para 19. At trial almost four years later he continued to experience flare-ups of pain. The non-pecuniary damages were set at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Hussain v. Cho,</w:t>
      </w:r>
      <w:r>
        <w:rPr>
          <w:rFonts w:ascii="arial" w:eastAsia="arial" w:hAnsi="arial" w:cs="arial"/>
          <w:color w:val="000000"/>
          <w:sz w:val="20"/>
          <w:lang w:val="en-US" w:eastAsia="en-US" w:bidi="ar-SA"/>
        </w:rPr>
        <w:t xml:space="preserve"> </w:t>
      </w:r>
      <w:hyperlink r:id="rId244" w:history="1">
        <w:r>
          <w:rPr>
            <w:rFonts w:ascii="arial" w:eastAsia="arial" w:hAnsi="arial" w:cs="arial"/>
            <w:i/>
            <w:color w:val="0077CC"/>
            <w:sz w:val="20"/>
            <w:u w:val="single"/>
            <w:shd w:val="clear" w:color="auto" w:fill="FFFFFF"/>
            <w:lang w:val="en-US" w:eastAsia="en-US" w:bidi="ar-SA"/>
          </w:rPr>
          <w:t>2012 BCSC 194</w:t>
        </w:r>
      </w:hyperlink>
      <w:r>
        <w:rPr>
          <w:rFonts w:ascii="arial" w:eastAsia="arial" w:hAnsi="arial" w:cs="arial"/>
          <w:color w:val="000000"/>
          <w:sz w:val="20"/>
          <w:lang w:val="en-US" w:eastAsia="en-US" w:bidi="ar-SA"/>
        </w:rPr>
        <w:t xml:space="preserve"> the trial judge concluded that the plaintiff had suffered headaches as well as soft tissue injuries as evidenced by pain in her neck, back and shoulder. The judge accepted the medical evidence that the plaintiff had "probably substantially recovered" within a year of the accident, but also found that she continued to suffer some pain and headaches for more than a year after the accident. The plaintiff was awarded $25,000 in non pecuniary damages, which included $5,000 for diminished homemaking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Mak v. Eichel</w:t>
      </w:r>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2008 BCSC 1102</w:t>
        </w:r>
      </w:hyperlink>
      <w:r>
        <w:rPr>
          <w:rFonts w:ascii="arial" w:eastAsia="arial" w:hAnsi="arial" w:cs="arial"/>
          <w:color w:val="000000"/>
          <w:sz w:val="20"/>
          <w:lang w:val="en-US" w:eastAsia="en-US" w:bidi="ar-SA"/>
        </w:rPr>
        <w:t xml:space="preserve">, </w:t>
      </w:r>
      <w:hyperlink r:id="rId243" w:history="1">
        <w:r>
          <w:rPr>
            <w:rFonts w:ascii="arial" w:eastAsia="arial" w:hAnsi="arial" w:cs="arial"/>
            <w:i/>
            <w:color w:val="0077CC"/>
            <w:sz w:val="20"/>
            <w:u w:val="single"/>
            <w:shd w:val="clear" w:color="auto" w:fill="FFFFFF"/>
            <w:lang w:val="en-US" w:eastAsia="en-US" w:bidi="ar-SA"/>
          </w:rPr>
          <w:t>171 A.C.W.S. (3d) 115</w:t>
        </w:r>
      </w:hyperlink>
      <w:r>
        <w:rPr>
          <w:rFonts w:ascii="arial" w:eastAsia="arial" w:hAnsi="arial" w:cs="arial"/>
          <w:color w:val="000000"/>
          <w:sz w:val="20"/>
          <w:lang w:val="en-US" w:eastAsia="en-US" w:bidi="ar-SA"/>
        </w:rPr>
        <w:t xml:space="preserve"> there was little impact on the plaintiff's lifestyle beyond the first two weeks following the accident. The trial judge found that the plaintiff's soft tissue injuries had substantially resolved within five months. As compared with the case before me, the injuries of the plaintiff were of a much shorter duration, and were less serious; the impact on the plaintiff's life was minimal and relatively short-lived. The award was $20,000 including loss of housekeeping capacity for "two or three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Eiermann v. Watts,</w:t>
      </w:r>
      <w:r>
        <w:rPr>
          <w:rFonts w:ascii="arial" w:eastAsia="arial" w:hAnsi="arial" w:cs="arial"/>
          <w:color w:val="000000"/>
          <w:sz w:val="20"/>
          <w:lang w:val="en-US" w:eastAsia="en-US" w:bidi="ar-SA"/>
        </w:rPr>
        <w:t xml:space="preserve"> </w:t>
      </w:r>
      <w:hyperlink r:id="rId246" w:history="1">
        <w:r>
          <w:rPr>
            <w:rFonts w:ascii="arial" w:eastAsia="arial" w:hAnsi="arial" w:cs="arial"/>
            <w:i/>
            <w:color w:val="0077CC"/>
            <w:sz w:val="20"/>
            <w:u w:val="single"/>
            <w:shd w:val="clear" w:color="auto" w:fill="FFFFFF"/>
            <w:lang w:val="en-US" w:eastAsia="en-US" w:bidi="ar-SA"/>
          </w:rPr>
          <w:t>2004 BCSC 98</w:t>
        </w:r>
      </w:hyperlink>
      <w:r>
        <w:rPr>
          <w:rFonts w:ascii="arial" w:eastAsia="arial" w:hAnsi="arial" w:cs="arial"/>
          <w:color w:val="000000"/>
          <w:sz w:val="20"/>
          <w:lang w:val="en-US" w:eastAsia="en-US" w:bidi="ar-SA"/>
        </w:rPr>
        <w:t xml:space="preserve"> the plaintiff sustained soft tissue injury to her shoulders, back and neck. Her neck injury was substantially resolved within about three years of the accident, and her other injuries were substantially resolved within about five years. Her injuries were not disabling in respect of employment. Non pecuniary loss damages of $20,000 were awarded.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 have also considered the following cases: </w:t>
      </w:r>
      <w:r>
        <w:rPr>
          <w:rFonts w:ascii="arial" w:eastAsia="arial" w:hAnsi="arial" w:cs="arial"/>
          <w:i/>
          <w:color w:val="000000"/>
          <w:sz w:val="20"/>
          <w:lang w:val="en-US" w:eastAsia="en-US" w:bidi="ar-SA"/>
        </w:rPr>
        <w:t>Basi v. Buttar</w:t>
      </w:r>
      <w:r>
        <w:rPr>
          <w:rFonts w:ascii="arial" w:eastAsia="arial" w:hAnsi="arial" w:cs="arial"/>
          <w:color w:val="000000"/>
          <w:sz w:val="20"/>
          <w:lang w:val="en-US" w:eastAsia="en-US" w:bidi="ar-SA"/>
        </w:rPr>
        <w:t xml:space="preserve">, </w:t>
      </w:r>
      <w:hyperlink r:id="rId247" w:history="1">
        <w:r>
          <w:rPr>
            <w:rFonts w:ascii="arial" w:eastAsia="arial" w:hAnsi="arial" w:cs="arial"/>
            <w:i/>
            <w:color w:val="0077CC"/>
            <w:sz w:val="20"/>
            <w:u w:val="single"/>
            <w:shd w:val="clear" w:color="auto" w:fill="FFFFFF"/>
            <w:lang w:val="en-US" w:eastAsia="en-US" w:bidi="ar-SA"/>
          </w:rPr>
          <w:t>2010 BCSC 9</w:t>
        </w:r>
      </w:hyperlink>
      <w:r>
        <w:rPr>
          <w:rFonts w:ascii="arial" w:eastAsia="arial" w:hAnsi="arial" w:cs="arial"/>
          <w:color w:val="000000"/>
          <w:sz w:val="20"/>
          <w:lang w:val="en-US" w:eastAsia="en-US" w:bidi="ar-SA"/>
        </w:rPr>
        <w:t xml:space="preserve"> ($30,000 in non-pecuniary damages and $7,000 for loss of housekeeping capacity); </w:t>
      </w:r>
      <w:r>
        <w:rPr>
          <w:rFonts w:ascii="arial" w:eastAsia="arial" w:hAnsi="arial" w:cs="arial"/>
          <w:i/>
          <w:color w:val="000000"/>
          <w:sz w:val="20"/>
          <w:lang w:val="en-US" w:eastAsia="en-US" w:bidi="ar-SA"/>
        </w:rPr>
        <w:t>Bartel v. Milliken</w:t>
      </w:r>
      <w:r>
        <w:rPr>
          <w:rFonts w:ascii="arial" w:eastAsia="arial" w:hAnsi="arial" w:cs="arial"/>
          <w:color w:val="000000"/>
          <w:sz w:val="20"/>
          <w:lang w:val="en-US" w:eastAsia="en-US" w:bidi="ar-SA"/>
        </w:rPr>
        <w:t xml:space="preserve">, </w:t>
      </w:r>
      <w:hyperlink r:id="rId248" w:history="1">
        <w:r>
          <w:rPr>
            <w:rFonts w:ascii="arial" w:eastAsia="arial" w:hAnsi="arial" w:cs="arial"/>
            <w:i/>
            <w:color w:val="0077CC"/>
            <w:sz w:val="20"/>
            <w:u w:val="single"/>
            <w:shd w:val="clear" w:color="auto" w:fill="FFFFFF"/>
            <w:lang w:val="en-US" w:eastAsia="en-US" w:bidi="ar-SA"/>
          </w:rPr>
          <w:t>2012 BCSC 563</w:t>
        </w:r>
      </w:hyperlink>
      <w:r>
        <w:rPr>
          <w:rFonts w:ascii="arial" w:eastAsia="arial" w:hAnsi="arial" w:cs="arial"/>
          <w:color w:val="000000"/>
          <w:sz w:val="20"/>
          <w:lang w:val="en-US" w:eastAsia="en-US" w:bidi="ar-SA"/>
        </w:rPr>
        <w:t xml:space="preserve"> ($35,000 non-pecuniary damages); </w:t>
      </w:r>
      <w:r>
        <w:rPr>
          <w:rFonts w:ascii="arial" w:eastAsia="arial" w:hAnsi="arial" w:cs="arial"/>
          <w:i/>
          <w:color w:val="000000"/>
          <w:sz w:val="20"/>
          <w:lang w:val="en-US" w:eastAsia="en-US" w:bidi="ar-SA"/>
        </w:rPr>
        <w:t>McCreight v. Currie</w:t>
      </w:r>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2007 BCSC 127</w:t>
        </w:r>
      </w:hyperlink>
      <w:r>
        <w:rPr>
          <w:rFonts w:ascii="arial" w:eastAsia="arial" w:hAnsi="arial" w:cs="arial"/>
          <w:color w:val="000000"/>
          <w:sz w:val="20"/>
          <w:lang w:val="en-US" w:eastAsia="en-US" w:bidi="ar-SA"/>
        </w:rPr>
        <w:t xml:space="preserve">, </w:t>
      </w:r>
      <w:hyperlink r:id="rId249" w:history="1">
        <w:r>
          <w:rPr>
            <w:rFonts w:ascii="arial" w:eastAsia="arial" w:hAnsi="arial" w:cs="arial"/>
            <w:i/>
            <w:color w:val="0077CC"/>
            <w:sz w:val="20"/>
            <w:u w:val="single"/>
            <w:shd w:val="clear" w:color="auto" w:fill="FFFFFF"/>
            <w:lang w:val="en-US" w:eastAsia="en-US" w:bidi="ar-SA"/>
          </w:rPr>
          <w:t>155 A.C.W.S. (3d) 90</w:t>
        </w:r>
      </w:hyperlink>
      <w:r>
        <w:rPr>
          <w:rFonts w:ascii="arial" w:eastAsia="arial" w:hAnsi="arial" w:cs="arial"/>
          <w:color w:val="000000"/>
          <w:sz w:val="20"/>
          <w:lang w:val="en-US" w:eastAsia="en-US" w:bidi="ar-SA"/>
        </w:rPr>
        <w:t xml:space="preserve">, varied on other grounds </w:t>
      </w:r>
      <w:hyperlink r:id="rId250" w:history="1">
        <w:r>
          <w:rPr>
            <w:rFonts w:ascii="arial" w:eastAsia="arial" w:hAnsi="arial" w:cs="arial"/>
            <w:i/>
            <w:color w:val="0077CC"/>
            <w:sz w:val="20"/>
            <w:u w:val="single"/>
            <w:shd w:val="clear" w:color="auto" w:fill="FFFFFF"/>
            <w:lang w:val="en-US" w:eastAsia="en-US" w:bidi="ar-SA"/>
          </w:rPr>
          <w:t>2008 BCCA 150</w:t>
        </w:r>
      </w:hyperlink>
      <w:r>
        <w:rPr>
          <w:rFonts w:ascii="arial" w:eastAsia="arial" w:hAnsi="arial" w:cs="arial"/>
          <w:color w:val="000000"/>
          <w:sz w:val="20"/>
          <w:lang w:val="en-US" w:eastAsia="en-US" w:bidi="ar-SA"/>
        </w:rPr>
        <w:t xml:space="preserve"> ($8,000 for loss of housekeeping capacity and $40,000 for non-pecuniary loss); </w:t>
      </w:r>
      <w:r>
        <w:rPr>
          <w:rFonts w:ascii="arial" w:eastAsia="arial" w:hAnsi="arial" w:cs="arial"/>
          <w:i/>
          <w:color w:val="000000"/>
          <w:sz w:val="20"/>
          <w:lang w:val="en-US" w:eastAsia="en-US" w:bidi="ar-SA"/>
        </w:rPr>
        <w:t>Estable v. New</w:t>
      </w:r>
      <w:r>
        <w:rPr>
          <w:rFonts w:ascii="arial" w:eastAsia="arial" w:hAnsi="arial" w:cs="arial"/>
          <w:color w:val="000000"/>
          <w:sz w:val="20"/>
          <w:lang w:val="en-US" w:eastAsia="en-US" w:bidi="ar-SA"/>
        </w:rPr>
        <w:t xml:space="preserve">, </w:t>
      </w:r>
      <w:hyperlink r:id="rId251" w:history="1">
        <w:r>
          <w:rPr>
            <w:rFonts w:ascii="arial" w:eastAsia="arial" w:hAnsi="arial" w:cs="arial"/>
            <w:i/>
            <w:color w:val="0077CC"/>
            <w:sz w:val="20"/>
            <w:u w:val="single"/>
            <w:shd w:val="clear" w:color="auto" w:fill="FFFFFF"/>
            <w:lang w:val="en-US" w:eastAsia="en-US" w:bidi="ar-SA"/>
          </w:rPr>
          <w:t>2011 BCSC 1556</w:t>
        </w:r>
      </w:hyperlink>
      <w:r>
        <w:rPr>
          <w:rFonts w:ascii="arial" w:eastAsia="arial" w:hAnsi="arial" w:cs="arial"/>
          <w:color w:val="000000"/>
          <w:sz w:val="20"/>
          <w:lang w:val="en-US" w:eastAsia="en-US" w:bidi="ar-SA"/>
        </w:rPr>
        <w:t xml:space="preserve"> ($30,000 in non-pecuniary damages, and an additional lump sum of $3,000 for past and future loss of housekeeping capacity); and </w:t>
      </w:r>
      <w:r>
        <w:rPr>
          <w:rFonts w:ascii="arial" w:eastAsia="arial" w:hAnsi="arial" w:cs="arial"/>
          <w:i/>
          <w:color w:val="000000"/>
          <w:sz w:val="20"/>
          <w:lang w:val="en-US" w:eastAsia="en-US" w:bidi="ar-SA"/>
        </w:rPr>
        <w:t>Johnston v. Day</w:t>
      </w:r>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2002 BCSC 480</w:t>
        </w:r>
      </w:hyperlink>
      <w:r>
        <w:rPr>
          <w:rFonts w:ascii="arial" w:eastAsia="arial" w:hAnsi="arial" w:cs="arial"/>
          <w:color w:val="000000"/>
          <w:sz w:val="20"/>
          <w:lang w:val="en-US" w:eastAsia="en-US" w:bidi="ar-SA"/>
        </w:rPr>
        <w:t xml:space="preserve">, </w:t>
      </w:r>
      <w:hyperlink r:id="rId252" w:history="1">
        <w:r>
          <w:rPr>
            <w:rFonts w:ascii="arial" w:eastAsia="arial" w:hAnsi="arial" w:cs="arial"/>
            <w:i/>
            <w:color w:val="0077CC"/>
            <w:sz w:val="20"/>
            <w:u w:val="single"/>
            <w:shd w:val="clear" w:color="auto" w:fill="FFFFFF"/>
            <w:lang w:val="en-US" w:eastAsia="en-US" w:bidi="ar-SA"/>
          </w:rPr>
          <w:t>113 A.C.W.S. (3d) 636</w:t>
        </w:r>
      </w:hyperlink>
      <w:r>
        <w:rPr>
          <w:rFonts w:ascii="arial" w:eastAsia="arial" w:hAnsi="arial" w:cs="arial"/>
          <w:color w:val="000000"/>
          <w:sz w:val="20"/>
          <w:lang w:val="en-US" w:eastAsia="en-US" w:bidi="ar-SA"/>
        </w:rPr>
        <w:t xml:space="preserve"> ($32,500).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Having considered the relevant factors as outlined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and taking into account the authorities which I have mentioned above, I assess Ms. Brown's non-pecuniary damages at $35,000.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award takes into consideration that the plaintiff's injuries would have interfered with her ability to carry out her normal housekeeping and domestic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plaintiff argues that her accident injuries rendered her unemployable. The plaintiff argues that her pre-accident earnings were in the range of $15,000 per annum. Therefore, she contends that appropriate compensation for past loss of earnings or earnings capacity would be 3 1/2 times $15,000, or $52,500.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A claim for past wage loss or pre-trial loss of earning capacity involves assessment of the value of the work that an injured plaintiff would have performed but was unable to perform because of the injury: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251 D.L.R. (4th) 290</w:t>
        </w:r>
      </w:hyperlink>
      <w:r>
        <w:rPr>
          <w:rFonts w:ascii="arial" w:eastAsia="arial" w:hAnsi="arial" w:cs="arial"/>
          <w:color w:val="000000"/>
          <w:sz w:val="20"/>
          <w:lang w:val="en-US" w:eastAsia="en-US" w:bidi="ar-SA"/>
        </w:rPr>
        <w:t xml:space="preserve"> at para. 30. Although awards are often referred to in terms of pass loss of earnings, the award is properly characterized as a loss of earning capacity: </w:t>
      </w:r>
      <w:r>
        <w:rPr>
          <w:rFonts w:ascii="arial" w:eastAsia="arial" w:hAnsi="arial" w:cs="arial"/>
          <w:i/>
          <w:color w:val="000000"/>
          <w:sz w:val="20"/>
          <w:lang w:val="en-US" w:eastAsia="en-US" w:bidi="ar-SA"/>
        </w:rPr>
        <w:t>Bradley v. Bath</w:t>
      </w:r>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2010 BCCA 10</w:t>
        </w:r>
      </w:hyperlink>
      <w:r>
        <w:rPr>
          <w:rFonts w:ascii="arial" w:eastAsia="arial" w:hAnsi="arial" w:cs="arial"/>
          <w:color w:val="000000"/>
          <w:sz w:val="20"/>
          <w:lang w:val="en-US" w:eastAsia="en-US" w:bidi="ar-SA"/>
        </w:rPr>
        <w:t xml:space="preserve">, </w:t>
      </w:r>
      <w:hyperlink r:id="rId254" w:history="1">
        <w:r>
          <w:rPr>
            <w:rFonts w:ascii="arial" w:eastAsia="arial" w:hAnsi="arial" w:cs="arial"/>
            <w:i/>
            <w:color w:val="0077CC"/>
            <w:sz w:val="20"/>
            <w:u w:val="single"/>
            <w:shd w:val="clear" w:color="auto" w:fill="FFFFFF"/>
            <w:lang w:val="en-US" w:eastAsia="en-US" w:bidi="ar-SA"/>
          </w:rPr>
          <w:t>279 B.C.A.C. 240</w:t>
        </w:r>
      </w:hyperlink>
      <w:r>
        <w:rPr>
          <w:rFonts w:ascii="arial" w:eastAsia="arial" w:hAnsi="arial" w:cs="arial"/>
          <w:color w:val="000000"/>
          <w:sz w:val="20"/>
          <w:lang w:val="en-US" w:eastAsia="en-US" w:bidi="ar-SA"/>
        </w:rPr>
        <w:t xml:space="preserve"> at paras. 31-32;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306 D.L.R. (4th) 1</w:t>
        </w:r>
      </w:hyperlink>
      <w:r>
        <w:rPr>
          <w:rFonts w:ascii="arial" w:eastAsia="arial" w:hAnsi="arial" w:cs="arial"/>
          <w:color w:val="000000"/>
          <w:sz w:val="20"/>
          <w:lang w:val="en-US" w:eastAsia="en-US" w:bidi="ar-SA"/>
        </w:rPr>
        <w:t xml:space="preserve"> at para. 153;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accept the plaintiff's evidence that at the time of the accident she was working for OFTDF by placing boxes of chocolates at retail locations. The plaintiff has not proven what earnings she was making from that work. She has not established that the work remained available to her post accident, had she been healthy.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There was no evidence the plaintiff has looked for any alternative work since the motor vehicle accident. As noted, she has helped out at the flea market on Sundays. She testified that she also sells some goods there. There was no evidence as to any earnings at the flea market either prior to or after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On the evidence, the plaintiff has not established that she has lost the value of work that she would have performed but was unable to perform due to her injuries, therefore she has not established a compensable past loss of earnings capacity. I am not satisfied on the evidence that there is an adequate basis for an award for lost earnings.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The plaintiff submits that a reasonable award for loss of future earning capacity would be equivalent to four to five years of her average income pre-accident, which was submitted to be in the range of $15,000. On that basis, the plaintiff claims $60,000 - $75,000 as appropriate compensation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As the plaintiff has not established a significant ongoing disability resulting from the accident injuries, there is no adequate evidentiary basis for an award of lost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Madam Justice Dardi summarized the relevant principles in relation to award for loss of housekeeping capacity at paras. 246 - 249.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In the case at bar, the evidence concerning housekeeping services was exceedingly sparse. The plaintiff testified that prior to her separation, she did the bulk of the domestic chores including cooking and cleaning and yard work. In his opening for the plaintiff, plaintiff's counsel indicated that the plaintiff's former husband would be giving evidence on her behalf, but he was not called as a witness. Thus there is no evidence corroborating the degree to which the plaintiff undertook domestic chores during the course of her marriage.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 now resides with Mr. Racz. As noted, in that relationship she says that domestic duties are done by "whoever has the energy" and "not much gets done". The work that is done is split on a more or less even basis. Mr. Racz gave no evidence concerning household duties. Dr. Campbell's CL19 report of February 18, 2010 indicated that the plaintiff was capable of carrying out her non work activities. His medical-legal report of March 15, 2010 makes no specific reference to her ability to undertake domestic duties although he says that her injuries have "permanently adversely changed and decreased the quality of Ms. Brown's working and private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 has not replaced household duties with any paid assistance. There is no evidence concerning the economic value or replacement cost of household services that the plaintiff has been unable to do. The plaintiff does not advance any in-trust claim for services rendered by a family member or other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In relation to the past, I accept that the plaintiff's injuries would have interfered with her ability to undertake her ordinary household and domestic chores to a degree commensurate with her injuries. That is a factor that should be taken into account in assessing the plaintiff's non pecuniary loss, as I have done: see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at para. 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On the evidence as it relates to the plaintiff's injuries at present and into the future, I am not satisfied that the plaintiff has made out any compensable loss of future housekeeping capacity, beyond that which ought to be taken into account as part of the assessment of non-pecuniary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 submits that an award in the range of $20,000 is appropriate based upon the plaintiff's needs for psychological intervention, and pain management modalities such as physiotherapy and massage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Campbell's opinion is that the plaintiff needs "physical therapy, medical therapy and psychological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I am not satisfied that there is any proven need for such services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Moreover, there was no evidence whatsoever concerning the cost of any such treatments. The plaintiff offers no calculation or rationale supporting the claimed amount of $20,000. Dr. Campbell's report provides no detail as to the amounts or duration of treatment he suggests for the plaintiff. The only specific recommendation for physiotherapy made by Dr. Campbell in the evidence is in his CL19 report of February 18, 2010, where he suggested 10 physiotherapy treatments would be beneficial. The only evidence I have as to cost is the plaintiff's evidence that the user fee was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Therefore the plaintiff has also failed to establish what the costs of the claimed services would be.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The plaintiff argues that she should receive $2,500 for the cost of transportation, by way of mileage for a private vehicle, in respect of medical care, relating, essentially, to her frequent visits to Dr. Campbell.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There is no evidence to support this claim. Moreover, I am not satisfied that many of the plaintiff's visits to Dr. Campbell's office were for any purpose other than to advance the plaintiff's legal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The plaintiff has failed to prove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SUMMARY AND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plaintiff is awarded the sum of $35,000 as compensation for non-pecuniary loss. Her other claims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In the absence of submissions, the plaintiff is entitled to costs at scale B. The parties are at liberty to make further submissions in writing or orally as they wish, provided arrangements for such further submissions are made within 45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F.E. VERHOEVEN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56" style="position:absolute;z-index:2518650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57"/>
          <w:headerReference w:type="default" r:id="rId258"/>
          <w:footerReference w:type="even" r:id="rId259"/>
          <w:footerReference w:type="default" r:id="rId260"/>
          <w:headerReference w:type="first" r:id="rId261"/>
          <w:footerReference w:type="first" r:id="rId2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63" w:history="1">
        <w:r>
          <w:rPr>
            <w:rFonts w:ascii="arial" w:eastAsia="arial" w:hAnsi="arial" w:cs="arial"/>
            <w:b/>
            <w:bCs/>
            <w:i/>
            <w:color w:val="0077CC"/>
            <w:kern w:val="32"/>
            <w:sz w:val="28"/>
            <w:szCs w:val="32"/>
            <w:u w:val="single"/>
            <w:shd w:val="clear" w:color="auto" w:fill="FFFFFF"/>
            <w:lang w:val="en-US" w:eastAsia="en-US" w:bidi="ar-SA"/>
          </w:rPr>
          <w:t>Dhaliwal v. Randhawa, [2016] B.C.J. No. 2253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2-6, 9 and 10,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31,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M130556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2005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Gurpreet Singh Dhaliwal, Plaintiff, and Herman Singh Randhawa,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57" style="position:absolute;z-index:2516643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7" w:name="Keywords_5"/>
      <w:bookmarkEnd w:id="37"/>
      <w:r>
        <w:rPr>
          <w:rFonts w:ascii="arial" w:eastAsia="arial" w:hAnsi="arial" w:cs="arial"/>
          <w:b/>
          <w:color w:val="000000"/>
          <w:sz w:val="20"/>
          <w:lang w:val="en-US" w:eastAsia="en-US" w:bidi="ar-SA"/>
        </w:rPr>
        <w:t>Damages — Physical and psychological injuries — Body injuries — Back and spine — Neck — Soft tissue — Action by motorist for damages for injuries sustained in motor vehicle accident allowed — Plaintiff was injured when his vehicle was sideswiped by defendant's vehicle as defendant attempted to change lanes — Defendant breached s. 151 of Motor Vehicle Act and common law duty of care and was at fault for accident — Plaintiff suffered soft tissue injuries to neck, shoulder and back — Plaintiff entitled to damages of $65,000 for non-pecuniary loss, $5,500 for lost income, special damages of $2,540 and $1,750 for costs of future care — Plaintiff had not established any real and substantial possibility of future income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For personal injuries — Cost of future care — Loss of earning capacity — Special damages — Past loss of income — Expenses and expenditures — Medical — Medications — Therapy or rehabilitation — Non-pecuniary loss — Action by motorist for damages for injuries sustained in motor vehicle accident allowed — Plaintiff was injured when his vehicle was sideswiped by defendant's vehicle as defendant attempted to change lanes — Defendant breached s. 151 of Motor Vehicle Act and common law duty of care and was at fault for accident — Plaintiff suffered soft tissue injuries to neck, shoulder and back — Plaintiff entitled to damages of $65,000 for non-pecuniary loss, $5,500 for lost income, special damages of $2,540 and $1,750 for costs of future care — Plaintiff had not established any real and substantial possibility of future income loss.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 and highway traffic — Rules of the road — Lane changing — Liability — Civil actions — Breach of rules of the road — Operator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motorist for damages for injuries sustained in motor vehicle accident allowed — Plaintiff was injured when his vehicle was sideswiped by defendant's vehicle as defendant attempted to change lanes — Defendant breached s. 151 of Motor Vehicle Act and common law duty of care and was at fault for accident — Plaintiff suffered soft tissue injuries to neck, shoulder and back — Plaintiff entitled to damages of $65,000 for non-pecuniary loss, $5,500 for lost income, special damages of $2,540 and $1,750 for costs of future care — Plaintiff had not established any real and substantial possibility of future income loss.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8" w:name="Case Summary_5"/>
            <w:bookmarkEnd w:id="3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a motorist for damages for injuries he sustained in a motor vehicle accident. Both the plaintiff and the defendant were travelling southbound on a city street. The defendant attempted to change lanes and, in doing so, struck the driver's side of the plaintiff's vehicle with the passenger side of his vehicle. As a result of the accident, the plaintiff suffered soft tissues injuries to his neck, shoulder and back. He claimed that the pain had persisted for more than five years and he now suffered chronic pain. At the time of the accident, the plaintiff was 19 years of age and was working as a labourer at a food market. Following the accident, he could not return to work for a number of weeks and quit his job after attempting an abbreviated return to work. Since that time, he held a variety of other jobs, most of which involved physical labour. He claimed that his injuries prevented him from pursuing his ambition to become a police officer. He had been involved in two prior accidents, in which he suffered minor injuries. In addition, he was involved in another accident after this accident. The plaintiff claimed damages for pain and suffering, lost income and costs of care. The defendant denied liability for the accident and submitted that the plaintiff must share at least some of the fault. He admitted that the plaintiff suffered a soft tissue injury in the accident, but says that the symptoms persisted for less than two years and that the plaintiff had only suffered limited income loss and had not suffered any loss of capacity to work.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9" w:name="Holdings of Court_4"/>
            <w:bookmarkEnd w:id="3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was most likely that the cars were travelling at similar speeds, with the plaintiff's vehicle moving slightly faster. The plaintiff's vehicle was in the defendant's blind spot when the defendant made his shoulder and mirror check. The defendant failed to observe the plaintiff's vehicle and made a quick lane change believing there was no one beside him. As a result, the defendant was in breach of s. 151 of the Motor Vehicle Act and his common law duty to take reasonable care, and he was totally at fault for the accident. As a result of the accident, the plaintiff suffered soft tissue injuries to his neck, shoulder and back. While his neck, shoulder and upper back symptoms had persisted, they did not inhibit his ability to work or carry on with activities of daily life. Given the plaintiff's chronic pain associated with his injuries, he was entitled to an award of $65,000 for non-pecuniary damages. In addition, the plaintiff was entitled to damages of $5,500 for lost income, special damages of $2,540 for medication and chiropractic treatment and $1,750 for costs of future care. The plaintiff had not established that there was any real and substantial possibility of future loss arising from the injuries he suffered in the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0" w:name="Legislation Cited_2"/>
      <w:bookmarkEnd w:id="4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58" style="position:absolute;z-index:2517155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264" w:history="1">
        <w:r>
          <w:rPr>
            <w:rFonts w:ascii="arial" w:eastAsia="arial" w:hAnsi="arial" w:cs="arial"/>
            <w:i/>
            <w:color w:val="0077CC"/>
            <w:sz w:val="20"/>
            <w:u w:val="single"/>
            <w:shd w:val="clear" w:color="auto" w:fill="FFFFFF"/>
            <w:lang w:val="en-US" w:eastAsia="en-US" w:bidi="ar-SA"/>
          </w:rPr>
          <w:t>R.S.B.C. 1996, c. 318, s. 151</w:t>
        </w:r>
      </w:hyperlink>
      <w:r>
        <w:rPr>
          <w:rFonts w:ascii="arial" w:eastAsia="arial" w:hAnsi="arial" w:cs="arial"/>
          <w:color w:val="000000"/>
          <w:sz w:val="20"/>
          <w:lang w:val="en-US" w:eastAsia="en-US" w:bidi="ar-SA"/>
        </w:rPr>
        <w:t>(a)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1" w:name="Counsel_5"/>
      <w:bookmarkEnd w:id="4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59" style="position:absolute;z-index:2517667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Jeffrey K. Logan, Katherine Shortreed.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Julie J. Johal, Ross Moen.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2" w:name="Judgment_5"/>
      <w:bookmarkEnd w:id="42"/>
      <w:r>
        <w:pict>
          <v:line id="_x0000_s1060" style="position:absolute;z-index:2518179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43" w:name="G.B. BUTLER J."/>
            <w:bookmarkEnd w:id="43"/>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Gurpreet Singh Dhaliwal was injured on July 1, 2011 when the vehicle he was driving collided with the vehicle driven by the defendant, Herman Singh Randhawa. Both cars were travelling south on 152nd Street in Surrey, British Columbia. Mr. Randawa attempted to change lanes and, in doing so, struck the driver's side of Mr. Dhaliwal's car with the passenger side of his vehicle. Mr. Dhaliwal suffered soft tissue injuries in the accident and claims damages for pain and suffering, income loss and cost of care. The defendant denies liability for the accident and says that Mr. Dhaliwal must share at least some portion of the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At the time of the accident, Mr. Dhaliwal was 19 years old and working as a labourer unloading fruit at Sun Rich Foods. He was interested in becoming a police officer, but had taken few steps towards that goal. Following the accident, he could not return to work for a number of weeks and quit his job after attempting an abbreviated return to work program. He found other work and, since that time, has held a variety of jobs, most of which have involved physical labour. He says he has suffered neck, back, and shoulder pain ever since the accident and that his condition is chronic, having persisted for more than five years. He alleges that his continuing symptoms have prevented him from pursuing his ambition to become a police officer. He also says he has suffered a loss of capacity to work as a result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admits that Mr. Dhaliwal suffered a soft tissue injury in the accident but says the symptoms persisted for two years or less. The defendant says Mr. Dhaliwal suffered only a limited past income loss and that he has not suffered any loss of capacity to work. Indeed, his income has risen steadily in the years after the accident. Further, the defendant says Mr. Dhaliwal is not limited in his activities or lifestyle. The defendant says that Mr. Dhaliwal leads a very active social and recreational life which can be seen from his Facebook postings. The defendant also argues that Mr. Dhaliwal is not a credible witness and says this Court should reject his assertion that he is continuing to experience symptoms arising from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These circumstances and the parties' positions raise the following issues:</w:t>
      </w:r>
      <w:r>
        <w:rPr>
          <w:rFonts w:ascii="arial" w:eastAsia="arial" w:hAnsi="arial" w:cs="arial"/>
          <w:sz w:val="20"/>
          <w:lang w:val="en-US" w:eastAsia="en-US" w:bidi="ar-SA"/>
        </w:rPr>
        <w:cr/>
      </w:r>
    </w:p>
    <w:p>
      <w:pPr>
        <w:numPr>
          <w:numId w:val="4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fault, if any, does each party bear for the accident?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the nature and extent of Mr. Dhaliwal's injuries, what amount should be awarded for non-pecuniary damages?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should be awarded for past income loss?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 should be awarded for loss of capacity to work?</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amounts should be awarded for special damages and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1. What fault, if any, does each party bear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says he was proceeding lawfully in the right lane and that the defendant should be found entirely at fault for the accident. He says the defendant had a common law and statutory duty to ensure that he could change lanes safely; breaching that duty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 acknowledges that he did not have the right of way, but says the plaintiff accelerated quickly as he approached the intersection. He says he took proper care to make sure he could change lanes safely, and could not have anticipated the plaintiff's acceleration. The defendant says the plaintiff's quick acceleration and speeding was a cause of the accident and that he should be found contributorily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accident occurred at approximately 10:30 p.m. on the evening of July 1, 2011. The parties were the only witnesses to give evidence about the accident. They gave slightly different versions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testified that he was driving friends home. He had not been drinking. He was driving south on 152nd Street and approached 76th Avenue at a speed of between 70 and 80 kilometres per hour. The speed limit was 70 kilometres per hour. As he approached the intersection, he slowed down by taking his foot off the gas pedal. He noted that the vehicle beside him was signalling and it quickly moved from the left lane into the right lane. In doing so, it hit the side of Mr. Dhaliwal's vehicle. He had no opportunity to avoid the collision. His car was pushed into the curb.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testified that he had been at a wedding as a member of the wedding party. He had not been drinking. He was driving to his cousin's house to shower and change. He was driving in the left lane on 152nd Street and was moving into the right lane because he was going to make a right turn at 72nd Avenue. As he approached the intersection at 76th Avenue, he was travelling approximately 60 kilometres per hour. When he entered the intersection the light turned amber. He started to change lanes shortly after the intersection; he believes he did so about 20 or 30 feet after the intersection. Before starting the lane change, he checked his mirror and did a shoulder check. He did not see any vehicle in the lane beside him but did notice a vehicle in the right lane behind him on the other side of 76th Avenue. He thought that vehicle would be stopping for the red light. When he changed lanes, the passenger side of his car struck the driver's side of Mr. Dhaliwal's car. He described the impact as fairly gentle. He managed to get the car under control and quickly stopped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When he spoke to Mr. Dhaliwal and the others in his vehicle, they indicated that they were "OK", meaning they were not hurt in the accident. The defendant said to Mr. Dhaliwal that "he must've gunned it" through the intersection. He did not say what Mr. Dhaliwal's response was to that comment. Both cars were able to drive away. The defendant said that at the time, he thought the parties could resolve the claim without involving ICBC.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cross-examination, the defendant agreed he did not see Mr. Dhaliwal's vehicle prior to the collision. He conceded that he could not be certain that the vehicle was not in his blind spot when he did the shoulder check, although he believes that Mr. Dhaliwal accelerated rapidly through the intersection because the light was changing. He did not see that happen; he believes that is what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conclude that the defendant's version of events is not credible. The suggestion that Mr. Dhaliwal's vehicle was north of the intersection when the defendant did his shoulder check but was suddenly beside him when he changed lanes is improbable. It is much more likely that the accident occurred as Mr. Dhaliwal described. In other words, the cars were travelling at similar speeds, with Mr. Dhaliwal's vehicle moving slightly faster. Mr. Dhaliwal's car was in the defendant's blind spot when he made his shoulder and mirror check. The defendant failed to observe Mr. Dhaliwal's vehicle and made a quick lane change believing there was no one beside him. When he made the lane change, Mr. Dhaliwal's car was, in fact, immediately beside the defendant's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Section 151(a)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imposes a duty on drivers not to change lanes unless they can do so safely. It provides as follows: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151 A driver who is driving a vehicle on a laned roadway</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must not drive it from one lane to another when a broken line only exists between the lanes, unless the driver has ascertained that movement can be made with safety and will in no way affect the travel of another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A driver who changes lanes when it is not safe, not only breaches the duty imposed by that section of the Act, but is also in breach of his common law duty to take reasonable care: </w:t>
      </w:r>
      <w:r>
        <w:rPr>
          <w:rFonts w:ascii="arial" w:eastAsia="arial" w:hAnsi="arial" w:cs="arial"/>
          <w:i/>
          <w:color w:val="000000"/>
          <w:sz w:val="20"/>
          <w:lang w:val="en-US" w:eastAsia="en-US" w:bidi="ar-SA"/>
        </w:rPr>
        <w:t>Brook v. Tod Estate</w:t>
      </w:r>
      <w:r>
        <w:rPr>
          <w:rFonts w:ascii="arial" w:eastAsia="arial" w:hAnsi="arial" w:cs="arial"/>
          <w:color w:val="000000"/>
          <w:sz w:val="20"/>
          <w:lang w:val="en-US" w:eastAsia="en-US" w:bidi="ar-SA"/>
        </w:rPr>
        <w:t xml:space="preserve">, </w:t>
      </w:r>
      <w:hyperlink r:id="rId265" w:history="1">
        <w:r>
          <w:rPr>
            <w:rFonts w:ascii="arial" w:eastAsia="arial" w:hAnsi="arial" w:cs="arial"/>
            <w:i/>
            <w:color w:val="0077CC"/>
            <w:sz w:val="20"/>
            <w:u w:val="single"/>
            <w:shd w:val="clear" w:color="auto" w:fill="FFFFFF"/>
            <w:lang w:val="en-US" w:eastAsia="en-US" w:bidi="ar-SA"/>
          </w:rPr>
          <w:t>2012 BCSC 1947</w:t>
        </w:r>
      </w:hyperlink>
      <w:r>
        <w:rPr>
          <w:rFonts w:ascii="arial" w:eastAsia="arial" w:hAnsi="arial" w:cs="arial"/>
          <w:color w:val="000000"/>
          <w:sz w:val="20"/>
          <w:lang w:val="en-US" w:eastAsia="en-US" w:bidi="ar-SA"/>
        </w:rPr>
        <w:t xml:space="preserve">; aff'd on appeal at </w:t>
      </w:r>
      <w:r>
        <w:rPr>
          <w:rFonts w:ascii="arial" w:eastAsia="arial" w:hAnsi="arial" w:cs="arial"/>
          <w:i/>
          <w:color w:val="000000"/>
          <w:sz w:val="20"/>
          <w:lang w:val="en-US" w:eastAsia="en-US" w:bidi="ar-SA"/>
        </w:rPr>
        <w:t>Brook v. Goodrick</w:t>
      </w:r>
      <w:r>
        <w:rPr>
          <w:rFonts w:ascii="arial" w:eastAsia="arial" w:hAnsi="arial" w:cs="arial"/>
          <w:color w:val="000000"/>
          <w:sz w:val="20"/>
          <w:lang w:val="en-US" w:eastAsia="en-US" w:bidi="ar-SA"/>
        </w:rPr>
        <w:t xml:space="preserve">, </w:t>
      </w:r>
      <w:hyperlink r:id="rId266" w:history="1">
        <w:r>
          <w:rPr>
            <w:rFonts w:ascii="arial" w:eastAsia="arial" w:hAnsi="arial" w:cs="arial"/>
            <w:i/>
            <w:color w:val="0077CC"/>
            <w:sz w:val="20"/>
            <w:u w:val="single"/>
            <w:shd w:val="clear" w:color="auto" w:fill="FFFFFF"/>
            <w:lang w:val="en-US" w:eastAsia="en-US" w:bidi="ar-SA"/>
          </w:rPr>
          <w:t>2013 BCCA 503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defendant argues that the plaintiff should be found contributorily negligent because he accelerated through the intersection at an unsafe speed. He relies on a number of decisions where courts apportioned liability for a lane change accident between the parties, including: </w:t>
      </w:r>
      <w:r>
        <w:rPr>
          <w:rFonts w:ascii="arial" w:eastAsia="arial" w:hAnsi="arial" w:cs="arial"/>
          <w:i/>
          <w:color w:val="000000"/>
          <w:sz w:val="20"/>
          <w:lang w:val="en-US" w:eastAsia="en-US" w:bidi="ar-SA"/>
        </w:rPr>
        <w:t>Langley v. Heppner</w:t>
      </w:r>
      <w:r>
        <w:rPr>
          <w:rFonts w:ascii="arial" w:eastAsia="arial" w:hAnsi="arial" w:cs="arial"/>
          <w:color w:val="000000"/>
          <w:sz w:val="20"/>
          <w:lang w:val="en-US" w:eastAsia="en-US" w:bidi="ar-SA"/>
        </w:rPr>
        <w:t xml:space="preserve">, </w:t>
      </w:r>
      <w:hyperlink r:id="rId267" w:history="1">
        <w:r>
          <w:rPr>
            <w:rFonts w:ascii="arial" w:eastAsia="arial" w:hAnsi="arial" w:cs="arial"/>
            <w:i/>
            <w:color w:val="0077CC"/>
            <w:sz w:val="20"/>
            <w:u w:val="single"/>
            <w:shd w:val="clear" w:color="auto" w:fill="FFFFFF"/>
            <w:lang w:val="en-US" w:eastAsia="en-US" w:bidi="ar-SA"/>
          </w:rPr>
          <w:t>2011 BCSC 179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Tse v. Jung</w:t>
      </w:r>
      <w:r>
        <w:rPr>
          <w:rFonts w:ascii="arial" w:eastAsia="arial" w:hAnsi="arial" w:cs="arial"/>
          <w:color w:val="000000"/>
          <w:sz w:val="20"/>
          <w:lang w:val="en-US" w:eastAsia="en-US" w:bidi="ar-SA"/>
        </w:rPr>
        <w:t xml:space="preserve">, </w:t>
      </w:r>
      <w:hyperlink r:id="rId268" w:history="1">
        <w:r>
          <w:rPr>
            <w:rFonts w:ascii="arial" w:eastAsia="arial" w:hAnsi="arial" w:cs="arial"/>
            <w:i/>
            <w:color w:val="0077CC"/>
            <w:sz w:val="20"/>
            <w:u w:val="single"/>
            <w:shd w:val="clear" w:color="auto" w:fill="FFFFFF"/>
            <w:lang w:val="en-US" w:eastAsia="en-US" w:bidi="ar-SA"/>
          </w:rPr>
          <w:t>[1998] B.C.J. No. 1281</w:t>
        </w:r>
      </w:hyperlink>
      <w:r>
        <w:rPr>
          <w:rFonts w:ascii="arial" w:eastAsia="arial" w:hAnsi="arial" w:cs="arial"/>
          <w:color w:val="000000"/>
          <w:sz w:val="20"/>
          <w:lang w:val="en-US" w:eastAsia="en-US" w:bidi="ar-SA"/>
        </w:rPr>
        <w:t xml:space="preserve"> (S.C.); and </w:t>
      </w:r>
      <w:r>
        <w:rPr>
          <w:rFonts w:ascii="arial" w:eastAsia="arial" w:hAnsi="arial" w:cs="arial"/>
          <w:i/>
          <w:color w:val="000000"/>
          <w:sz w:val="20"/>
          <w:lang w:val="en-US" w:eastAsia="en-US" w:bidi="ar-SA"/>
        </w:rPr>
        <w:t>Erkel v. Brietzke</w:t>
      </w:r>
      <w:r>
        <w:rPr>
          <w:rFonts w:ascii="arial" w:eastAsia="arial" w:hAnsi="arial" w:cs="arial"/>
          <w:color w:val="000000"/>
          <w:sz w:val="20"/>
          <w:lang w:val="en-US" w:eastAsia="en-US" w:bidi="ar-SA"/>
        </w:rPr>
        <w:t xml:space="preserve">, </w:t>
      </w:r>
      <w:hyperlink r:id="rId269" w:history="1">
        <w:r>
          <w:rPr>
            <w:rFonts w:ascii="arial" w:eastAsia="arial" w:hAnsi="arial" w:cs="arial"/>
            <w:i/>
            <w:color w:val="0077CC"/>
            <w:sz w:val="20"/>
            <w:u w:val="single"/>
            <w:shd w:val="clear" w:color="auto" w:fill="FFFFFF"/>
            <w:lang w:val="en-US" w:eastAsia="en-US" w:bidi="ar-SA"/>
          </w:rPr>
          <w:t>[1997] B.C.J. No. 1601</w:t>
        </w:r>
      </w:hyperlink>
      <w:r>
        <w:rPr>
          <w:rFonts w:ascii="arial" w:eastAsia="arial" w:hAnsi="arial" w:cs="arial"/>
          <w:color w:val="000000"/>
          <w:sz w:val="20"/>
          <w:lang w:val="en-US" w:eastAsia="en-US" w:bidi="ar-SA"/>
        </w:rPr>
        <w:t xml:space="preserve"> (S.C.). In each of those cases, the court concluded that excessive speed of the vehicle not changing lanes was a contributing factor. Here, I find that the plaintiff was driving at close to the speed limit and similar to the speed of the defendant's vehicle. In these circumstances, the plaintiff's speed was not a contributing factor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summary, the defendant is entirely at fault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2. Given the nature and extent of Mr. Dhaliwal's injuries, what amount should be awarded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Dhaliwal says he has suffered neck, shoulder and back pain for the five years since the accident. He submits that the Court should accept his evidence about the nature and extent of his symptoms, and that there is no basis to the defence position that he is not a credible witness. The plaintiff further argues that based on his evidence of his symptoms and the medical evidence presented, he now suffers from chronic pain. He acknowledges that he only missed about two months of work immediately after the accident and since that time has been able to work at jobs which involve physical labour. However, he submits that his stoicism in the face of his ongoing symptoms does not diminish their severity. He has managed to work through the symptoms with the benefit of regular chiropractic treatments which he will continue to require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these circumstances, the plaintiff argues that an appropriate award for non-pecuniary damages is $80,000.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defendant argues that this was a relatively minor accident. Both parties were able to drive away, and none of the plaintiff's passengers were injured. The defendant accepts that Mr. Dhaliwal suffered mild to moderate soft tissue injuries to his upper back, and shoulders. However, the defendant argues that, based on all the evidence, including reports from the plaintiff's chiropractor and family physician, the injuries had substantially resolved within two years of the accident. Mr. Dhaliwal's activities and lifestyle since the accident reflect this and are corroborated by the medical reports and clinical records. Mr. Randhawa further submits that, to the extent that the plaintiff does have ongoing discomfort, this is more likely related to Mr. Dhaliwal's work activities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defendant also argues that Mr. Dhaliwal is a poor historian, and his evidence about his injuries should be examined critically, and much of it should be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defendant says a fair award for non-pecuniary damages is in the range of $30,000 to $35,000.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Before addressing the nature and extent of the injuries, I must comment on the defendant's assertion that Mr. Dhaliwal was not a credible or reliable witness. The defence relied on the following as examples of his lack of credibility: his statement on discovery that he continued to live at the family home after the accident, which was false; his inability in cross-examination to recall whether he made statements attributed to him in the medical reports; his lack of recall about his personal and medical history; and his inaccurate statements about the nature of his work at Canada Cartage which were contradicted by his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Dhaliwal gave evidence over several days during the course of the trial. I formed the impression that he approaches life in a relaxed and easygoing manner. He was less than precise about his medical history and other matters. However, this is simply a reflection of his nature; he was not a particularly good historian. He did not make particular note of his symptoms as they changed over time and so could not provide a detailed or accurate history of the development of his injury symptoms. While he was not good at providing detail about the progression of his symptoms, I conclude that he did not intentionally mislead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Before leaving this area, I should comment on the suggestion that Mr. Dhaliwal lied under oath about his residence when he stated on discovery that he continued to live at his parents' home when in fact he had an apartment where he slept. I accept his explanation for the inaccuracy. He moved out of the family home shortly after the accident because he and his father did not get along. His father was critical about his lifestyle and his failure to pursue a career as a mechanic. While he maintained a separate residence where he stayed overnight, Mr. Dhaliwal still spent a great deal of time at his parents' house and used it as his mailing address. He explained that as a young, unmarried south-Asian male, the cultural expectation is that he would live with his parents. Accordingly, when asked where he lived, he would say he lived at his parents' home; just as he did on discovery. The answer was not intended to mislead and would not have advantaged him in any way in the proceeding. Hence, it is irrelevant to his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summary, I conclude that Mr. Dhaliwal is a reasonably credible witness who tried to testify accurately. However, given his easygoing nature and lack of attention to detail, I find that his evidence regarding the history of his injury symptoms cannot be accepted at face value. In these circumstances, his reports to his doctors and their medical reports are critical to my assessment of the nature and progress of his injuries. I will summarize Mr. Dhaliwal's evidence and include reference to the notations in his clinical records. I will also refer to the doctors' reports.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 was involved in two prior motor vehicle accidents on November 24, 2010 and January 8, 2011. On each occasion the Mustang he was driving was written off. He sought medical attention both times, but had no ongoing complaints, and made no claim for personal injuries arising from those accidents. There is no suggestion in the clinical records that he had persisting symptoms arising from either of those accidents. I accept Mr. Dhaliwal's assertion that by July 1, 2011, the day of the collision with Mr. Randhawa, he had completely recovered from the minor injuries suffered in those accidents. The defendant's expert, Dr. Piper, provided an opinion to the contrary which is without merit. There is no evidence to support that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morning after the accident, Mr. Dhaliwal had headaches and pain in his neck and back. A few days later he began to have pain in his shoulders. He saw his family doctor, Dr. Pardeep Rai, a number of times in July 2011. Dr. Rai recommended stretching and physiotherapy and prescribed muscle relaxant, anti-inflammatory, and pain medications. Mr. Dhaliwal started chiropractic treatments shortly after the accident and by early August he was seeing Dr. Grant O'Neill, his chiropractor, two or three times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Dhaliwal gave little evidence about the progression of his symptoms during the fall of 2011, but he saw Dr. Rai almost once a week until mid-October. Dr. Rai's clinical records and report, which I conclude accurately set out the nature of the plaintiff's complaints and the doctor's assessment, describe his progression. For the first two to three weeks, Mr. Dhaliwal was experiencing symptoms which Dr. Rai ascribed to an upper back or rhomboid strain. The first indication of some improvement was on July 28, 2011: Dr. Rai noted that the "[p]atient stated overall the symptoms were improved". In the August 8th note, Dr. Rai indicates that the plan was to continue with the chiropractic treatment, do home exercises and take one month off work. On August 17, 2011, Dr. Rai examined Mr. Dhaliwal and completed the CL-19 form for ICBC. He diagnosed a Grade II neck/ upper back strain and indicated that Mr. Dhaliwal was capable of a graduated return to work performing light duties. Significantly, he did not diagnose a low back strain. He indicated that Mr. Dhaliwal was capable of carrying out all non-work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Dhaliwal was unable to work because of his injuries. His job involved lifting and unloading large boxes of fruit weighing as much as 45 pounds. He took a few weeks off work as Dr. Rai recommended. On August 26, Dr. Rai advised Mr. Dhaliwal to return to work on a trial basis, performing light duties. Mr. Dhaliwal performed light duties for a few days (de-stemming grapes and sweeping), but found that he could not stand for long enough to de-stem grapes, and his employer did not have enough sweeping to fill his time. After a few days of the light duty work, his employer told him not to return to work unless he was fully recovered. As a result of that advice, and Mr. Dhaliwal's belief that he could not do the work, he never returned to work at Sun Rich after September 2011. He failed to let his employer know he was quitting, and the company eventually fired him in early 2012. This was of no consequence to him as he was working elsewhere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By mid-September, Dr. Rai noted that Mr. Dhaliwal's symptoms had improved further. Dr. Rai's note of September 26, 2011 indicates that he advised Mr. Dhaliwal to continue with his light duties and to work through the discomfort. However, shortly after that, Mr. Dhaliwal decided not to continue with the work and started to look for another job. Dr. Rai eventually supported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Mr. Dhaliwal was having difficulty doing the work at Sun Rich and that this was a factor in his decision to leave that job. However, I find that his decision to leave Sun Rich was also influenced by other factors. He did not like the working conditions which required much of the work to be done in a very cold environment. I also infer that he did not like working at the same place as his father. In any event, he decided to seek employment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October 2011, the plaintiff began working for Abbsry Tires doing oil changes and tire changes, wheel balancing and tire rotations. While the work was physical, it involved much less lifting than the Sun Rich job. Mr. Dhaliwal was able to tolerate it. In the following months he progressed through a number of different jobs. He worked at an auto parts store for a short period. He then registered with an employment agency which assigned him to jobs doing warehouse work. Mr. Dhaliwal was able to tolerate this work which involved some level of lifting. He described the work as "hand bombing" which involved lifting 20 to 30 pounds at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On October 9, 2011, Mr. Dhaliwal was involved in another car accident when someone attempted to hijack his car at gunpoint. Dr. Rai's note suggests that Mr. Dhaliwal was suffering stress from that incident and he advised the plaintiff to look for signs of PTSD as a result of the hijacking. Dr. Rai notes that Mr. Dhaliwal's back pain had increased "from his previous encounters". However, there is nothing in the clinical records which follow to indicate that the October 9th incident increased the severity of his symptoms. I conclude that this accident was not an intervening cause which increased the nature or extent of the plaintiff's injury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After the hijacking incident, Mr. Dhaliwal saw Dr. Rai less frequently. He next saw Dr. Rai in January 2012 when Dr. Rai noted he was "still having discomfort in his back region". He was advised to continue with his present management and to limit any overuse activities involving the left shoulder. After that visit Mr. Dhaliwal did not see Dr. Rai again for 13 months. At the next visit in February 2013, Dr. Rai notes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Overall symptoms have been improving, however there still is a little discomfort. Patient states that the change in his job description has improved his overall symptoms. Patient now only taking over-the-counter analgesic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After January 30, 2012, the plaintiff saw his family doctor for medical treatment on only four occasions: February 16, 2013, September 18, 2013, November 24, 2014 and January 6, 2015. The notations for each of the visits indicate that he was experiencing continuing discomfort that he was managing with chiropractic treatments every three to six weeks. While the treatments gave him relief from his shoulder and back pain, the relief did not last, and he had to get follow-up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Rai's September 18, 2013 note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Patient still having some discomfort with full time regular work duties. Currently patient is a forklift driver. Patient is attending chiropractic management on a monthly basis. Objectively there is tenderness palpation located in the left upper intrascapular region of the back. Overall range of motion of the neck was normal and also flexion and extension of the back was normal. Assessment and plan was soft tissue injury upper back and advised to continue with present management. Overall symptoms were relatively well controlled and patient is now dealing with primarily discomfort versus pain. He was advised to continue chiropractic management on an as-needed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Dhaliwal described the back pain he was experiencing at the time of trial. He said he continues to feel pain in his neck (especially lower neck), shoulder blades (especially on the left side), mid-back (when he does repetitive lifting), and in his lower back (from prolonged standing). The pain varies in intensity. He says the left shoulder pain is present at all times, while the pain in the other areas varies with activity. He also testified that there has been no change in the symptoms in the last six months. In other words, he says the symptoms have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Dr. Rai's report of February 28, 2014, he diagnosed a soft tissue injury primarily in the plaintiff's upper back and at the base of his neck. He noted that the plaintiff's occupation may have predisposed him to having a longer clinical course of symptoms than is usual with a soft tissue injury. He wrote: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Chronic back pain, or chronic soft tissue injury, most commonly is defined as pain lasting for greater than 3 - 6 months. The etiology of the source of pain is due to an irritated nerve ending of the muscle tissue stimulating pain neurotransmitters to the brain from muscles that may or may not actually be injured. The most likely diagnosis is referred to as myofascial pain syndrome. This would imply that there is injury of a chronic nature to the muscle tissue. This diagnosis would be supported by the relatively unremarkable MRI of the C-spine which did not support any evidence of nerve root impingement. Furthermore, given that the patient continues to have issues with this ongoing left upper back and neck region I would be guarded in making clear [the] time of complete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Dhaliwal began chiropractic treatments with Dr. O'Neill shortly after the accident and has continued those on a regular basis since that time. Dr. O'Neill provided reports dated December 10, 2013 and January 20, 2016. I did not find Dr. O'Neill's opinion evidence to be of much value. His second report dealt with matters beyond his expertise and I will not refer to it. Of course, he has an interest in having Mr. Dhaliwal continue with the regular monthly or bi-weekly visits and that was his recommendation. While I did not find his opinion evidence to provide much assistance to the Court, he has seen Mr. Dhaliwal on a regular basis since the accident. His first report records Mr. Dhaliwal's complaints as well as Dr. O'Neill's impressions about how his symptoms changed over time. Accordingly, that report has some value. Relevant passages in the "Discussion" portion of the report include:</w:t>
      </w:r>
      <w:r>
        <w:rPr>
          <w:rFonts w:ascii="arial" w:eastAsia="arial" w:hAnsi="arial" w:cs="arial"/>
          <w:sz w:val="20"/>
          <w:lang w:val="en-US" w:eastAsia="en-US" w:bidi="ar-SA"/>
        </w:rPr>
        <w:cr/>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Mr. Dhaliwal reported slow but steady improvement [over] the course of his rehabilitation and treatment that he initially received. Mr. Dhaliwal was given a program of active rehabilitation including core exercises. Spinal percussion therapy, active release technique soft tissue therapy and spinal manual therapy were performed to improve spinal motion and decrease nerve irritation. He noted improvement in symptomatology and function. Manual treatment enabled him to have less reliance on analgesic medication. Further he was given advice on proper lifting, sleeping, sitting and standing postures to prevent injury or re-aggravation. He was able to eventually return to the gym. As he reached a clinical plateau, his treatment regime was reduced to once a month visits which although not curative, allow him to function at a higher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Follow-up assessments over the course of the last two years showed slow but continued improvement...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Overall he had found the recovery to be progressing where most days are "pretty good" although he still has not returned to pre-accident status. Mr. Dhaliwal was back to normal activities of daily living doing both gym work and recreational soccer that he had given up for 2 years. He was able to perform his work duties as a lift truck operator as there was less heavy lifting or repetitive work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O'Neill required patients, including Mr. Dhaliwal, to complete a form describing their level of pain and function. On September 18, 2013, he reported that his neck pain was a 3/10 and he described it as very mild. He reported his low back pain as less severe. He gave positive reports about his ability to function with his low back pain and gave the following report on his neck pain: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look after myself normally without causing extra pain;</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lift heavy weights without extra pain;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read as much as I want to with slight pain in my neck;</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 headaches at all;</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concentrate fully when I want to with no difficulty;</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do as much work as I want to;</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can drive my car without any neck pain;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no trouble sleeping; and</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am able to engage in all my recreation activities with no neck pain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O'Neill's prognosis is similar to that of Dr. Rai. He concludes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Given that that patient's condition has essentially plateaued and all the modifying factors present in this case, although mild improvement is possible, I do not anticipate a return to full pre-accident status with a guarded outlook for complete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Daniel Gouws, a physician who practises in the field of occupational medicine, also gave evidence on Mr. Dhaliwal's behalf. Dr. Gouws does not do any clinical work; rather, he performs vocational assessments and does industry reports on occupational health. He also performs therapeutic Botox injections. He saw the plaintiff once on October 5, 2015. Usually, an occupational health physician will consider functional test data when assessing the employability of a patient. Here, no functional testing was performed and so no such data was available to Dr. Gouws. Accordingly, his opinion was based only on his physical examination and his interview of the plaintiff conducted more than four years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It is unfortunate that this Court is receiving more and more reports of this kind. They provide little or no new evidence. Here, Dr. Gouws purports to offer an opinion on the plaintiff's ability to work, based on current and historic complaints, and the reports and clinical records available. In other words, Dr. Gouws is offering little that is not already before the Court. The report is, in substance, an invitation for the Court to abdicate its role to decide a central issue in this case. In </w:t>
      </w:r>
      <w:r>
        <w:rPr>
          <w:rFonts w:ascii="arial" w:eastAsia="arial" w:hAnsi="arial" w:cs="arial"/>
          <w:i/>
          <w:color w:val="000000"/>
          <w:sz w:val="20"/>
          <w:lang w:val="en-US" w:eastAsia="en-US" w:bidi="ar-SA"/>
        </w:rPr>
        <w:t>R. v. Sekhon</w:t>
      </w:r>
      <w:r>
        <w:rPr>
          <w:rFonts w:ascii="arial" w:eastAsia="arial" w:hAnsi="arial" w:cs="arial"/>
          <w:color w:val="000000"/>
          <w:sz w:val="20"/>
          <w:lang w:val="en-US" w:eastAsia="en-US" w:bidi="ar-SA"/>
        </w:rPr>
        <w:t xml:space="preserve">, </w:t>
      </w:r>
      <w:hyperlink r:id="rId161" w:history="1">
        <w:r>
          <w:rPr>
            <w:rFonts w:ascii="arial" w:eastAsia="arial" w:hAnsi="arial" w:cs="arial"/>
            <w:i/>
            <w:color w:val="0077CC"/>
            <w:sz w:val="20"/>
            <w:u w:val="single"/>
            <w:shd w:val="clear" w:color="auto" w:fill="FFFFFF"/>
            <w:lang w:val="en-US" w:eastAsia="en-US" w:bidi="ar-SA"/>
          </w:rPr>
          <w:t>2014 SCC 15</w:t>
        </w:r>
      </w:hyperlink>
      <w:r>
        <w:rPr>
          <w:rFonts w:ascii="arial" w:eastAsia="arial" w:hAnsi="arial" w:cs="arial"/>
          <w:color w:val="000000"/>
          <w:sz w:val="20"/>
          <w:lang w:val="en-US" w:eastAsia="en-US" w:bidi="ar-SA"/>
        </w:rPr>
        <w:t xml:space="preserve"> at para. 76, Moldaver J. reaffirmed this, writing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this Court has repeatedly cautioned that expert evidence must not be allowed to usurp the role of the trier of fact. The trier of fact, whether a judge or a jury, is responsible for deciding the questions in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Without any functional testing data, Dr. Gouws' report is of limited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After noting that Mr. Dhaliwal is, by "all accounts...managing the physical demands of [his] job without any difficulty", Dr. Gouws offers a conclusion regarding prognosis and degree of impairment similar to Dr. Rai's: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than four years have elapsed since Mr. Dhaliwal's accident. It is my opinion that his prognosis for further recovery of the injuries suffered to his neck and back over time is guarded, although it is unlikely that the injuries suffered in the accident will undergo progressive deterioration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Gouws also recommends that Mr. Dhaliwal should continue with his monthly chiropractic treatments and that he would benefit from a vocational assessment to review future career options. Dr. Gouws also says that a regular exercise program will be Mr. Dhaliwal's best defence against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Dr. Piper gave evidence on behalf of the defendant. His report is also of limited value. Like Dr. Gouws, he saw Mr. Dhaliwal on only one occasion, in December 2015. His statement that the "accident may have caused an aggravation of pre-existent injuries" from the November 2010 accident was, as I have noted, without any evidentiary basis. There is no suggestion in the clinical records or evidence to support a finding that Mr. Dhaliwal had injuries from the November 2010 accident which persisted for any time let alone to July 2011. Dr. Piper's statement that Dr. Rai "appeared to feel that the prognosis for Mr. Dhaliwal was really very good" misstates the prognosis in Dr. Rai's report. Given these two obvious flaws in Dr. Piper's report, I cannot give much weight to the balance of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Dhaliwal's activities in recent years are also relevant to the nature and extent of his injuries. His Facebook postings show that he purchased a sport-style motorcycle in February 2015 and rode it in and around the Lower Mainland area. He has taken part in white-water rafting, hiking and has taken trips to Winnipeg, India and London. In addition, he regularly lifts weights and runs on a treadmill at the gym, although he says he has curtailed the workouts somewhat.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When I examine all of the evidence, I reach the following conclusions about the nature and extent of Mr. Dhaliwal's injuries and symptoms. He suffered a soft tissue injury to his upper back and the base of his neck. He may have suffered a minor soft tissue injury to his lower back but this was resolved within six weeks of the accident. The upper back, shoulder and neck symptoms persisted for more than two years. However, by September 2013, the symptoms were significantly less serious. While the symptoms have persisted up to the present time, they do not inhibit his ability to work or carry on with activities of daily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arrive at the conclusion that Mr. Dhaliwal has no persisting low back injury on the basis of Dr. Rai's findings and the conclusions reported in his medical legal report. The absence of persisting low back symptoms was also noted on the August 17, 2011 CL-19 form prepared by Dr. Rai.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initial symptoms interfered with Mr. Dhaliwal's employment at Sun Rich and led to his decision to look for other employment. He quickly found other work and has moved through a variety of jobs since the accident. His injury symptoms have not had any impact on his job choices since the move away from Sun Rich. He has continued to work in positions which require a fair degree of physical activity including lifting moderate weights. He has been able to perform the activities without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Dhaliwal gave very limited evidence about feeling depressed following the accident. Further, any claim for psychological injury was not actively pursued. I accept Dr. Rai's observation that "it is difficult to give any objective findings of emotional stress and depression that the patient may be feeling." Any stress or anxiety arising from the injuries suffered in the accident was minor.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 conclude that Mr. Dhaliwal was disabled from the injuries suffered in the accident for six to eight weeks. In other words, he was not able to carry on with his duties at work. He had a gradual improvement in his symptoms throughout the balance of 2011 and into 2012. His condition continued to improve through 2013. I accept the finding of Dr. Rai that by September 2013 the residual symptoms from the accident injuries were causing Mr. Dhaliwal ongoing </w:t>
      </w:r>
      <w:r>
        <w:rPr>
          <w:rFonts w:ascii="arial" w:eastAsia="arial" w:hAnsi="arial" w:cs="arial"/>
          <w:i/>
          <w:color w:val="000000"/>
          <w:sz w:val="20"/>
          <w:lang w:val="en-US" w:eastAsia="en-US" w:bidi="ar-SA"/>
        </w:rPr>
        <w:t>discomfort</w:t>
      </w:r>
      <w:r>
        <w:rPr>
          <w:rFonts w:ascii="arial" w:eastAsia="arial" w:hAnsi="arial" w:cs="arial"/>
          <w:color w:val="000000"/>
          <w:sz w:val="20"/>
          <w:lang w:val="en-US" w:eastAsia="en-US" w:bidi="ar-SA"/>
        </w:rPr>
        <w:t>. That term was used to characterize the intensity of those symptoms. In other words, there was ongoing discomfort rather than ongoing pain. I also conclude that the low back pain or discomfort experienced by Mr. Dhaliwal on an ongoing basis after 2011 was not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 also conclude that Mr. Dhaliwal has continued to experience some ongoing discomfort in his neck, shoulder and upper back as a result of the injuries suffered in the accident. In other words, I accept that he experiences mild discomfort in those areas. The pain or discomfort has continued for more than five years. Accordingly, it has become chronic and it is likely to persist. However, the discomfort does not interfere with Mr. Dhaliwal's ability to work at jobs which require a moderate level of physical activity. I find, as stated by Dr. Gouws, that it is unlikely the injuries will undergo progressive deterioration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Having arrived at these conclusions, I turn to the assessment of a fair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plaintiff relies on the following cases to establish the range of damages: </w:t>
      </w:r>
      <w:r>
        <w:rPr>
          <w:rFonts w:ascii="arial" w:eastAsia="arial" w:hAnsi="arial" w:cs="arial"/>
          <w:i/>
          <w:color w:val="000000"/>
          <w:sz w:val="20"/>
          <w:lang w:val="en-US" w:eastAsia="en-US" w:bidi="ar-SA"/>
        </w:rPr>
        <w:t>Park v. Abd El Malak</w:t>
      </w:r>
      <w:r>
        <w:rPr>
          <w:rFonts w:ascii="arial" w:eastAsia="arial" w:hAnsi="arial" w:cs="arial"/>
          <w:color w:val="000000"/>
          <w:sz w:val="20"/>
          <w:lang w:val="en-US" w:eastAsia="en-US" w:bidi="ar-SA"/>
        </w:rPr>
        <w:t xml:space="preserve">, </w:t>
      </w:r>
      <w:hyperlink r:id="rId270" w:history="1">
        <w:r>
          <w:rPr>
            <w:rFonts w:ascii="arial" w:eastAsia="arial" w:hAnsi="arial" w:cs="arial"/>
            <w:i/>
            <w:color w:val="0077CC"/>
            <w:sz w:val="20"/>
            <w:u w:val="single"/>
            <w:shd w:val="clear" w:color="auto" w:fill="FFFFFF"/>
            <w:lang w:val="en-US" w:eastAsia="en-US" w:bidi="ar-SA"/>
          </w:rPr>
          <w:t>2015 BCSC 223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Proctor-McLeod v. Clarke</w:t>
      </w:r>
      <w:r>
        <w:rPr>
          <w:rFonts w:ascii="arial" w:eastAsia="arial" w:hAnsi="arial" w:cs="arial"/>
          <w:color w:val="000000"/>
          <w:sz w:val="20"/>
          <w:lang w:val="en-US" w:eastAsia="en-US" w:bidi="ar-SA"/>
        </w:rPr>
        <w:t xml:space="preserve">, </w:t>
      </w:r>
      <w:hyperlink r:id="rId271" w:history="1">
        <w:r>
          <w:rPr>
            <w:rFonts w:ascii="arial" w:eastAsia="arial" w:hAnsi="arial" w:cs="arial"/>
            <w:i/>
            <w:color w:val="0077CC"/>
            <w:sz w:val="20"/>
            <w:u w:val="single"/>
            <w:shd w:val="clear" w:color="auto" w:fill="FFFFFF"/>
            <w:lang w:val="en-US" w:eastAsia="en-US" w:bidi="ar-SA"/>
          </w:rPr>
          <w:t>2013 BCSC 1207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Johnson v. Kitchener</w:t>
      </w:r>
      <w:r>
        <w:rPr>
          <w:rFonts w:ascii="arial" w:eastAsia="arial" w:hAnsi="arial" w:cs="arial"/>
          <w:color w:val="000000"/>
          <w:sz w:val="20"/>
          <w:lang w:val="en-US" w:eastAsia="en-US" w:bidi="ar-SA"/>
        </w:rPr>
        <w:t xml:space="preserve">, </w:t>
      </w:r>
      <w:hyperlink r:id="rId272" w:history="1">
        <w:r>
          <w:rPr>
            <w:rFonts w:ascii="arial" w:eastAsia="arial" w:hAnsi="arial" w:cs="arial"/>
            <w:i/>
            <w:color w:val="0077CC"/>
            <w:sz w:val="20"/>
            <w:u w:val="single"/>
            <w:shd w:val="clear" w:color="auto" w:fill="FFFFFF"/>
            <w:lang w:val="en-US" w:eastAsia="en-US" w:bidi="ar-SA"/>
          </w:rPr>
          <w:t>2012 BCSC 1796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Clark v. Kouba</w:t>
      </w:r>
      <w:r>
        <w:rPr>
          <w:rFonts w:ascii="arial" w:eastAsia="arial" w:hAnsi="arial" w:cs="arial"/>
          <w:color w:val="000000"/>
          <w:sz w:val="20"/>
          <w:lang w:val="en-US" w:eastAsia="en-US" w:bidi="ar-SA"/>
        </w:rPr>
        <w:t xml:space="preserve">, </w:t>
      </w:r>
      <w:hyperlink r:id="rId274" w:history="1">
        <w:r>
          <w:rPr>
            <w:rFonts w:ascii="arial" w:eastAsia="arial" w:hAnsi="arial" w:cs="arial"/>
            <w:i/>
            <w:color w:val="0077CC"/>
            <w:sz w:val="20"/>
            <w:u w:val="single"/>
            <w:shd w:val="clear" w:color="auto" w:fill="FFFFFF"/>
            <w:lang w:val="en-US" w:eastAsia="en-US" w:bidi="ar-SA"/>
          </w:rPr>
          <w:t>2012 BCSC 1607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Jiwani v. Borodi</w:t>
      </w:r>
      <w:r>
        <w:rPr>
          <w:rFonts w:ascii="arial" w:eastAsia="arial" w:hAnsi="arial" w:cs="arial"/>
          <w:color w:val="000000"/>
          <w:sz w:val="20"/>
          <w:lang w:val="en-US" w:eastAsia="en-US" w:bidi="ar-SA"/>
        </w:rPr>
        <w:t xml:space="preserve">, </w:t>
      </w:r>
      <w:hyperlink r:id="rId275" w:history="1">
        <w:r>
          <w:rPr>
            <w:rFonts w:ascii="arial" w:eastAsia="arial" w:hAnsi="arial" w:cs="arial"/>
            <w:i/>
            <w:color w:val="0077CC"/>
            <w:sz w:val="20"/>
            <w:u w:val="single"/>
            <w:shd w:val="clear" w:color="auto" w:fill="FFFFFF"/>
            <w:lang w:val="en-US" w:eastAsia="en-US" w:bidi="ar-SA"/>
          </w:rPr>
          <w:t>2014 BCSC 1164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The defendant refers to the following cases in support of the range of damages: </w:t>
      </w:r>
      <w:r>
        <w:rPr>
          <w:rFonts w:ascii="arial" w:eastAsia="arial" w:hAnsi="arial" w:cs="arial"/>
          <w:i/>
          <w:color w:val="000000"/>
          <w:sz w:val="20"/>
          <w:lang w:val="en-US" w:eastAsia="en-US" w:bidi="ar-SA"/>
        </w:rPr>
        <w:t>Christoffersen v. Howarth</w:t>
      </w:r>
      <w:r>
        <w:rPr>
          <w:rFonts w:ascii="arial" w:eastAsia="arial" w:hAnsi="arial" w:cs="arial"/>
          <w:color w:val="000000"/>
          <w:sz w:val="20"/>
          <w:lang w:val="en-US" w:eastAsia="en-US" w:bidi="ar-SA"/>
        </w:rPr>
        <w:t xml:space="preserve">, </w:t>
      </w:r>
      <w:hyperlink r:id="rId276" w:history="1">
        <w:r>
          <w:rPr>
            <w:rFonts w:ascii="arial" w:eastAsia="arial" w:hAnsi="arial" w:cs="arial"/>
            <w:i/>
            <w:color w:val="0077CC"/>
            <w:sz w:val="20"/>
            <w:u w:val="single"/>
            <w:shd w:val="clear" w:color="auto" w:fill="FFFFFF"/>
            <w:lang w:val="en-US" w:eastAsia="en-US" w:bidi="ar-SA"/>
          </w:rPr>
          <w:t>2013 BCSC 144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Lawrence v. Parr</w:t>
      </w:r>
      <w:r>
        <w:rPr>
          <w:rFonts w:ascii="arial" w:eastAsia="arial" w:hAnsi="arial" w:cs="arial"/>
          <w:color w:val="000000"/>
          <w:sz w:val="20"/>
          <w:lang w:val="en-US" w:eastAsia="en-US" w:bidi="ar-SA"/>
        </w:rPr>
        <w:t xml:space="preserve">, </w:t>
      </w:r>
      <w:hyperlink r:id="rId277" w:history="1">
        <w:r>
          <w:rPr>
            <w:rFonts w:ascii="arial" w:eastAsia="arial" w:hAnsi="arial" w:cs="arial"/>
            <w:i/>
            <w:color w:val="0077CC"/>
            <w:sz w:val="20"/>
            <w:u w:val="single"/>
            <w:shd w:val="clear" w:color="auto" w:fill="FFFFFF"/>
            <w:lang w:val="en-US" w:eastAsia="en-US" w:bidi="ar-SA"/>
          </w:rPr>
          <w:t>2014 BCSC 2004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Lumley v. Balilo</w:t>
      </w:r>
      <w:r>
        <w:rPr>
          <w:rFonts w:ascii="arial" w:eastAsia="arial" w:hAnsi="arial" w:cs="arial"/>
          <w:color w:val="000000"/>
          <w:sz w:val="20"/>
          <w:lang w:val="en-US" w:eastAsia="en-US" w:bidi="ar-SA"/>
        </w:rPr>
        <w:t xml:space="preserve">, </w:t>
      </w:r>
      <w:hyperlink r:id="rId278" w:history="1">
        <w:r>
          <w:rPr>
            <w:rFonts w:ascii="arial" w:eastAsia="arial" w:hAnsi="arial" w:cs="arial"/>
            <w:i/>
            <w:color w:val="0077CC"/>
            <w:sz w:val="20"/>
            <w:u w:val="single"/>
            <w:shd w:val="clear" w:color="auto" w:fill="FFFFFF"/>
            <w:lang w:val="en-US" w:eastAsia="en-US" w:bidi="ar-SA"/>
          </w:rPr>
          <w:t>2013 BCSC 1052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Mirsaeidi v. Coleman</w:t>
      </w:r>
      <w:r>
        <w:rPr>
          <w:rFonts w:ascii="arial" w:eastAsia="arial" w:hAnsi="arial" w:cs="arial"/>
          <w:color w:val="000000"/>
          <w:sz w:val="20"/>
          <w:lang w:val="en-US" w:eastAsia="en-US" w:bidi="ar-SA"/>
        </w:rPr>
        <w:t xml:space="preserve">, </w:t>
      </w:r>
      <w:hyperlink r:id="rId279" w:history="1">
        <w:r>
          <w:rPr>
            <w:rFonts w:ascii="arial" w:eastAsia="arial" w:hAnsi="arial" w:cs="arial"/>
            <w:i/>
            <w:color w:val="0077CC"/>
            <w:sz w:val="20"/>
            <w:u w:val="single"/>
            <w:shd w:val="clear" w:color="auto" w:fill="FFFFFF"/>
            <w:lang w:val="en-US" w:eastAsia="en-US" w:bidi="ar-SA"/>
          </w:rPr>
          <w:t>2014 BCSC 415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and Nair v. Cindric</w:t>
      </w:r>
      <w:r>
        <w:rPr>
          <w:rFonts w:ascii="arial" w:eastAsia="arial" w:hAnsi="arial" w:cs="arial"/>
          <w:color w:val="000000"/>
          <w:sz w:val="20"/>
          <w:lang w:val="en-US" w:eastAsia="en-US" w:bidi="ar-SA"/>
        </w:rPr>
        <w:t xml:space="preserve">, </w:t>
      </w:r>
      <w:hyperlink r:id="rId280" w:history="1">
        <w:r>
          <w:rPr>
            <w:rFonts w:ascii="arial" w:eastAsia="arial" w:hAnsi="arial" w:cs="arial"/>
            <w:i/>
            <w:color w:val="0077CC"/>
            <w:sz w:val="20"/>
            <w:u w:val="single"/>
            <w:shd w:val="clear" w:color="auto" w:fill="FFFFFF"/>
            <w:lang w:val="en-US" w:eastAsia="en-US" w:bidi="ar-SA"/>
          </w:rPr>
          <w:t>2013 BCSC 2128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proper approach to assessing non-pecuniary damages and the factors to consider when doing so, are set out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paras. 45 and 46. They are well known and I need not repeat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When I apply the considerations to the facts I have found, I conclude that a fair award in all of the circumstances of this case is $65,000. In arriving at that assessment, it is particularly significant that Mr. Dhaliwal is young and will suffer continuing, but manageable and non-disabling discomfort in his neck, shoulders and upper back. In other words, his discomfort may continue for a long time. At the same time, the more severe neck, shoulder and upper back pain was of limited duration. Further, any lower back pain after 2011 was not related to the accident. In addition, outside the 6 to 12 months following the accident, he has not experienced a significant impairment in his lifestyle and daily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arriving at this assessment, I have also considered the cases to which the parties referred. The cases Mr. Dhaliwal relies on, with one exception, involved injuries which were more serious than those suffered by Mr. Dhaliwal. In most of the cases, the pain experienced by the plaintiffs was more severe than that which Mr. Dhaliwal has experienced or will experience in the future. In some cases, the courts based part of their awards on a future loss of capacity arising from the claimants' injuries. As I explain below, I have concluded that the injuries in this case have not caused Mr. Dhaliwal any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cases the defendant refers to involve plaintiffs whose injuries were less serious than Mr. Dhaliwal's. The duration of the pain and impairment for the claimants in those cases was less than what I have concluded Mr. Dhaliwal has and will experience. As a result, the damage awards are not comparable to what should be awarded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Of the cases the parties cite, </w:t>
      </w:r>
      <w:r>
        <w:rPr>
          <w:rFonts w:ascii="arial" w:eastAsia="arial" w:hAnsi="arial" w:cs="arial"/>
          <w:i/>
          <w:color w:val="000000"/>
          <w:sz w:val="20"/>
          <w:lang w:val="en-US" w:eastAsia="en-US" w:bidi="ar-SA"/>
        </w:rPr>
        <w:t>Jiwani</w:t>
      </w:r>
      <w:r>
        <w:rPr>
          <w:rFonts w:ascii="arial" w:eastAsia="arial" w:hAnsi="arial" w:cs="arial"/>
          <w:color w:val="000000"/>
          <w:sz w:val="20"/>
          <w:lang w:val="en-US" w:eastAsia="en-US" w:bidi="ar-SA"/>
        </w:rPr>
        <w:t xml:space="preserve"> is the most similar to Mr. Dhaliwal's circumstances. There the court found that the plaintiff suffered from back pain which had persisted for four-and-a-half years and was likely to continue. At para. 46, Sigurdson J. set out his conclusions which are similar in important respects to those which I have arrived at here: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While I am persuaded that the plaintiff still has lower back pain, I am not satisfied that he is as seriously injured as he contends. The plaintiff's soft tissue injury to his lower back has persisted but I find that in due course any back pain will improve and if it persists will be of a type that causes modest discomfort and requires him to change positions and not sit for too long.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a similar vein, I have concluded that Mr. Dhaliwal still suffers upper back pain but I have not accepted that the pain is as serious as he contends or that the low back pain was caused by the accident. As in </w:t>
      </w:r>
      <w:r>
        <w:rPr>
          <w:rFonts w:ascii="arial" w:eastAsia="arial" w:hAnsi="arial" w:cs="arial"/>
          <w:i/>
          <w:color w:val="000000"/>
          <w:sz w:val="20"/>
          <w:lang w:val="en-US" w:eastAsia="en-US" w:bidi="ar-SA"/>
        </w:rPr>
        <w:t>Jiwani</w:t>
      </w:r>
      <w:r>
        <w:rPr>
          <w:rFonts w:ascii="arial" w:eastAsia="arial" w:hAnsi="arial" w:cs="arial"/>
          <w:color w:val="000000"/>
          <w:sz w:val="20"/>
          <w:lang w:val="en-US" w:eastAsia="en-US" w:bidi="ar-SA"/>
        </w:rPr>
        <w:t>, Mr. Dhaliwal continues to suffer pain which is of "a type that causes modest discomfort". He will continue to be able to take part in all of his recreational, home and work activities. He will need to have occasional manipulations or massages to assist with management of his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I will explain below, I have concluded that the plaintiff has not proved a loss of capacity. However, the discomfort he suffers may well be exacerbated by his work if he continues to work in similar jobs in the future. Accordingly, the award for non-pecuniary damages accounts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3. What should be awarded for past income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 argues that he has suffered a loss of past earning capacity. He says that if the accident had not occurred, he would have tired of the meager pay and tough working conditions at Sun Rich and moved to an employer such as Canada Cartage much earlier than he did. The plaintiff says there was a real chance he would have made that move by November 2012. If he had made the move at that time, his total loss up to November 2013 (when he started to work directly for Canada Cartage) would be approximately $14,500.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support of the past income loss claim, the plaintiff entered the report of Darren Benning which calculated a loss of $13,109. However, Mr. Benning approached the calculation on the basis that Mr. Dhaliwal would have worked continuously for Sun Rich until November 2013 when he started working directly for Canada Cartage. Mr. Benning's report also assumed that Mr. Dhaliwal was working 6.5 hours of overtime per week. That latter assumption was not accurate given Mr. Dhaliwal's testimony that he had only worked a few hours of overtime at Sun Rich.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defendant agrees that Mr. Dhaliwal lost income between the date of the accident and October 31, 2011, the date he began working for Abbsry Tires. While that is a four-month period, the defendant says his loss should be based on three months, giving a net income loss of $3,800. This figure is one-half of Mr. Benning's calculation of the past income loss for 2011 ($7,620). The defendant says the loss should be limited to three months rather than four, to take into account two important facts: 1) Mr. Benning's calculation assumed an excessive amount of overtime; and 2) Mr. Dhaliwal failed to mitigate his past income losses by not doing light duty work at Sun Rich and quitting that job.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do not accept either of the plaintiff's two approaches for assessment of his past income loss. If the plaintiff had not been injured in the accident, I conclude that the trajectory of his earnings would not have been much different from what it was after October 31, 2011. Mr. Dhaliwal's income increased steadily from 2011 up to the date of trial. His employment income for those years was:</w:t>
      </w:r>
      <w:r>
        <w:rPr>
          <w:rFonts w:ascii="arial" w:eastAsia="arial" w:hAnsi="arial" w:cs="arial"/>
          <w:sz w:val="20"/>
          <w:lang w:val="en-US" w:eastAsia="en-US" w:bidi="ar-SA"/>
        </w:rPr>
        <w:cr/>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 $18,333</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2012 - $23,674</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 $27,205</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2014 - $40,898</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2015 - $43,229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When I consider all of the evidence, I find that after January 2012, the injuries did not impact Mr. Dhaliwal's earnings or his ability to earn income. It is difficult to assess the fair amount of his income loss in 2011 with any precision. However, in all of the circumstances, I conclude that his net income loss was $5,500.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arrive at that amount by making the following findings as to what would likely have transpired without the accident. First, Mr. Dhaliwal would have continued to work for Sun Rich into the fall of 2011. However, he was not happy working there for the reasons I have noted above: he did not like the working conditions or his wages and was not happy working at the same place as his father. Without the accident, I conclude he would likely have left his job in late October or November 2011. Had he done so, he would very likely have found work at Abbsry Tires or with a similar employer. After January 2012, his employment path would have unfolded very much as it did. In other words, the work he did after January 2012 was not influenced by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these circumstances, a fair calculation of the net loss suffered is $5,500. This assumes Mr. Dhaliwal would have left Sun Rich in approximately November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4. What amount should be awarded for loss of capacity to work?</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Dhaliwal argues that the medical evidence shows that he suffered a permanent disability that impairs his ability to work at jobs that require repetitive or heavy lifting. Further, while he has so far been able to do work that involves heavy lifting, there is a real possibility he will not be able to continue to do so. In these circumstances, the plaintiff has lost a capital asset: he is less capable overall of earning income from all types of employment and is not able to take advantage of all job opportunities that might otherwise have been open to him. In particular, the plaintiff argues that he has lost the opportunity to become a police officer or firefighter. He submits that an appropriate award for his diminished future earning capacity is $150,000.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 argues that the plaintiff has not established the possibility that he will suffer future, pecuniary loss from the accident. There is no medical evidence to substantiate the plaintiff's claim that his injuries prevent him from being a police officer or firefighter. Further, the defendant says that the evidence falls far short of establishing any chance that Mr. Dhaliwal might have qualified for either career: he has not completed the required academic work, and he did not take any steps before or after the accident to find out what the requirements for those jobs are. The defendant also argues that the plaintiff is something of a "lost soul" who has not figured out what he wants to do with his life. Lack of focus, rather than the injury, is holding him back from finding better work. The defendant argues that the plaintiff has not proved any loss of capacity that could cause a future loss.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 plaintiff may prove a future income loss either on a loss of earnings or loss of capital asset approach. Under either approach, a plaintiff is required to establish a "real and substantial possibility" of future events leading to an income loss: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The onus of showing a "real possibility" of future loss is not a heavy one: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7. However, as emphasized in that case, the plaintiff's own perception that she may not be able to compete in the marketplace is not enough. Further, as Donald J.A. noted in </w:t>
      </w:r>
      <w:r>
        <w:rPr>
          <w:rFonts w:ascii="arial" w:eastAsia="arial" w:hAnsi="arial" w:cs="arial"/>
          <w:i/>
          <w:color w:val="000000"/>
          <w:sz w:val="20"/>
          <w:lang w:val="en-US" w:eastAsia="en-US" w:bidi="ar-SA"/>
        </w:rPr>
        <w:t>Steward v. Berezan</w:t>
      </w:r>
      <w:r>
        <w:rPr>
          <w:rFonts w:ascii="arial" w:eastAsia="arial" w:hAnsi="arial" w:cs="arial"/>
          <w:color w:val="000000"/>
          <w:sz w:val="20"/>
          <w:lang w:val="en-US" w:eastAsia="en-US" w:bidi="ar-SA"/>
        </w:rPr>
        <w:t xml:space="preserve">, </w:t>
      </w:r>
      <w:hyperlink r:id="rId283" w:history="1">
        <w:r>
          <w:rPr>
            <w:rFonts w:ascii="arial" w:eastAsia="arial" w:hAnsi="arial" w:cs="arial"/>
            <w:i/>
            <w:color w:val="0077CC"/>
            <w:sz w:val="20"/>
            <w:u w:val="single"/>
            <w:shd w:val="clear" w:color="auto" w:fill="FFFFFF"/>
            <w:lang w:val="en-US" w:eastAsia="en-US" w:bidi="ar-SA"/>
          </w:rPr>
          <w:t>2007 BCCA 150</w:t>
        </w:r>
      </w:hyperlink>
      <w:r>
        <w:rPr>
          <w:rFonts w:ascii="arial" w:eastAsia="arial" w:hAnsi="arial" w:cs="arial"/>
          <w:color w:val="000000"/>
          <w:sz w:val="20"/>
          <w:lang w:val="en-US" w:eastAsia="en-US" w:bidi="ar-SA"/>
        </w:rPr>
        <w:t>, an inability to do a job that is not a realistic alternative for the claimant is not proof of a future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Clemas v. Gabrlik</w:t>
      </w:r>
      <w:r>
        <w:rPr>
          <w:rFonts w:ascii="arial" w:eastAsia="arial" w:hAnsi="arial" w:cs="arial"/>
          <w:color w:val="000000"/>
          <w:sz w:val="20"/>
          <w:lang w:val="en-US" w:eastAsia="en-US" w:bidi="ar-SA"/>
        </w:rPr>
        <w:t xml:space="preserve">, </w:t>
      </w:r>
      <w:hyperlink r:id="rId284" w:history="1">
        <w:r>
          <w:rPr>
            <w:rFonts w:ascii="arial" w:eastAsia="arial" w:hAnsi="arial" w:cs="arial"/>
            <w:i/>
            <w:color w:val="0077CC"/>
            <w:sz w:val="20"/>
            <w:u w:val="single"/>
            <w:shd w:val="clear" w:color="auto" w:fill="FFFFFF"/>
            <w:lang w:val="en-US" w:eastAsia="en-US" w:bidi="ar-SA"/>
          </w:rPr>
          <w:t>2013 BCSC 1412</w:t>
        </w:r>
      </w:hyperlink>
      <w:r>
        <w:rPr>
          <w:rFonts w:ascii="arial" w:eastAsia="arial" w:hAnsi="arial" w:cs="arial"/>
          <w:color w:val="000000"/>
          <w:sz w:val="20"/>
          <w:lang w:val="en-US" w:eastAsia="en-US" w:bidi="ar-SA"/>
        </w:rPr>
        <w:t xml:space="preserve"> at para. 171, Skolrood J. summarized the appropriate considerations for a court to assess when using the capital asset approach:</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capital asset approach, which is typically used in cases in which the plaintiff has no clear earnings history, involves consideration of a number of factors such as whether the plaintiff: i)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Dhaliwal says that he has lost a capital asset. He points to the ongoing symptoms that he suffers and says they render him less capable of qualifying for employment that would otherwise be available to him. Further, he says the injury cost him the chance of becoming a police officer or firefighter.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difficulty with Mr. Dhaliwal's position is that I have not accepted the underlying assumption. I concluded that his ongoing symptoms are not serious. He suffers from discomfort that he manages effectively. He has held a number of jobs which required repetitive and occasional heavy lifting and has been able to do that work successfully. I also concluded that his situation will not deteriorate. These findings are almost a complete answer to the claim for loss of capacity. The one outstanding question is whether there are other activities which he cannot do that have reduced his employment options. Of course, Mr. Dhaliwal says this is the case with regard to possible employment as a police officer or firefighter.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There are two main answers to the plaintiff's contention: i) there is no evidence that he is unable to perform the physical tasks required for those occupations; and ii) the reason that Mr. Dhaliwal has not pursued those occupations has nothing to do with his injuries. I will address these in turn.</w:t>
      </w:r>
      <w:r>
        <w:rPr>
          <w:rFonts w:ascii="arial" w:eastAsia="arial" w:hAnsi="arial" w:cs="arial"/>
          <w:sz w:val="20"/>
          <w:lang w:val="en-US" w:eastAsia="en-US" w:bidi="ar-SA"/>
        </w:rPr>
        <w:cr/>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medical evidence of Mr. Dhaliwal's physical condition does not establish that he is in any way unable to do the work that would be required of a police officer. Dr. Rai was in the best position to offer evidence on a possible impairment of the plaintiff's ability to work in the future. While he concludes that Mr. Dhaliwal has reached the point of maximum recovery, he offered no such opinion. Dr. Gouws did not perform any functional capacity testing. In his report under the heading "Degree of Impairment and Prognosis", he notes that the prognosis for further recovery is guarded but that his condition is unlikely to deteriorate. Of course, what is missing from the opinion is any comment on the "degree of impairment". The only medical witness who offered an opinion on Mr. Dhaliwal's ability to work as a police officer or a firefighter was Dr. O'Neill. However, he has no qualification to provide an opinion on functional work capacity or vocational matters generally. Even if he had such qualifications, his "opinion" does not support Mr. Dhaliwal's claim. He thought that Mr. Dhaliwal might be able to pass a time-limited test such as the Police Officer Physical Ability Testing (the "POPAT") and he could not "fully determine if his injuries would prejudice his entry into these professions".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medical evidence falls short of establishing that Mr. Dhaliwal is unable to perform the tasks required to be a police officer. He remains fit and able to perform work which requires a good deal of physical activity. I find it is likely that he has the ability to perform the activities of a police officer, should he ever want to put in the effort required to qualify for that occupation.</w:t>
      </w:r>
      <w:r>
        <w:rPr>
          <w:rFonts w:ascii="arial" w:eastAsia="arial" w:hAnsi="arial" w:cs="arial"/>
          <w:sz w:val="20"/>
          <w:lang w:val="en-US" w:eastAsia="en-US" w:bidi="ar-SA"/>
        </w:rPr>
        <w:cr/>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Mr. Dhaliwal's Approach to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 accept the defendant's contention that Mr. Dhaliwal's biggest employment challenge is his lack of focus and commitment. Since leaving high school he has expressed some interest in a wide variety of educational opportunities and occupations. He attempted to obtain qualifications or education in some areas but has not found something he has been willing to actively pursue. His expressed interest in becoming a police officer, like his expression of interest in being a firefighter, registered nurse, Bollywood singer or automotive mechanic is nothing more than an expression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good deal of evidence was led regarding Mr. Dhaliwal's education and work experience. I will highlight some parts of that history which are representative of Mr. Dhaliwal's approach to his work. The inference I draw from the history is that Mr. Dhaliwal has little or no chance of becoming a police officer or a firefighter unless he changes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He spent a year taking an automotive mechanics course but quit when he decided it was not something he wanted to do; it was something his father wanted. He registered for Criminology and Philosophy courses at Kwantlen University but did not attend classes. He did not formally withdraw and so he received fails in each class which, of course, now are part of his academic record. This is similar to what he did with Sun Rich; he quit the job without telling the employer.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case for a loss of capacity was built around Mr. Dhaliwal's desire to be a police officer. He sent an email with an attached letter to the Delta police on June 18, 2011 expressing his interest in becoming a police officer. The accident occurred only two weeks later and the plaintiff says he believed that his injuries would prevent him from carrying out the duties of a police officer. Surprisingly, he never made inquiries into what the requirements were to become a police officer. However, he clearly did not meet them. He did not have sufficient post-secondary education and had never done any community volunteer work. The Delta police were not able to open Mr. Dhaliwal's cover letter and sent an email to him in response. He either did not receive the email or did not respond to it. In any event, he never followed up on the expression of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suggestion that he lost the chance of being a police officer as a result of the accident fails not only because of the absence of medical evidence. Mr. Dhaliwal is not qualified to be considered as a police officer as a result of his education and experience. Based on the evidence of Constable Sernoski, it is clear that Mr. Dhaliwal's résumé and cover letter would not have attracted the interest of any police recruitment officer.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also note that the plaintiff has recently run into difficulties at work which have nothing to do with his injuries but could negatively impact his future employment. He was dismissed from his position with Canada Cartage because of a series of problems with his performance. These included processing errors and unexcused absences from work. He had previously been suspended for loading errors, including one instance where he was responsible for a trailer which was loaded incorrectly and fell off its support. It caused damage to the trailer and to the roof of the building and put the safety of employees at risk. To make matters worse, he posted photos of the damaged trailer and building on Facebook.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Dhaliwal's employment record with Canada Cartage would negatively impact the possibility of future employment opportunities with any police force. He has also made Facebook postings critical of the police. This is unwise for someone who professes an interest in police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When I consider Mr. Dhaliwal's evidence and his education and employment history, I must conclude that Mr. Dhaliwal's attitude and approach to his work is the real reason that he could not, at present, pursue employment as a police officer or a firefighter. I must say that I found Mr. Dhaliwal to be an affable and engaging witness. It is also evident that he has a lot of abilities and interests. However, he needs to approach one of his interests with focus and determination if he is to succeed in finding more fulfilling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Before leaving this area, I must note two matters. First, Mr. Dhaliwal arrived at the belief or perception that he could not perform the POPAT soon after the accident occurred. This was not based on any real understanding of the test or proper assessment of his own capabilities. As noted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 plaintiff's perception that he has an inability to perform the tasks required for a job is not sufficient to establish a loss of capacity. Second, while I have not made any award for future loss of capacity, I found that Mr. Dhaliwal will have some ongoing discomfort which he may experience at work. The award I have made for non-pecuniary damages has taken that future discomfort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summary, the plaintiff has failed to establish a real and substantial possibility of a future loss arising from the injuries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 5. What amounts should be awarded for special damages and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The parties agree that Mr. Dhaliwal is entitled to $90.31 for prescription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plaintiff says the full amount of the chiropractic expense of $3,272.52 which has been incurred since the accident should also be awarded as special damages but the defendant contends that only half of that amount is recoverable. The defendant says this would be a fair award because the plaintiff's soft tissue injuries were substantially resolved by September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 have concluded that Mr. Dhaliwal has ongoing upper back symptoms which require chiropractic manipulation from time to time. I have also concluded that the lower back symptoms are not related to the accident. Accordingly, I award $2,450, or approximately 75% of the expenses as special damages. In other words, I assume that after September 2013, about half of the manipulations have been related to low back issues and half are related to upper back and shoulder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total special damage award is $2,540.31.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seeks future care costs for chiropractic treatments to age 65, a life-long gym membership and a consultation with a kinesiologist as recommended by Dr. Gouws. The total claim is for $26,000.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defendant submits that there should be no future care award. Alternatively, such an award should be limited to two years of chiropractic treatments as recommended by Dr. O'Neill.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reject the plaintiff's claim for a gym membership. Mr. Dhaliwal has lifted weights since his early teen years. He was at one time highly ranked in his age group in the province. He has continued to work out at the gym and would have done so with or without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 regard to the claim for chiropractic care, I award $1,000 for future chiropractic care. Dr. O'Neill recommended that Mr. Dhaliwal have at least two years of continuing chiropractic treatments at a cost of $600 per year. I assume that some of the chiropractic treatments anticipated by Dr. O'Neill would be for lower back pain, so I have adjusted the award to reflect this. The award I have made assumes that Mr. Dhaliwal will require the treatment for three or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I also award $750 for a kinesiologist to review Mr. Dhaliwal's exercise regime and assist in setting up a self-directed program as recommended by Dr. Gouws. Mr. Dhaliwal has never had the benefit of such assistance and it should provide some benefit to him managing the ongoing discomfort in his neck, shoulders and upper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Mr. Dhaliwal is entitled to the following damage awards:</w:t>
      </w:r>
      <w:r>
        <w:rPr>
          <w:rFonts w:ascii="arial" w:eastAsia="arial" w:hAnsi="arial" w:cs="arial"/>
          <w:sz w:val="20"/>
          <w:lang w:val="en-US" w:eastAsia="en-US" w:bidi="ar-SA"/>
        </w:rPr>
        <w:cr/>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 $65,000;</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 $5,500;</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 $2,540.31;</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 $1,750.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plaintiff is entitled to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1" style="position:absolute;z-index:2518661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287"/>
          <w:headerReference w:type="default" r:id="rId288"/>
          <w:footerReference w:type="even" r:id="rId289"/>
          <w:footerReference w:type="default" r:id="rId290"/>
          <w:headerReference w:type="first" r:id="rId291"/>
          <w:footerReference w:type="first" r:id="rId29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293" w:history="1">
        <w:r>
          <w:rPr>
            <w:rFonts w:ascii="arial" w:eastAsia="arial" w:hAnsi="arial" w:cs="arial"/>
            <w:b/>
            <w:bCs/>
            <w:i/>
            <w:color w:val="0077CC"/>
            <w:kern w:val="32"/>
            <w:sz w:val="28"/>
            <w:szCs w:val="32"/>
            <w:u w:val="single"/>
            <w:shd w:val="clear" w:color="auto" w:fill="FFFFFF"/>
            <w:lang w:val="en-US" w:eastAsia="en-US" w:bidi="ar-SA"/>
          </w:rPr>
          <w:t>Dominguez v. Northland Properties Corp. (c.o.b. Denny's Restaurants), [2012] B.C.J. No. 443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S.C. Fitzpatrick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29 and 30,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S110095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443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BCSC 328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294" w:history="1">
        <w:r>
          <w:rPr>
            <w:rFonts w:ascii="arial" w:eastAsia="arial" w:hAnsi="arial" w:cs="arial"/>
            <w:i/>
            <w:color w:val="0077CC"/>
            <w:sz w:val="20"/>
            <w:u w:val="single"/>
            <w:shd w:val="clear" w:color="auto" w:fill="FFFFFF"/>
            <w:lang w:val="en-US" w:eastAsia="en-US" w:bidi="ar-SA"/>
          </w:rPr>
          <w:t>[2012] CLLC para. 210-027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Herminia Vergara Dominguez, Plaintiff, and Northland Properties Corporation doing business as Denny's Restaurants, and Dencan Restaurants Inc.,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(268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2" style="position:absolute;z-index:2516654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44" w:name="Keywords_6"/>
      <w:bookmarkEnd w:id="44"/>
      <w:r>
        <w:rPr>
          <w:rFonts w:ascii="arial" w:eastAsia="arial" w:hAnsi="arial" w:cs="arial"/>
          <w:b/>
          <w:color w:val="000000"/>
          <w:sz w:val="20"/>
          <w:lang w:val="en-US" w:eastAsia="en-US" w:bidi="ar-SA"/>
        </w:rPr>
        <w:t>Civil litigation — Civil procedure — Parties — Class or representative actions — Certification — Common interests and issues — Definition of class — Representative plaintiff — Motion by Dominguez for certification of class action claiming damages for breach of contract and overtime pay owing to temporary foreign restaurant workers allowed — Evidentiary basis of systemic wrongs within employment situation where foreign workers were under significant disadvantage in protecting own interests and defendant employers sought to take advantage of workers given their tentative status Canada — Class proceeding would save judicial resources, provide access to justice for vulnerable temporary workers, and promote behaviour modification.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Employment law — Employment standards legislation — Hours of work and overtime — Remuneration — Overtime pay — Motion by Dominguez for certification of class action claiming damages for breach of contract and overtime pay owing to temporary foreign restaurant workers allowed — Evidentiary basis of systemic wrongs within employment situation where foreign workers were under significant disadvantage in protecting own interests and defendant employers sought to take advantage of workers given their tentative status Canada — Class proceeding would save judicial resources, provide access to justice for vulnerable temporary workers, and promote behaviour modification.</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Immigration law — Visitors and temporary residents — Temporary entry — Foreign workers — Motion by Dominguez for certification of class action claiming damages for breach of contract and overtime pay owing to temporary foreign restaurant workers allowed — Evidentiary basis of systemic wrongs within employment situation where foreign workers were under significant disadvantage in protecting own interests and defendant employers sought to take advantage of workers given their tentative status Canada — Class proceeding would save judicial resources, provide access to justice for vulnerable temporary workers, and promote behaviour modification.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45" w:name="Case Summary_6"/>
            <w:bookmarkEnd w:id="4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Dominguez for an order certifying an action as a class proceeding on behalf of current and former employees of the defendants, Denny's Restaurants and Dencan Restaurants, in British Columbia who came to Canada under a temporary foreign worker program on or after December 1, 2006. In 2008, Dominguez was recruited by the defendants from her home in the Philippines to be a temporary foreign worker in one of the Denny's restaurants operated by the defendants. She came to Canada through the Temporary Foreign Worker Program (TFWP), a federal government program. Dominguez was required to send her rÚsumÚ to International Caregiver Employment Agency (ICEA) to begin the process to enable her to come to Canada. ICEA in turn operated its recruitment activities in the Philippines through Luzern International Manpower Services Corporation (Luzern.) The majority of the putative class members were recruited from the Philippines, through ICEA and Luzern under the TFWP. All of the putative class members applying for positions with the defendants through ICEA and/or Luzern were required to pay substantial fees in order to proceed with and complete the hiring process. Dominguez claimed that the defendants failed to provide the plaintiffs with as much work as promised, failed to pay them overtime for hours worked and failed to reimburse them for expenses relating to their employment, such as travel expenses from the Philippines and agency recruitment fees. She claimed that as a result, they suffered damages arising from the breach of contract (including breach of duty of good faith and fair dealing on the part of the defendants) and breach of fiduciary duty. She also alleged that the defendants were unjustly enriched by their non-payment of these wages and other expenses. She further alleged that these breaches were systemic in that the defendants failed to implement the necessary systems to ensure that she and other employees were appropriately compensated.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46" w:name="Holdings of Court_5"/>
            <w:bookmarkEnd w:id="46"/>
            <w:r>
              <w:rPr>
                <w:rFonts w:ascii="arial" w:eastAsia="arial" w:hAnsi="arial" w:cs="arial"/>
                <w:color w:val="000000"/>
                <w:sz w:val="20"/>
                <w:lang w:val="en-US" w:eastAsia="en-US" w:bidi="ar-SA"/>
              </w:rPr>
              <w:t>HELD: Application allowed and action certified as a class action.</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pleadings disclosed causes of action. There was an identifiable class of approximately 75 people, both residing in British Columbia and elsewhere, and Dominguez was in a position to fairly and adequately represent the interests of the resident and non-resident subclasses. The common issues were shared by all class members, and separate representation was not required at this stage. The agency issues were common issues and would not require a detailed examination of each employee's circumstances or evidence in that the focus would be on the agreements and dealings between ICEA and Luzern and the defendants. A determination as to whether they were acting as agents of the defendants and if so, were the defendants liable to repay the agency fees, would materially advance the litigation in relation to most of the class. Although there were separate contracts with each class member, there was sufficient commonality among the contracts to raise the same issues, such that a decision on the interpretation of the terms would be of assistance in understanding the scope of the contractual undertakings of the defendants in relation to the class members. There was sufficient evidence or a basis in fact to support a certification of the common contract issues, which included the duty of good faith and fair dealing. The issues relating to breach of fiduciary duty were common issues. The breach of fiduciary duty claim was advanced on the basis of the shared experience of the temporary foreign workers. A consideration of that issue would involve a review of the relevant contract terms and the circumstances which directly arose from the employment relationship with the defendants and which affected all of them. These factors did not depend on any individual assessment of each class member. The claims of unjust enrichment were common issues with the proviso that it was to be determined whether or not there was juristic reason for the enrichment. The proposed issues relating to systemic defects were proper common issues. Dominguez satisfied the low evidentiary burden to suggest that hours were not recorded properly and even if recorded, overtime was not paid. The proposed issues concerning the assessment of damages on a class-wide basis and the aggregate and punitive damages were proper common issues that would advance the litigation. A class proceeding was the preferable procedure. It would save judicial resources, provide access to justice for vulnerable temporary workers, and promote behaviour modification.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47" w:name="Legislation Cited_3"/>
      <w:bookmarkEnd w:id="4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63" style="position:absolute;z-index:2517166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11" w:history="1">
        <w:r>
          <w:rPr>
            <w:rFonts w:ascii="arial" w:eastAsia="arial" w:hAnsi="arial" w:cs="arial"/>
            <w:i/>
            <w:color w:val="0077CC"/>
            <w:sz w:val="20"/>
            <w:u w:val="single"/>
            <w:shd w:val="clear" w:color="auto" w:fill="FFFFFF"/>
            <w:lang w:val="en-US" w:eastAsia="en-US" w:bidi="ar-SA"/>
          </w:rPr>
          <w:t>RSBC 1996, CHAPTER 50, s. 2</w:t>
        </w:r>
      </w:hyperlink>
      <w:r>
        <w:rPr>
          <w:rFonts w:ascii="arial" w:eastAsia="arial" w:hAnsi="arial" w:cs="arial"/>
          <w:color w:val="000000"/>
          <w:sz w:val="20"/>
          <w:lang w:val="en-US" w:eastAsia="en-US" w:bidi="ar-SA"/>
        </w:rPr>
        <w:t>(4), s. 4(1) (a), s. 4(1)(b), s. 4(1)(c), s. 4(1)(d), s. 4(1)(e), s. 4(2), s. 4(2)(a), s. 4(2)(b), s. 4(2)(c), s. 4(2)(d), s. 4(2) (e), s. 6(1), s. 6(2), s. 7, s. 7(b), s. 8(2), s. 16(4), s. 27, s. 29(1), s. 29(1)(a), s. 29(1)(b), s. 29(1)(c), s. 30(1)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Employment Standards Act, </w:t>
      </w:r>
      <w:hyperlink r:id="rId295" w:history="1">
        <w:r>
          <w:rPr>
            <w:rFonts w:ascii="arial" w:eastAsia="arial" w:hAnsi="arial" w:cs="arial"/>
            <w:i/>
            <w:color w:val="0077CC"/>
            <w:sz w:val="20"/>
            <w:u w:val="single"/>
            <w:shd w:val="clear" w:color="auto" w:fill="FFFFFF"/>
            <w:lang w:val="en-US" w:eastAsia="en-US" w:bidi="ar-SA"/>
          </w:rPr>
          <w:t>RSBC 1996, CHAPTER 113, s. 1</w:t>
        </w:r>
      </w:hyperlink>
      <w:r>
        <w:rPr>
          <w:rFonts w:ascii="arial" w:eastAsia="arial" w:hAnsi="arial" w:cs="arial"/>
          <w:color w:val="000000"/>
          <w:sz w:val="20"/>
          <w:lang w:val="en-US" w:eastAsia="en-US" w:bidi="ar-SA"/>
        </w:rPr>
        <w:t>, s. 2, s. 8, s. 10, s. 40(1)(a), s. 74, s. 74(4), s. 76, s. 76(2), s. 79, s. 80(1), s. 83, s. 112, s. 118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Employment Standard Act, </w:t>
      </w:r>
      <w:hyperlink r:id="rId296" w:history="1">
        <w:r>
          <w:rPr>
            <w:rFonts w:ascii="arial" w:eastAsia="arial" w:hAnsi="arial" w:cs="arial"/>
            <w:i/>
            <w:color w:val="0077CC"/>
            <w:sz w:val="20"/>
            <w:u w:val="single"/>
            <w:shd w:val="clear" w:color="auto" w:fill="FFFFFF"/>
            <w:lang w:val="en-US" w:eastAsia="en-US" w:bidi="ar-SA"/>
          </w:rPr>
          <w:t>R.S.O. 1990, c. E. 14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48" w:name="Counsel_6"/>
      <w:bookmarkEnd w:id="4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4" style="position:absolute;z-index:2517678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R.C. Gordon, C. Foy.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W. Branch, P.D. McLean, K. Saunders.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49" w:name="Judgment_6"/>
      <w:bookmarkEnd w:id="49"/>
      <w:r>
        <w:pict>
          <v:line id="_x0000_s1065" style="position:absolute;z-index:25181900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0" w:name="S.C. FITZPATRICK J."/>
            <w:bookmarkEnd w:id="50"/>
            <w:r>
              <w:rPr>
                <w:rFonts w:ascii="arial" w:eastAsia="arial" w:hAnsi="arial" w:cs="arial"/>
                <w:b/>
                <w:color w:val="000000"/>
                <w:sz w:val="30"/>
                <w:lang w:val="en-US" w:eastAsia="en-US" w:bidi="ar-SA"/>
              </w:rPr>
              <w:t>S.C. FITZPATRICK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2008, the plaintiff Herminia Vergara Dominguez came from the Philippines to work in Canada as a temporary foreign worker in one of the Denny's restaurants operated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Dominguez contends that the defendants failed to provide her as much work as promised, failed to pay her overtime for hours worked and also failed to reimburse her for expenses relating to her employment, such as travel expenses from the Philippines and agency recruitment fees. She says that as a result, she suffered damages arising from the breach of contract (including breach of duty of good faith and fair dealing on the part of the defendants) and breach of fiduciary duty. She also alleges that the defendants were unjustly enriched by reason of their nonpayment of these wages and other expenses. Finally, she alleges that these breaches were systemic in the sense that the defendants failed to implement the necessary systems to ensure that she and other employees were appropriately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overarching allegation in this proceeding is that these breaches took place within an employment situation where these foreign workers were under a significant disadvantage in terms of protecting their own interests and that the defendants sought to take advantage of these vulnerable foreign workers given their tentative status here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Ms. Dominguez now applies under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to certify this action as a class proceeding on behalf of herself and all other current and former employees of the defendants in British Columbia who came to Canada under a certain temporary foreign worker program on or after December 1, 2006. She estimates that there are approximately 75 people in this putative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I am advised that this is the first case in Canada to address claims of temporary foreign workers who contend that a Canadian employer is liable for breaches of obligations or duties relating to their employment in Canada. The facts in </w:t>
      </w:r>
      <w:r>
        <w:rPr>
          <w:rFonts w:ascii="arial" w:eastAsia="arial" w:hAnsi="arial" w:cs="arial"/>
          <w:i/>
          <w:color w:val="000000"/>
          <w:sz w:val="20"/>
          <w:lang w:val="en-US" w:eastAsia="en-US" w:bidi="ar-SA"/>
        </w:rPr>
        <w:t>Kumar v. Sharp Business Forms Inc.</w:t>
      </w:r>
      <w:r>
        <w:rPr>
          <w:rFonts w:ascii="arial" w:eastAsia="arial" w:hAnsi="arial" w:cs="arial"/>
          <w:color w:val="000000"/>
          <w:sz w:val="20"/>
          <w:lang w:val="en-US" w:eastAsia="en-US" w:bidi="ar-SA"/>
        </w:rPr>
        <w:t xml:space="preserve"> </w:t>
      </w:r>
      <w:hyperlink r:id="rId297" w:history="1">
        <w:r>
          <w:rPr>
            <w:rFonts w:ascii="arial" w:eastAsia="arial" w:hAnsi="arial" w:cs="arial"/>
            <w:i/>
            <w:color w:val="0077CC"/>
            <w:sz w:val="20"/>
            <w:u w:val="single"/>
            <w:shd w:val="clear" w:color="auto" w:fill="FFFFFF"/>
            <w:lang w:val="en-US" w:eastAsia="en-US" w:bidi="ar-SA"/>
          </w:rPr>
          <w:t>(2001), 5 C.P.C. (5th) 128</w:t>
        </w:r>
      </w:hyperlink>
      <w:r>
        <w:rPr>
          <w:rFonts w:ascii="arial" w:eastAsia="arial" w:hAnsi="arial" w:cs="arial"/>
          <w:color w:val="000000"/>
          <w:sz w:val="20"/>
          <w:lang w:val="en-US" w:eastAsia="en-US" w:bidi="ar-SA"/>
        </w:rPr>
        <w:t xml:space="preserve"> (Ont. Sup. Ct. J.), discussed in more detail below, are somewhat similar in that certification was sought by employees who, for the most part, were recent immigrants to Canada for claims for overtime, holiday pay and vacation pay. That case, however, did not involve allegations that the employer had systematically taken advantage of those employees as a vulnerable or disadvantaged group, as is the situation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defendants do not take issue with the proposition that Ms. Dominguez has satisfied many of the requirements for certification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defendants do, however, take the position that certification of this action is not appropriate for the following reasons:</w:t>
      </w:r>
      <w:r>
        <w:rPr>
          <w:rFonts w:ascii="arial" w:eastAsia="arial" w:hAnsi="arial" w:cs="arial"/>
          <w:sz w:val="20"/>
          <w:lang w:val="en-US" w:eastAsia="en-US" w:bidi="ar-SA"/>
        </w:rPr>
        <w:cr/>
      </w:r>
    </w:p>
    <w:p>
      <w:pPr>
        <w:numPr>
          <w:numId w:val="4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Dominguez has failed to produce evidence that she is an appropriate representative of the non-resident putative class members so as to justify her appointment as a representative plaintiff for those class members;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no common issues in that Ms. Dominguez has failed to prove a sufficient commonality among the putative class members;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is not the preferable procedure to determine the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Temporary Foreign Worker Program ("TFWP") is a federal government program that is jointly administered by Human Resources and Skills Development Canada ("HRSDC") and Citizenship and Immigration Canada whereby foreign workers may be permitted to come and work in Canada on a temporary basis in areas or occupations where there are labour shortages.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There is an extensive process by which these workers are allowed to enter Canada and commence employment. Most significant to this process is the requirement that an employer must first provide a written employment offer to the prospective worker. That offer is then forwarded to HRSDC in order to obtain a positive Labour Market Opinion ("LMO") from HRSDC for each foreign worker.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HRSDC requires that the employment contract submitted in support of an application for an LMO contain all of the terms and conditions of the sample contract provided by HRSDC or as described in their "Guidelines for Employers". HRSDC's stated purpose for the employment contract is to provide a written detailed description of the job, describe the terms and conditions of employment, articulate the employer's responsibilities and the worker's rights and help ensure that the worker gets fair working arrangements. Additional provisions may be added provided that they do not contradict the terms and conditions required by HRSDC.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purpose of the LMO is to ensure that the employment of the temporary foreign worker does not adversely affect the labour market in Canada. The LMOs issued in this case are all in standard form. They specifically provide that they are issued on the understanding that all legal requirements, with respect to employment, would be followed, including that all foreign workers would be protected by all relevant labour and employment laws of Canada. Those laws would, of course, include requirements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113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LMO specifically provides that if an employer does not pay wages as required, a complaint can be filed with the appropriate federal, provincial or territorial department responsible for employment standards. Each LMO also specifically provides that a copy of the employment contract must be submitted prior to the work permit being issued and that the conditions and benefits under the employment contract must be consistent with the information in the LMO re "wages, hours of work,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Many temporary foreign workers go through this process in the hopes of ultimately obtaining a more permanent status in Canada, such as permanent residency or citizenship.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In 2008, Ms. Dominguez was recruited by the defendants from her home in the Philippines to be a temporary foreign worker in Canada. She initiated the application in order to join her husband, Christopher Dominguez, who had come to Vancouver through the TFWP and who had started work for the defendants in August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Like her husband, Ms. Dominguez was required to send her résumé to International Caregiver Employment Agency ("ICEA") in Richmond, B.C. to begin the process to enable her to come to Canada. By letter dated July 11, 2006, ICEA had been specifically authorized by the defendants "in all aspects as it pertains to obtaining approval for foreign workers to obtain work visas to allow them to be employed within our company". ICEA in turn operated its recruitment activities in the Philippines through Luzern International Manpower Services Corporation ("Luzern") located in Manila, describing Luzern as its "counterpart agency" on its website.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majority of the putative class members were, like Ms. Dominguez, recruited from the Philippines, through ICEA and Luzern under the TFWP. The defendants' own investigations indicate that 70 individuals falling within the proposed class definition were initially recruited by ICEA and Luzern.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August 2008, Ms. Dominguez's husband dropped off his wife's résumé at the ICEA offices in Richmond. At some point, he was advised by the general manager of ICEA that in order for his wife to obtain a job, an initial amount of $3,000 had to be paid to ICEA. This amount was paid by him to ICEA.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early October 2008, Ms. Dominguez was contacted by Luzern and told to come into the office to sign an employment contract. Prior to her signing the document, she was advised that in September 2008 a positive LMO had been issued relating to her job with the defendants as a food and beverage server at $9.80 per hour for a 24 month period. The hours of work were not specified in her LMO. In the case of other putative class members, the LMO specifically provided that the hours of work would be 40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ICEA was very involved in the process to obtain LMOs for workers coming from the Philippines to work in the defendants' restaurants. In August 2006, on an Application for a LMO for Maria Reyes, another putative class member, ICEA specifically signed the application as a third party representative on behalf of the defendants. The defendants in turn signed the application form and also an Appointment of Representative which identified ICEA as its representative in relation to obtaining the LMO. By this document, the defendants agreed to ratify and confirm all that ICEA should do by reason of the appointment.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Ms. Dominguez signed her employment contract on October 8, 2008 at Luzern's offices in Manila. The employment contract had already been executed by the defendants. The contract was in precisely the same form as the HRSDC sample contract and provided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EMPLOYEE shall work 40 hours per week. He/she shall receive 50% more than the regular wages for any hours worked over this limit. ...</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shall not recoup from the EMPLOYEE, through payroll deductions or any other means, any costs incurred in recruiting or retaining the EMPLOYEE. These include, but are not limited to, any amounts payable to a third-party recruiter.</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agrees to assume the cost of two-way air transportation for the EMPLOYEE between the EMPLOYEE'S country of residence and the place of work, i.e. Philippines and 8855 202 St. Langley, BC (specify country of residence and the place of work). These costs are not recoverable by the employer.</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EMPLOYER is obliged to abide by the standards set out in the relevant provincial labour standards act and, if applicable, the terms of any collective agreement in place. In particular, THE EMPLOYER must abide by the standards with respect to how wages are paid, how overtime is calculated, meal periods, statutory holidays, annual leave, family leave, benefits and recourse under the terms of the Act and, if relevant, collective agreement. Any terms of this contract of employment less favourable to THE EMPLOYEE than the standards stipulated in the relevant labour standards act is null and void.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Many of the employment contracts of the other putative class members are exactly or virtually the same as that of Ms. Dominguez in that they contain the same or similar provisions as the provisions in the sample contract provided by HRSDC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advised that more current contracts signed between the defendants and other temporary foreign workers now provide that the employee "shall work up to" 40 hours, as opposed to the previous contracts which provided that the employee "shall work" 40 or in some cases, 37.5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Following Ms. Dominguez undergoing a medical examination, a work visa was approved. At this point, she was advised by Luzern that she would have to pay an additional $2,750 to continue with the hiring process with the defendants. She arranged to pay this amount, as with the earlier payment, to ICEA as an "agency fee".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is apparent that all of the putative class members applying for positions with the defendants through ICEA and/or Luzern were also required to pay fees in order to proceed with and complete the hiring process. The amounts paid by Ms. Dominguez were not unusual in that other putative class members who gave evidence in this proceeding, including Ms. Dominguez's husband Christopher Dominguez, paid ICEA or Luzern fees ranging from $6,000 to $7,000, depending on currency conversions.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Following attendance at a pre-departure orientation seminar, Ms. Dominguez purchased her airfare for travel from the Philippines to Vancouver from Luzern at a cost of approximately US$1,000. She requested a receipt for this payment, but Luzern refused to provide one. Likewise, the evidence establishes that other putative class members paid their own airfare from their home countries to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Dominguez arrived in Canada on January 26, 2009 under the TFWP. Her 24 month work permit, naming her employer as that of the defendants, naming her employment as a food and beverage server, and naming her location as Vancouver, was signed that day. The work permit contained various restrictions relating to her employment, including that Ms. Dominguez was: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authorized to work in any occupation other than stated.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authorized to work for any other employer other than stated.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 authorized to work in any location other than stated.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work permits of other putative class members contain identical restrictions.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few days after her arrival in Canada, Ms. Dominguez started working as a server at the restaurant of the defendants on Davie Street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Ms. Dominguez contends that the defendants did not abide by the contract relating to her employment. She says that shortly after she started work there, she was often provided with less than 40 hours of work a week, and that she was not compensated for hours she did not work despite being able to do so. She says that when she complained to her general manager about her lack of hours, she found that her hours were cut further. Accordingly, she stopped complaining.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Other putative class members were also given fewer hours than indicated in their contracts of employment, being either 37.5 or 40 hours per week. In the case of Charo Salazar, the lack of hours in 2009/2010 contributed to her difficult financial situation in that her income was not sufficient to meet the requirements to qualify for permanent residency status in 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is suggested by the evidence of the defendants that a lack of business resulted in a scale back of the hours to be worked, as evidenced by what appeared to be yearly memos to staff dated in January 2009, 2010 and 2011. Bobby Naicker, the President of the defendant Dencan Restaurants Inc., stated that it was his understanding that such cutbacks in hours were to be borne by the foreign workers in the first instance, rather than reducing the hours of Canadian citizens or those with permanent residency status.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Dominguez also alleges that she occasionally worked over eight hours in a day. On some of these occasions she was paid overtime in accordance with her contract. On others she was not, and she believes that in some instances, these overtime hours were shifted to days when she did not work a full day so as to not trigger an obligation to pay overtime. She did not complain about missing overtime pay as she was afraid that this would result in her getting fewer hours of work yet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Other putative class members have given evidence on this application that they were not paid for overtime in accordance with their contracts of employment. Ms. Dominguez and other putative class members provided copies of some of their pay statements which show hours worked which would have attracted payment of overtime but which do not show any overtime being 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There is some independent evidence that in the past, the defendants have not paid overtime in accordance with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which requires that time and a half be paid (s. 40(1)(a)). In late 2010, the Director of Employment Standards began investigating the operations of the defendants in relation to complaints that overtime was not being paid. In October 2010, the Director had identified that there had been various failures to pay overtime from January to July 2010. This investigation led to overtime being paid voluntarily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Despite these actions, the Director continued his audit of records for the month of December 2010. Arising from this later audit, the Director determined that one putative class member, Marilyn Aguinaldo, had not been paid overtime for the pay periods in December 2010, just as had other employees in six restaurants investigated. This resulted in a Determination of the Director dated June 17, 2011 that the defendants pay the required overtime for December 2010 together with substantial administrative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matter of fees charged by ICEA and/or Luzern was also the subject of an investigation by the Director of Employment Standards in mid 2010 in the context of ICEA applying for an employment agency licence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On June 3, 2011, the Director accepted the evidence of 55 temporary foreign workers, including that of Mr. and Ms. Dominguez and other putative class members, that they had paid fees to ICEA and/or Luzern. In addition, the Director found that ICEA, both directly or through Luzern, requested and charged such fees to the workers seeking employment contrary to s. 10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ICEA's application for a licence was rejected.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defendants say that they have no knowledge of these fees paid to ICEA and/or Luzern. They deny receiving any alleged employment fees from ICEA and/or Luzern.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standard form contracts also provide that the defendants were to pay return airfare for the workers. In a Determination of the Director dated June 3, 2011, the matter of the airfare was addressed by the Employment Standards Branch. At that time, the Director found that "[i]t was understood and agreed by all parties that Denny's would be responsible for the cost of the TFWs' airfare to and from Canada". On this point, the defendants say that they agreed with ICEA that ICEA would purchase the airfare for their recruits and that ICEA was to subsequently bill them for this. The defendants further say that they expected to be billed in due course and that they requested this invoicing on "several occasions", although no documents or written requests were produced by either the defendants or ICEA in that respect.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it extremely odd that, as the defendants well knew, some 70 people were recruited by ICEA for the defendants over many years and yet at no time did ICEA bill the defendants for the airfare amounts that must necessarily have been incurred by ICEA. Despite this state of affairs, the defendants never appear to have made any real efforts to follow up in this respect to ensure that the terms of employment (i.e. the HRSDC standard clause that requires the employer to pay for airfare to Canada of the temporary foreign workers) were being met.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Dominguez also addressed in her evidence what other options she considered beyond this class action proceeding. She says that she has insufficient resources to commence even a small claims court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One of the issues that will be addressed under the preferability requirement is the defendants' contention that she should have registered her complaints with the Employment Standards Branch. In reply, Ms. Dominguez says that she was afraid to bring a complaint against the defendants with the Employment Standards Branch given the experience of another putative class member. That member, Alfredo Sales, had complained to the defendants in mid 2010 about not being paid overtime and about not being reimbursed for the agency fees and airfare costs. He subsequently filed a complaint against the defendants with the Employment Standards Branch in mid August 2010. A week after filing that complaint, Mr. Sales' employment was terminated by the defendants. Mr. Sales then filed a further complaint under s. 83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alleging that his termination by the defendants was in retaliation for bringing his first complaint.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Upon investigation, the Employment Standards Branch found that Mr. Sales' claim in respect of the agency fees was out of time given the six month limitation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The issues relating to overtime and the airfare were settled directly between the parties in November 2010. Mr. Sales' retaliation complaint was upheld by the Director of Employment Standards in a Determination dated April 29, 2011 by which the defendants were ordered to pay the sum of $7,255.39 which included lost wages and interest, and an administrative penalty amount of $500.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Another putative class member, Ms. Salazar, stated that she was afraid of getting involved in this lawsuit and that others were too because they didn't want to get fired like Mr.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Ms. Dominguez also states that she was unaware of her legal rights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until well after six months from her arrival in Canada, which would defeat any claim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for the agency fees and airfare costs and also for wages for most of her employment as may be owed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Just prior to the expiration of her work permit with the defendants, Ms. Dominguez obtained another work visa that allows her to stay in Canada working for another employer. Her husband remains employed by the defendants under his work permit which expires in May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Dominguez filed this action on January 7,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Immediately following the commencement of this action, representatives of the defendants began contacting Ms. Dominguez and various other putative class members, such as Ryan Del Rosario, Leo Baduria and Joey Nicandro, to discuss the litigation. A number of these class members felt threatened and intimidated by this contact. In at least one instance - relating to Mr. Nicandro - in the context of negotiations relating to renewing his employment, the defendants sought an acknowledgment that no payments had been made by him as a condition of employment when in fact, he had made those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On the defendants' part, Mr. Naicker quite properly says that this litigation poses unique challenges for the parties in that the defendants and its employees continue to deal with each other on a day to day basis in the course of the employment of the temporary foreign workers. He indicated that, in fact, a number of the employees had approached management to express concern about how the litigation may affect them or alternatively, complain about contact from Ms. Dominguez regarding this litigation. He also indicates that in respect of Mr. Nicandro, there was no intent to release the defendants from the claims in this action through those efforts and that the acknowledgment sought only related to his prospective employment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Issues arising from these interactions between the parties were resolved through a Consent Order dated April 19, 2011 which governs the basis upon which the defendants and the class members may discuss the matter and address the issues. At the hearing, I was not advised that there were any remaining or outstanding communication issues arising between the parties. In light of the Consent Order and a provision in that order that there will be no repercussions against the workers if they join these proceedings, Ms. Salazar now indicates that she is no longer afraid despite the experience of Mr.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any event, the defendants have taken steps to address some of the issues raised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early 2011, HRSDC commenced a review of the defendants' compliance with the terms of employment as set out in the LMOs. In March 2011, the defendants committed in writing to HRSDC to repay various putative class members their one way airfare costs. On April 21, 2011, HRSDC indicated in a letter that they were satisfied that the defendants had taken certain corrective measures, including payment of wages as per the employment contracts and LMOs, repayment of transportation costs to Canada and a commitment to pay transportation costs for a worker's return to their country of residence.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August 10, 2011, the defendants forwarded letters to the 75 putative class members (being 70 people termed as "ICEA Recruits" and 5 people termed "Other Foreign Recruits" by the defendants). In that letter, the defendants asked those persons to confirm whether they paid their own airfare to Canada and if so, the defendants have offered to reimburse them for that cost. If no receipts are available, the defendants have offered to pay the average cost effective at the time of travel. The defendants have also offered to pay for any return airfare. As of August 24, 2011, 15 people had been reimbursed for airfare to Canada and in some cases, from Canada to their home country.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Accordingly, the defendants state that they are in the process of complying with the HRSDC directive regarding reimbursing airfare costs, however, the matter is complicated by the lack of invoices from the workers. They say that they are prepared to do so without the need for further legal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General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As a starting point, counsel for Ms. Dominguez refers to various authorities which set out the principles upon which the application is to be considered. The defendants do not dispute that these principles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Endean v. Canadian Red Cross Society</w:t>
      </w:r>
      <w:r>
        <w:rPr>
          <w:rFonts w:ascii="arial" w:eastAsia="arial" w:hAnsi="arial" w:cs="arial"/>
          <w:color w:val="000000"/>
          <w:sz w:val="20"/>
          <w:lang w:val="en-US" w:eastAsia="en-US" w:bidi="ar-SA"/>
        </w:rPr>
        <w:t xml:space="preserve"> </w:t>
      </w:r>
      <w:hyperlink r:id="rId298" w:history="1">
        <w:r>
          <w:rPr>
            <w:rFonts w:ascii="arial" w:eastAsia="arial" w:hAnsi="arial" w:cs="arial"/>
            <w:i/>
            <w:color w:val="0077CC"/>
            <w:sz w:val="20"/>
            <w:u w:val="single"/>
            <w:shd w:val="clear" w:color="auto" w:fill="FFFFFF"/>
            <w:lang w:val="en-US" w:eastAsia="en-US" w:bidi="ar-SA"/>
          </w:rPr>
          <w:t>(1997), 36 B.C.L.R. (3d) 350</w:t>
        </w:r>
      </w:hyperlink>
      <w:r>
        <w:rPr>
          <w:rFonts w:ascii="arial" w:eastAsia="arial" w:hAnsi="arial" w:cs="arial"/>
          <w:color w:val="000000"/>
          <w:sz w:val="20"/>
          <w:lang w:val="en-US" w:eastAsia="en-US" w:bidi="ar-SA"/>
        </w:rPr>
        <w:t xml:space="preserve"> (S.C.), rev'd on other grounds </w:t>
      </w:r>
      <w:hyperlink r:id="rId299" w:history="1">
        <w:r>
          <w:rPr>
            <w:rFonts w:ascii="arial" w:eastAsia="arial" w:hAnsi="arial" w:cs="arial"/>
            <w:i/>
            <w:color w:val="0077CC"/>
            <w:sz w:val="20"/>
            <w:u w:val="single"/>
            <w:shd w:val="clear" w:color="auto" w:fill="FFFFFF"/>
            <w:lang w:val="en-US" w:eastAsia="en-US" w:bidi="ar-SA"/>
          </w:rPr>
          <w:t>(1998), 48 B.C.L.R. (3d) 90</w:t>
        </w:r>
      </w:hyperlink>
      <w:r>
        <w:rPr>
          <w:rFonts w:ascii="arial" w:eastAsia="arial" w:hAnsi="arial" w:cs="arial"/>
          <w:color w:val="000000"/>
          <w:sz w:val="20"/>
          <w:lang w:val="en-US" w:eastAsia="en-US" w:bidi="ar-SA"/>
        </w:rPr>
        <w:t xml:space="preserve"> (C.A.), the Court stated the object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 the object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not to provide perfect justice, but to provide a "fair and efficient resolution" of the common issues. It is a remedial, procedural statute and should be interpreted liberally to give effect to its purpose. It sets out very flexible procedures and clothes the court with broad discretion to ensure that justice is done to all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also makes clear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be construed generously (para. 14). In addition, the Court set out the three objectives and advantages of class proceedings which are important to keep in mind at the certification stage: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 First, by aggregating similar individual actions, class actions serve </w:t>
      </w:r>
      <w:r>
        <w:rPr>
          <w:rFonts w:ascii="arial" w:eastAsia="arial" w:hAnsi="arial" w:cs="arial"/>
          <w:color w:val="000000"/>
          <w:sz w:val="20"/>
          <w:u w:val="single"/>
          <w:lang w:val="en-US" w:eastAsia="en-US" w:bidi="ar-SA"/>
        </w:rPr>
        <w:t>judicial economy</w:t>
      </w:r>
      <w:r>
        <w:rPr>
          <w:rFonts w:ascii="arial" w:eastAsia="arial" w:hAnsi="arial" w:cs="arial"/>
          <w:color w:val="000000"/>
          <w:sz w:val="20"/>
          <w:lang w:val="en-US" w:eastAsia="en-US" w:bidi="ar-SA"/>
        </w:rPr>
        <w:t xml:space="preserve"> by avoiding unnecessary duplication in fact-finding and legal analysis. Second, by distributing fixed litigation costs amongst a large number of class members, class actions improve </w:t>
      </w:r>
      <w:r>
        <w:rPr>
          <w:rFonts w:ascii="arial" w:eastAsia="arial" w:hAnsi="arial" w:cs="arial"/>
          <w:color w:val="000000"/>
          <w:sz w:val="20"/>
          <w:u w:val="single"/>
          <w:lang w:val="en-US" w:eastAsia="en-US" w:bidi="ar-SA"/>
        </w:rPr>
        <w:t>access to justice</w:t>
      </w:r>
      <w:r>
        <w:rPr>
          <w:rFonts w:ascii="arial" w:eastAsia="arial" w:hAnsi="arial" w:cs="arial"/>
          <w:color w:val="000000"/>
          <w:sz w:val="20"/>
          <w:lang w:val="en-US" w:eastAsia="en-US" w:bidi="ar-SA"/>
        </w:rPr>
        <w:t xml:space="preserve"> by making economical the prosecution of claims that any one class member would find too costly to prosecute on his or her own. Third, class actions serve efficiency and justice by ensuring that actual and potential </w:t>
      </w:r>
      <w:r>
        <w:rPr>
          <w:rFonts w:ascii="arial" w:eastAsia="arial" w:hAnsi="arial" w:cs="arial"/>
          <w:color w:val="000000"/>
          <w:sz w:val="20"/>
          <w:u w:val="single"/>
          <w:lang w:val="en-US" w:eastAsia="en-US" w:bidi="ar-SA"/>
        </w:rPr>
        <w:t>wrongdoers modify their behavior</w:t>
      </w:r>
      <w:r>
        <w:rPr>
          <w:rFonts w:ascii="arial" w:eastAsia="arial" w:hAnsi="arial" w:cs="arial"/>
          <w:color w:val="000000"/>
          <w:sz w:val="20"/>
          <w:lang w:val="en-US" w:eastAsia="en-US" w:bidi="ar-SA"/>
        </w:rPr>
        <w:t xml:space="preserve"> to take full account of the harm they are causing, or might cause, to the public. ... In my view, it is essential therefore that courts not take an overly restrictive approach to the legislation, but rather interpret the Act in a way that gives full effect to the benefits foreseen by the drafters.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Court is not to assess the merits of the claims at a certification hearing; rather, the focus is on the procedural aspects towards determining whether the matter should proceed as a class action or not: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Finally, the plaintiff representative must show some "basis in fact" for each of the requirements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other than that the pleadings disclose a cause of action. This burden has been described as not "onerous":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21 and 25. In contrast, if the defendants introduce evidence to challenge any of the certification requirements, it must be shown that there is no basis in the evidence for the facts asserted by the plaintiff: </w:t>
      </w:r>
      <w:r>
        <w:rPr>
          <w:rFonts w:ascii="arial" w:eastAsia="arial" w:hAnsi="arial" w:cs="arial"/>
          <w:i/>
          <w:color w:val="000000"/>
          <w:sz w:val="20"/>
          <w:lang w:val="en-US" w:eastAsia="en-US" w:bidi="ar-SA"/>
        </w:rPr>
        <w:t>Lambert v. Guidant Corp</w:t>
      </w:r>
      <w:r>
        <w:rPr>
          <w:rFonts w:ascii="arial" w:eastAsia="arial" w:hAnsi="arial" w:cs="arial"/>
          <w:color w:val="000000"/>
          <w:sz w:val="20"/>
          <w:lang w:val="en-US" w:eastAsia="en-US" w:bidi="ar-SA"/>
        </w:rPr>
        <w:t xml:space="preserve">. </w:t>
      </w:r>
      <w:hyperlink r:id="rId301" w:history="1">
        <w:r>
          <w:rPr>
            <w:rFonts w:ascii="arial" w:eastAsia="arial" w:hAnsi="arial" w:cs="arial"/>
            <w:i/>
            <w:color w:val="0077CC"/>
            <w:sz w:val="20"/>
            <w:u w:val="single"/>
            <w:shd w:val="clear" w:color="auto" w:fill="FFFFFF"/>
            <w:lang w:val="en-US" w:eastAsia="en-US" w:bidi="ar-SA"/>
          </w:rPr>
          <w:t>(2009), 72 C.P.C. (6th) 120</w:t>
        </w:r>
      </w:hyperlink>
      <w:r>
        <w:rPr>
          <w:rFonts w:ascii="arial" w:eastAsia="arial" w:hAnsi="arial" w:cs="arial"/>
          <w:color w:val="000000"/>
          <w:sz w:val="20"/>
          <w:lang w:val="en-US" w:eastAsia="en-US" w:bidi="ar-SA"/>
        </w:rPr>
        <w:t xml:space="preserve"> at para. 68 (Ont. Sup. Ct. J.); and </w:t>
      </w:r>
      <w:r>
        <w:rPr>
          <w:rFonts w:ascii="arial" w:eastAsia="arial" w:hAnsi="arial" w:cs="arial"/>
          <w:i/>
          <w:color w:val="000000"/>
          <w:sz w:val="20"/>
          <w:lang w:val="en-US" w:eastAsia="en-US" w:bidi="ar-SA"/>
        </w:rPr>
        <w:t>Stanway v. Wyeth Canada Inc.</w:t>
      </w:r>
      <w:r>
        <w:rPr>
          <w:rFonts w:ascii="arial" w:eastAsia="arial" w:hAnsi="arial" w:cs="arial"/>
          <w:color w:val="000000"/>
          <w:sz w:val="20"/>
          <w:lang w:val="en-US" w:eastAsia="en-US" w:bidi="ar-SA"/>
        </w:rPr>
        <w:t xml:space="preserve">, </w:t>
      </w:r>
      <w:hyperlink r:id="rId302" w:history="1">
        <w:r>
          <w:rPr>
            <w:rFonts w:ascii="arial" w:eastAsia="arial" w:hAnsi="arial" w:cs="arial"/>
            <w:i/>
            <w:color w:val="0077CC"/>
            <w:sz w:val="20"/>
            <w:u w:val="single"/>
            <w:shd w:val="clear" w:color="auto" w:fill="FFFFFF"/>
            <w:lang w:val="en-US" w:eastAsia="en-US" w:bidi="ar-SA"/>
          </w:rPr>
          <w:t>2011 BCSC 1057</w:t>
        </w:r>
      </w:hyperlink>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British Columbia Court of Appeal, in </w:t>
      </w:r>
      <w:r>
        <w:rPr>
          <w:rFonts w:ascii="arial" w:eastAsia="arial" w:hAnsi="arial" w:cs="arial"/>
          <w:i/>
          <w:color w:val="000000"/>
          <w:sz w:val="20"/>
          <w:lang w:val="en-US" w:eastAsia="en-US" w:bidi="ar-SA"/>
        </w:rPr>
        <w:t>Pro-Sys Consultants Ltd. v. Infineon Technologies AG</w:t>
      </w:r>
      <w:r>
        <w:rPr>
          <w:rFonts w:ascii="arial" w:eastAsia="arial" w:hAnsi="arial" w:cs="arial"/>
          <w:color w:val="000000"/>
          <w:sz w:val="20"/>
          <w:lang w:val="en-US" w:eastAsia="en-US" w:bidi="ar-SA"/>
        </w:rPr>
        <w:t xml:space="preserve">, </w:t>
      </w:r>
      <w:hyperlink r:id="rId303" w:history="1">
        <w:r>
          <w:rPr>
            <w:rFonts w:ascii="arial" w:eastAsia="arial" w:hAnsi="arial" w:cs="arial"/>
            <w:i/>
            <w:color w:val="0077CC"/>
            <w:sz w:val="20"/>
            <w:u w:val="single"/>
            <w:shd w:val="clear" w:color="auto" w:fill="FFFFFF"/>
            <w:lang w:val="en-US" w:eastAsia="en-US" w:bidi="ar-SA"/>
          </w:rPr>
          <w:t>2009 BCCA 503</w:t>
        </w:r>
      </w:hyperlink>
      <w:r>
        <w:rPr>
          <w:rFonts w:ascii="arial" w:eastAsia="arial" w:hAnsi="arial" w:cs="arial"/>
          <w:color w:val="000000"/>
          <w:sz w:val="20"/>
          <w:lang w:val="en-US" w:eastAsia="en-US" w:bidi="ar-SA"/>
        </w:rPr>
        <w:t xml:space="preserve"> at para. 64, leave to appeal to S.C.C. refused, </w:t>
      </w:r>
      <w:hyperlink r:id="rId304" w:history="1">
        <w:r>
          <w:rPr>
            <w:rFonts w:ascii="arial" w:eastAsia="arial" w:hAnsi="arial" w:cs="arial"/>
            <w:i/>
            <w:color w:val="0077CC"/>
            <w:sz w:val="20"/>
            <w:u w:val="single"/>
            <w:shd w:val="clear" w:color="auto" w:fill="FFFFFF"/>
            <w:lang w:val="en-US" w:eastAsia="en-US" w:bidi="ar-SA"/>
          </w:rPr>
          <w:t>[2010] S.C.C.A. No. 32</w:t>
        </w:r>
      </w:hyperlink>
      <w:r>
        <w:rPr>
          <w:rFonts w:ascii="arial" w:eastAsia="arial" w:hAnsi="arial" w:cs="arial"/>
          <w:color w:val="000000"/>
          <w:sz w:val="20"/>
          <w:lang w:val="en-US" w:eastAsia="en-US" w:bidi="ar-SA"/>
        </w:rPr>
        <w:t xml:space="preserve">, has fully endorsed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to be construed generously in order to achieve its objectives.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The onus of satisfying the requirements for certification under s. 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rests on Ms. Dominguez: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25. Assuming that all requirements are met, the Court must certify the proceedings: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The defendants take issue with Ms. Dominguez having met the requirements of ss. 4(1)(c), (d) and (e)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relating to her ability to represent the subclass, the existence of common issues and whether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the preferable procedure. However, for the sake of completeness, I will briefly address the other requirements.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Do the pleadings disclose causes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Ms. Dominguez bears the burden of showing that a cause of action has been properly pled as required by s. 4(1)(a)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This burden has been described as a very low one: </w:t>
      </w:r>
      <w:r>
        <w:rPr>
          <w:rFonts w:ascii="arial" w:eastAsia="arial" w:hAnsi="arial" w:cs="arial"/>
          <w:i/>
          <w:color w:val="000000"/>
          <w:sz w:val="20"/>
          <w:lang w:val="en-US" w:eastAsia="en-US" w:bidi="ar-SA"/>
        </w:rPr>
        <w:t>Brogaard v. Canada (Attorney General)</w:t>
      </w:r>
      <w:r>
        <w:rPr>
          <w:rFonts w:ascii="arial" w:eastAsia="arial" w:hAnsi="arial" w:cs="arial"/>
          <w:color w:val="000000"/>
          <w:sz w:val="20"/>
          <w:lang w:val="en-US" w:eastAsia="en-US" w:bidi="ar-SA"/>
        </w:rPr>
        <w:t xml:space="preserve">, </w:t>
      </w:r>
      <w:hyperlink r:id="rId305" w:history="1">
        <w:r>
          <w:rPr>
            <w:rFonts w:ascii="arial" w:eastAsia="arial" w:hAnsi="arial" w:cs="arial"/>
            <w:i/>
            <w:color w:val="0077CC"/>
            <w:sz w:val="20"/>
            <w:u w:val="single"/>
            <w:shd w:val="clear" w:color="auto" w:fill="FFFFFF"/>
            <w:lang w:val="en-US" w:eastAsia="en-US" w:bidi="ar-SA"/>
          </w:rPr>
          <w:t>2002 BCSC 1149</w:t>
        </w:r>
      </w:hyperlink>
      <w:r>
        <w:rPr>
          <w:rFonts w:ascii="arial" w:eastAsia="arial" w:hAnsi="arial" w:cs="arial"/>
          <w:color w:val="000000"/>
          <w:sz w:val="20"/>
          <w:lang w:val="en-US" w:eastAsia="en-US" w:bidi="ar-SA"/>
        </w:rPr>
        <w:t xml:space="preserve"> at paras. 30-33.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There is no contest between the parties in that the Notice of Civil Claim discloses causes of action and that those causes of action have been properly pled. Those causes of action include:</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agency: that ICEA and Luzern were acting as agents of the defendants and that the defendants are liable for their actions in charging and receiving the agency fees which resulted in the breach of contract (including breach of duty of good faith and fair dealing), breach of fiduciary duty and unjust enrichment;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contract: that the contracts between the parties contained express or implied terms in respect of the agency fees, airfare reimbursement, hours of employment and overtime and that those obligations were breached. Breach of duty of good faith and fair dealing is not pled as an independent cause of action, but rather as part of the contractual relationship between the parties whereby the defendants were required to honour their contractual and statutory obligations to their employees, citing </w:t>
      </w:r>
      <w:r>
        <w:rPr>
          <w:rFonts w:ascii="arial" w:eastAsia="arial" w:hAnsi="arial" w:cs="arial"/>
          <w:i/>
          <w:color w:val="000000"/>
          <w:sz w:val="20"/>
          <w:lang w:val="en-US" w:eastAsia="en-US" w:bidi="ar-SA"/>
        </w:rPr>
        <w:t>Fulawka v. Bank of Nova Scotia</w:t>
      </w:r>
      <w:r>
        <w:rPr>
          <w:rFonts w:ascii="arial" w:eastAsia="arial" w:hAnsi="arial" w:cs="arial"/>
          <w:color w:val="000000"/>
          <w:sz w:val="20"/>
          <w:lang w:val="en-US" w:eastAsia="en-US" w:bidi="ar-SA"/>
        </w:rPr>
        <w:t xml:space="preserve">, </w:t>
      </w:r>
      <w:hyperlink r:id="rId306" w:history="1">
        <w:r>
          <w:rPr>
            <w:rFonts w:ascii="arial" w:eastAsia="arial" w:hAnsi="arial" w:cs="arial"/>
            <w:i/>
            <w:color w:val="0077CC"/>
            <w:sz w:val="20"/>
            <w:u w:val="single"/>
            <w:shd w:val="clear" w:color="auto" w:fill="FFFFFF"/>
            <w:lang w:val="en-US" w:eastAsia="en-US" w:bidi="ar-SA"/>
          </w:rPr>
          <w:t>2010 ONSC 1148</w:t>
        </w:r>
      </w:hyperlink>
      <w:r>
        <w:rPr>
          <w:rFonts w:ascii="arial" w:eastAsia="arial" w:hAnsi="arial" w:cs="arial"/>
          <w:color w:val="000000"/>
          <w:sz w:val="20"/>
          <w:lang w:val="en-US" w:eastAsia="en-US" w:bidi="ar-SA"/>
        </w:rPr>
        <w:t xml:space="preserve"> (Sup. Ct. J.), aff'd </w:t>
      </w:r>
      <w:hyperlink r:id="rId307" w:history="1">
        <w:r>
          <w:rPr>
            <w:rFonts w:ascii="arial" w:eastAsia="arial" w:hAnsi="arial" w:cs="arial"/>
            <w:i/>
            <w:color w:val="0077CC"/>
            <w:sz w:val="20"/>
            <w:u w:val="single"/>
            <w:shd w:val="clear" w:color="auto" w:fill="FFFFFF"/>
            <w:lang w:val="en-US" w:eastAsia="en-US" w:bidi="ar-SA"/>
          </w:rPr>
          <w:t>2011 ONSC 530</w:t>
        </w:r>
      </w:hyperlink>
      <w:r>
        <w:rPr>
          <w:rFonts w:ascii="arial" w:eastAsia="arial" w:hAnsi="arial" w:cs="arial"/>
          <w:color w:val="000000"/>
          <w:sz w:val="20"/>
          <w:lang w:val="en-US" w:eastAsia="en-US" w:bidi="ar-SA"/>
        </w:rPr>
        <w:t xml:space="preserve"> (Sup. Ct. J. Div. Ct.);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breach of fiduciary duty: that the putative class members were owed an </w:t>
      </w:r>
      <w:r>
        <w:rPr>
          <w:rFonts w:ascii="arial" w:eastAsia="arial" w:hAnsi="arial" w:cs="arial"/>
          <w:i/>
          <w:color w:val="000000"/>
          <w:sz w:val="20"/>
          <w:lang w:val="en-US" w:eastAsia="en-US" w:bidi="ar-SA"/>
        </w:rPr>
        <w:t>ad hoc</w:t>
      </w:r>
      <w:r>
        <w:rPr>
          <w:rFonts w:ascii="arial" w:eastAsia="arial" w:hAnsi="arial" w:cs="arial"/>
          <w:color w:val="000000"/>
          <w:sz w:val="20"/>
          <w:lang w:val="en-US" w:eastAsia="en-US" w:bidi="ar-SA"/>
        </w:rPr>
        <w:t xml:space="preserve"> fiduciary duty, citing </w:t>
      </w:r>
      <w:r>
        <w:rPr>
          <w:rFonts w:ascii="arial" w:eastAsia="arial" w:hAnsi="arial" w:cs="arial"/>
          <w:i/>
          <w:color w:val="000000"/>
          <w:sz w:val="20"/>
          <w:lang w:val="en-US" w:eastAsia="en-US" w:bidi="ar-SA"/>
        </w:rPr>
        <w:t>Galambos v. Perez</w:t>
      </w:r>
      <w:r>
        <w:rPr>
          <w:rFonts w:ascii="arial" w:eastAsia="arial" w:hAnsi="arial" w:cs="arial"/>
          <w:color w:val="000000"/>
          <w:sz w:val="20"/>
          <w:lang w:val="en-US" w:eastAsia="en-US" w:bidi="ar-SA"/>
        </w:rPr>
        <w:t xml:space="preserve">, </w:t>
      </w:r>
      <w:hyperlink r:id="rId308" w:history="1">
        <w:r>
          <w:rPr>
            <w:rFonts w:ascii="arial" w:eastAsia="arial" w:hAnsi="arial" w:cs="arial"/>
            <w:i/>
            <w:color w:val="0077CC"/>
            <w:sz w:val="20"/>
            <w:u w:val="single"/>
            <w:shd w:val="clear" w:color="auto" w:fill="FFFFFF"/>
            <w:lang w:val="en-US" w:eastAsia="en-US" w:bidi="ar-SA"/>
          </w:rPr>
          <w:t>2009 SCC 48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Alberta v. Elder Advocates of Alberta Society</w:t>
      </w:r>
      <w:r>
        <w:rPr>
          <w:rFonts w:ascii="arial" w:eastAsia="arial" w:hAnsi="arial" w:cs="arial"/>
          <w:color w:val="000000"/>
          <w:sz w:val="20"/>
          <w:lang w:val="en-US" w:eastAsia="en-US" w:bidi="ar-SA"/>
        </w:rPr>
        <w:t xml:space="preserve">, </w:t>
      </w:r>
      <w:hyperlink r:id="rId309" w:history="1">
        <w:r>
          <w:rPr>
            <w:rFonts w:ascii="arial" w:eastAsia="arial" w:hAnsi="arial" w:cs="arial"/>
            <w:i/>
            <w:color w:val="0077CC"/>
            <w:sz w:val="20"/>
            <w:u w:val="single"/>
            <w:shd w:val="clear" w:color="auto" w:fill="FFFFFF"/>
            <w:lang w:val="en-US" w:eastAsia="en-US" w:bidi="ar-SA"/>
          </w:rPr>
          <w:t>2011 SCC 24</w:t>
        </w:r>
      </w:hyperlink>
      <w:r>
        <w:rPr>
          <w:rFonts w:ascii="arial" w:eastAsia="arial" w:hAnsi="arial" w:cs="arial"/>
          <w:color w:val="000000"/>
          <w:sz w:val="20"/>
          <w:lang w:val="en-US" w:eastAsia="en-US" w:bidi="ar-SA"/>
        </w:rPr>
        <w:t xml:space="preserve">. Further, Ms. Dominguez cites </w:t>
      </w:r>
      <w:r>
        <w:rPr>
          <w:rFonts w:ascii="arial" w:eastAsia="arial" w:hAnsi="arial" w:cs="arial"/>
          <w:i/>
          <w:color w:val="000000"/>
          <w:sz w:val="20"/>
          <w:lang w:val="en-US" w:eastAsia="en-US" w:bidi="ar-SA"/>
        </w:rPr>
        <w:t>Mustaji v. Tjin</w:t>
      </w:r>
      <w:r>
        <w:rPr>
          <w:rFonts w:ascii="arial" w:eastAsia="arial" w:hAnsi="arial" w:cs="arial"/>
          <w:color w:val="000000"/>
          <w:sz w:val="20"/>
          <w:lang w:val="en-US" w:eastAsia="en-US" w:bidi="ar-SA"/>
        </w:rPr>
        <w:t xml:space="preserve"> </w:t>
      </w:r>
      <w:hyperlink r:id="rId310" w:history="1">
        <w:r>
          <w:rPr>
            <w:rFonts w:ascii="arial" w:eastAsia="arial" w:hAnsi="arial" w:cs="arial"/>
            <w:i/>
            <w:color w:val="0077CC"/>
            <w:sz w:val="20"/>
            <w:u w:val="single"/>
            <w:shd w:val="clear" w:color="auto" w:fill="FFFFFF"/>
            <w:lang w:val="en-US" w:eastAsia="en-US" w:bidi="ar-SA"/>
          </w:rPr>
          <w:t>(1995), 24 C.C.L.T. (2d) 191</w:t>
        </w:r>
      </w:hyperlink>
      <w:r>
        <w:rPr>
          <w:rFonts w:ascii="arial" w:eastAsia="arial" w:hAnsi="arial" w:cs="arial"/>
          <w:color w:val="000000"/>
          <w:sz w:val="20"/>
          <w:lang w:val="en-US" w:eastAsia="en-US" w:bidi="ar-SA"/>
        </w:rPr>
        <w:t xml:space="preserve"> (B.C.S.C.), aff'd </w:t>
      </w:r>
      <w:hyperlink r:id="rId311" w:history="1">
        <w:r>
          <w:rPr>
            <w:rFonts w:ascii="arial" w:eastAsia="arial" w:hAnsi="arial" w:cs="arial"/>
            <w:i/>
            <w:color w:val="0077CC"/>
            <w:sz w:val="20"/>
            <w:u w:val="single"/>
            <w:shd w:val="clear" w:color="auto" w:fill="FFFFFF"/>
            <w:lang w:val="en-US" w:eastAsia="en-US" w:bidi="ar-SA"/>
          </w:rPr>
          <w:t>25 B.C.L.R. (3d) 220</w:t>
        </w:r>
      </w:hyperlink>
      <w:r>
        <w:rPr>
          <w:rFonts w:ascii="arial" w:eastAsia="arial" w:hAnsi="arial" w:cs="arial"/>
          <w:color w:val="000000"/>
          <w:sz w:val="20"/>
          <w:lang w:val="en-US" w:eastAsia="en-US" w:bidi="ar-SA"/>
        </w:rPr>
        <w:t xml:space="preserve"> (C.A.), in support of her contention that this duty arose in the context of her employment and given the requirements of the TFWP such that these foreign workers were particularly vulnerable to the employment practices of the defendants;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unjust enrichment: all three elements (enrichment, deprivation and absence of juristic reason) have been pled: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2004 SCC 25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All of these allegations are said to arise from the shared experience of the putative class members arising from their employment with the defendants. Ms. Dominguez seeks various relief in respect of those causes of action, which is also consistent with the causes of action pled.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conclude that the Notice of Civil Claim discloses causes of action, as required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there an identifiable class of 2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Section 4(1)(b) provides that there must be "an identifiable class of 2 or more persons".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Based on investigations completed to date by both Ms. Dominguez and the defendants, various putative class members have been identified. Other than Ms. Dominguez, other employees of the defendants have presented evidence on this application who are in substantially the same situation as Ms. Dominguez, including Ms. Reyes, Mr. Del Rosario, Mr. Dominguez, Mr. Baduria and Mr. Nicandro.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particular, the records of the defendants indicate that 70 individuals, who were or currently are employed by the defendants, were initially recruited by ICEA and Luzern from December 1, 2006 onwards (termed as "ICEA Recruits" by the defendants). Of those people, 55 are still employed by the defendants, five have left the country and ten others have stopped working for the defendants and may still be present in Canada. There are five other recruits, from India, Fiji, Mexico and Sri Lanka, all of whom remain employed by the defendants (termed as "Other Foreign Recruits"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total putative class members will therefore be approximately 75 people, both residing in British Columbia and elsewhere.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During the course of the hearing, the proposed class definitions were clarified by Ms. Dominguez's counsel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current and former employees of the Defendants in British Columbia for whom there is a positive Labour market Opinion which allowed them to work in Canada under the Temporary Foreign Worker Program, on and after December 1, 2006 to the opt-out/opt-in date set by the court. ("Class" or "Class Members")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Class B</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current and former employees of the Defendants in British Columbia for whom there is a positive Labour market Opinion which allowed them to work in Canada under the Temporary Foreign Worker Program, on and after December 1, 2006 to the opt-out/opt-in date set by the court and who are no longer resident in British Columbia. ("Non-Resident Class" or "Non-Resident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 conclude that there is an identifiable class of 2 or more persons, as required by s. 4(1)(b)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Ms. Dominguez an appropriate representative of the non-resident putative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One of the requirements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that there must be a representative plaintiff for any class. Section 4(1)(e) provides that this representative plaintiff must be a person who:</w:t>
      </w:r>
      <w:r>
        <w:rPr>
          <w:rFonts w:ascii="arial" w:eastAsia="arial" w:hAnsi="arial" w:cs="arial"/>
          <w:sz w:val="20"/>
          <w:lang w:val="en-US" w:eastAsia="en-US" w:bidi="ar-SA"/>
        </w:rPr>
        <w:cr/>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Ms. Dominquez proposes that she act as the representative plaintiff for the class. She indicates that she is Filipino, just as are the majority of the class members, and that her ability to interact within the tight knit Filipino community will assist her in her duties. She is fluent in both English and Tagalog, the native Filipino language.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Dominguez indicates that she has already participated in significant steps in the action after initially retaining counsel, including preparing the Notice of Civil Claim and her affidavit in support of the certification application. She has become familiar with the normal pre-trial procedures that would be necessary to go forward in the litigation and is prepared to participate as required. She has also already taken steps to advise putative class members of the proceedings and to direct them to the available resources in respect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the circumstances, I am satisfied that Ms. Dominguez is in a position to fairly and adequately represent the interests of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Sections 6(1) and 8(2) are provisions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allow certification only upon the appointment of a representative plaintiff for subclasses where there are common issues not shared by all the class members. The rationale for separate representation is set out in s. 6(1) which states that it is to protect the interests of the subclass members. In this case, since the putative class members will no doubt reside in British Columbia and also outside British Columbia, a subclass for non-residents is mandated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Ms. Dominguez also proposes that she be the representative plaintiff for not only the resident class, Class A, but also the non-resident subclass, Class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She relies on </w:t>
      </w:r>
      <w:r>
        <w:rPr>
          <w:rFonts w:ascii="arial" w:eastAsia="arial" w:hAnsi="arial" w:cs="arial"/>
          <w:i/>
          <w:color w:val="000000"/>
          <w:sz w:val="20"/>
          <w:lang w:val="en-US" w:eastAsia="en-US" w:bidi="ar-SA"/>
        </w:rPr>
        <w:t>Pearson v. Boliden Ltd.</w:t>
      </w:r>
      <w:r>
        <w:rPr>
          <w:rFonts w:ascii="arial" w:eastAsia="arial" w:hAnsi="arial" w:cs="arial"/>
          <w:color w:val="000000"/>
          <w:sz w:val="20"/>
          <w:lang w:val="en-US" w:eastAsia="en-US" w:bidi="ar-SA"/>
        </w:rPr>
        <w:t xml:space="preserve">, </w:t>
      </w:r>
      <w:hyperlink r:id="rId313" w:history="1">
        <w:r>
          <w:rPr>
            <w:rFonts w:ascii="arial" w:eastAsia="arial" w:hAnsi="arial" w:cs="arial"/>
            <w:i/>
            <w:color w:val="0077CC"/>
            <w:sz w:val="20"/>
            <w:u w:val="single"/>
            <w:shd w:val="clear" w:color="auto" w:fill="FFFFFF"/>
            <w:lang w:val="en-US" w:eastAsia="en-US" w:bidi="ar-SA"/>
          </w:rPr>
          <w:t>2001 BCSC 1054</w:t>
        </w:r>
      </w:hyperlink>
      <w:r>
        <w:rPr>
          <w:rFonts w:ascii="arial" w:eastAsia="arial" w:hAnsi="arial" w:cs="arial"/>
          <w:color w:val="000000"/>
          <w:sz w:val="20"/>
          <w:lang w:val="en-US" w:eastAsia="en-US" w:bidi="ar-SA"/>
        </w:rPr>
        <w:t xml:space="preserve">, varied on other grounds, </w:t>
      </w:r>
      <w:hyperlink r:id="rId314" w:history="1">
        <w:r>
          <w:rPr>
            <w:rFonts w:ascii="arial" w:eastAsia="arial" w:hAnsi="arial" w:cs="arial"/>
            <w:i/>
            <w:color w:val="0077CC"/>
            <w:sz w:val="20"/>
            <w:u w:val="single"/>
            <w:shd w:val="clear" w:color="auto" w:fill="FFFFFF"/>
            <w:lang w:val="en-US" w:eastAsia="en-US" w:bidi="ar-SA"/>
          </w:rPr>
          <w:t>2002 BCCA 624</w:t>
        </w:r>
      </w:hyperlink>
      <w:r>
        <w:rPr>
          <w:rFonts w:ascii="arial" w:eastAsia="arial" w:hAnsi="arial" w:cs="arial"/>
          <w:color w:val="000000"/>
          <w:sz w:val="20"/>
          <w:lang w:val="en-US" w:eastAsia="en-US" w:bidi="ar-SA"/>
        </w:rPr>
        <w:t>. In that case, Mr. Justice Burnyeat certified the class and various non-resident classes. One of the issues addressed was whether certification could occur only if different representative plaintiffs were appointed for each subclass. The Court held that it was not necessary to do so at the stage of certification where the representative plaintiff could "fairly and adequately represent the interests" of all subclasses: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[73] I am satisfied that this was not what was intended by either s. 6(1) or s. 8(2)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Rather, I am satisfied that the intent of those two subsections is to prohibit any part of the proceeding as a class proceeding unless each of the subclasses has a representative plaintiff who can "fairly and adequately represent the interests of the subclass" and who does not have "on the common issues for the subclass, an interest that is in conflict with the interest of other subclass members." I am satisfied that it is not necessary for a separate representative plaintiff to be in place before each of the subclasses is established. The "representative plaintiff" who can "fairly and adequately represent the interest of the subclass" at this stage can be a person who is the same person as the "representative plaintiff for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The defendants contend that while the Court may appoint a person who is not a member of the class as a representative plaintiff, the Court may only do so on the authority of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may certify a person who is not a member of the class as the representative plaintiff for the class proceeding only if it is necessary to do so in order to avoid a substantial injustice to the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defendants also point to s. 16(4)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provides that a non-resident may not opt into a class proceeding unless the subclass has a representative plaintiff in accordance with s. 6(1)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L. (T.) v. Alberta (Director of Child Welfare)</w:t>
      </w:r>
      <w:r>
        <w:rPr>
          <w:rFonts w:ascii="arial" w:eastAsia="arial" w:hAnsi="arial" w:cs="arial"/>
          <w:color w:val="000000"/>
          <w:sz w:val="20"/>
          <w:lang w:val="en-US" w:eastAsia="en-US" w:bidi="ar-SA"/>
        </w:rPr>
        <w:t xml:space="preserve">, </w:t>
      </w:r>
      <w:hyperlink r:id="rId315" w:history="1">
        <w:r>
          <w:rPr>
            <w:rFonts w:ascii="arial" w:eastAsia="arial" w:hAnsi="arial" w:cs="arial"/>
            <w:i/>
            <w:color w:val="0077CC"/>
            <w:sz w:val="20"/>
            <w:u w:val="single"/>
            <w:shd w:val="clear" w:color="auto" w:fill="FFFFFF"/>
            <w:lang w:val="en-US" w:eastAsia="en-US" w:bidi="ar-SA"/>
          </w:rPr>
          <w:t>2009 ABQB 96</w:t>
        </w:r>
      </w:hyperlink>
      <w:r>
        <w:rPr>
          <w:rFonts w:ascii="arial" w:eastAsia="arial" w:hAnsi="arial" w:cs="arial"/>
          <w:color w:val="000000"/>
          <w:sz w:val="20"/>
          <w:lang w:val="en-US" w:eastAsia="en-US" w:bidi="ar-SA"/>
        </w:rPr>
        <w:t xml:space="preserve"> at paras. 6-16. I note, however, that in that case, the Court was addressing the issue </w:t>
      </w:r>
      <w:r>
        <w:rPr>
          <w:rFonts w:ascii="arial" w:eastAsia="arial" w:hAnsi="arial" w:cs="arial"/>
          <w:i/>
          <w:color w:val="000000"/>
          <w:sz w:val="20"/>
          <w:lang w:val="en-US" w:eastAsia="en-US" w:bidi="ar-SA"/>
        </w:rPr>
        <w:t>following</w:t>
      </w:r>
      <w:r>
        <w:rPr>
          <w:rFonts w:ascii="arial" w:eastAsia="arial" w:hAnsi="arial" w:cs="arial"/>
          <w:color w:val="000000"/>
          <w:sz w:val="20"/>
          <w:lang w:val="en-US" w:eastAsia="en-US" w:bidi="ar-SA"/>
        </w:rPr>
        <w:t xml:space="preserve"> certification and during the process of preparing the Notice of Certification. At para. 13, the Court expressly acknowledged that it was not always necessary to appoint a representative for a subclass. The Court expressed the view that, given the present stage of that litigation, it was necessary at that time for the non-resident subclass to have its own representative plaintiff, in accordance with the equivalent Alberta section of s. 16(4)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para. 14. Only at that time was a separate representative to be appointed failing a finding of substantial injustice based on evidence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I do not see the ratios in </w:t>
      </w:r>
      <w:r>
        <w:rPr>
          <w:rFonts w:ascii="arial" w:eastAsia="arial" w:hAnsi="arial" w:cs="arial"/>
          <w:i/>
          <w:color w:val="000000"/>
          <w:sz w:val="20"/>
          <w:lang w:val="en-US" w:eastAsia="en-US" w:bidi="ar-SA"/>
        </w:rPr>
        <w:t>L. (T.)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 xml:space="preserve"> to be at odds with each other. Both cases note that the discretion remains with the Court to allow a single representative plaintiff who meets the requirements of s. 4(1)(e) for all classes at this stage of the proceedings, if that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It seems to make eminent sense to me that Ms. Dominguez is in the best position at this time to represent both the class and subclass given her knowledge of the issues and her involvement to date. The issues, to the extent that they are common issues, relate to all class members based on the dealings between the defendants and the putative class members while they were resident here in British Columbia. The fact that some of them may have changed their residence does not stand as a legal distinction that will dictate a difference in approach as between the class members at this time: </w:t>
      </w:r>
      <w:r>
        <w:rPr>
          <w:rFonts w:ascii="arial" w:eastAsia="arial" w:hAnsi="arial" w:cs="arial"/>
          <w:i/>
          <w:color w:val="000000"/>
          <w:sz w:val="20"/>
          <w:lang w:val="en-US" w:eastAsia="en-US" w:bidi="ar-SA"/>
        </w:rPr>
        <w:t>T. (L.)</w:t>
      </w:r>
      <w:r>
        <w:rPr>
          <w:rFonts w:ascii="arial" w:eastAsia="arial" w:hAnsi="arial" w:cs="arial"/>
          <w:color w:val="000000"/>
          <w:sz w:val="20"/>
          <w:lang w:val="en-US" w:eastAsia="en-US" w:bidi="ar-SA"/>
        </w:rPr>
        <w:t xml:space="preserve"> at para. 14. In other words, the common issues here are shared by all class members, including the subclass, and separate representation is not required at this stage: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In that respect, I adopt the approach of Burnyeat J. in </w:t>
      </w:r>
      <w:r>
        <w:rPr>
          <w:rFonts w:ascii="arial" w:eastAsia="arial" w:hAnsi="arial" w:cs="arial"/>
          <w:i/>
          <w:color w:val="000000"/>
          <w:sz w:val="20"/>
          <w:lang w:val="en-US" w:eastAsia="en-US" w:bidi="ar-SA"/>
        </w:rPr>
        <w:t>Pearson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The only reason for the subclass is to meet the technical requirements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If, following any certification, it appears that Ms. Dominguez is no longer fairly and adequately representing the interests of the subclass, or if a conflict develops between the class and the subclass, then measures can be taken to replace her in respect of the subclass. Until or if that occurs, I am satisfied that Ms. Dominguez is the appropriate representative plaintiff for the subclass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If certification does occur, I will expect that measures will be taken before the next court hearing to substitute and appoint a member of the subclass as the representative plaintiff for the subclass: </w:t>
      </w:r>
      <w:r>
        <w:rPr>
          <w:rFonts w:ascii="arial" w:eastAsia="arial" w:hAnsi="arial" w:cs="arial"/>
          <w:i/>
          <w:color w:val="000000"/>
          <w:sz w:val="20"/>
          <w:lang w:val="en-US" w:eastAsia="en-US" w:bidi="ar-SA"/>
        </w:rPr>
        <w:t>Gregg v. Freightliner Ltd. (c.o.b. Western Star Trucks)</w:t>
      </w:r>
      <w:r>
        <w:rPr>
          <w:rFonts w:ascii="arial" w:eastAsia="arial" w:hAnsi="arial" w:cs="arial"/>
          <w:color w:val="000000"/>
          <w:sz w:val="20"/>
          <w:lang w:val="en-US" w:eastAsia="en-US" w:bidi="ar-SA"/>
        </w:rPr>
        <w:t xml:space="preserve">, </w:t>
      </w:r>
      <w:hyperlink r:id="rId316" w:history="1">
        <w:r>
          <w:rPr>
            <w:rFonts w:ascii="arial" w:eastAsia="arial" w:hAnsi="arial" w:cs="arial"/>
            <w:i/>
            <w:color w:val="0077CC"/>
            <w:sz w:val="20"/>
            <w:u w:val="single"/>
            <w:shd w:val="clear" w:color="auto" w:fill="FFFFFF"/>
            <w:lang w:val="en-US" w:eastAsia="en-US" w:bidi="ar-SA"/>
          </w:rPr>
          <w:t>2003 BCSC 241</w:t>
        </w:r>
      </w:hyperlink>
      <w:r>
        <w:rPr>
          <w:rFonts w:ascii="arial" w:eastAsia="arial" w:hAnsi="arial" w:cs="arial"/>
          <w:color w:val="000000"/>
          <w:sz w:val="20"/>
          <w:lang w:val="en-US" w:eastAsia="en-US" w:bidi="ar-SA"/>
        </w:rPr>
        <w:t xml:space="preserve"> at para. 108. That is subject, of course, to Ms. Dominguez seeking to continue in that role and provided that she produces sufficient evidence upon which the Court can find that it is necessary to do so to avoid "substantial injustice", as intended by s. 2(4)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Accordingly, I am satisfied that Ms. Dominguez has satisfied the requirements of s. 4(1)(e)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at this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Are there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next issue in this proceeding is whether the claims of the class members raise "common issues, whether or not those common issues predominate over issues affecting only individual members":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s. 4(1)(c).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"Common issues" are defined in s. 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as:</w:t>
      </w:r>
      <w:r>
        <w:rPr>
          <w:rFonts w:ascii="arial" w:eastAsia="arial" w:hAnsi="arial" w:cs="arial"/>
          <w:sz w:val="20"/>
          <w:lang w:val="en-US" w:eastAsia="en-US" w:bidi="ar-SA"/>
        </w:rPr>
        <w:cr/>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fact, or</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common but not necessarily identical issues of law that arise from common but not necessarily identical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Section 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Certain matters not bar to certification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court must not refuse to certify a proceeding as a class proceeding merely because of one or more of the following:</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Ms. Dominguez refers to various authorities which discuss the general principles adopted by the courts in deciding this issue, including </w:t>
      </w:r>
      <w:r>
        <w:rPr>
          <w:rFonts w:ascii="arial" w:eastAsia="arial" w:hAnsi="arial" w:cs="arial"/>
          <w:i/>
          <w:color w:val="000000"/>
          <w:sz w:val="20"/>
          <w:lang w:val="en-US" w:eastAsia="en-US" w:bidi="ar-SA"/>
        </w:rPr>
        <w:t>Riazi v. Vancouver School District No. 39</w:t>
      </w:r>
      <w:r>
        <w:rPr>
          <w:rFonts w:ascii="arial" w:eastAsia="arial" w:hAnsi="arial" w:cs="arial"/>
          <w:color w:val="000000"/>
          <w:sz w:val="20"/>
          <w:lang w:val="en-US" w:eastAsia="en-US" w:bidi="ar-SA"/>
        </w:rPr>
        <w:t xml:space="preserve">, </w:t>
      </w:r>
      <w:hyperlink r:id="rId317" w:history="1">
        <w:r>
          <w:rPr>
            <w:rFonts w:ascii="arial" w:eastAsia="arial" w:hAnsi="arial" w:cs="arial"/>
            <w:i/>
            <w:color w:val="0077CC"/>
            <w:sz w:val="20"/>
            <w:u w:val="single"/>
            <w:shd w:val="clear" w:color="auto" w:fill="FFFFFF"/>
            <w:lang w:val="en-US" w:eastAsia="en-US" w:bidi="ar-SA"/>
          </w:rPr>
          <w:t>2011 BCSC 407</w:t>
        </w:r>
      </w:hyperlink>
      <w:r>
        <w:rPr>
          <w:rFonts w:ascii="arial" w:eastAsia="arial" w:hAnsi="arial" w:cs="arial"/>
          <w:color w:val="000000"/>
          <w:sz w:val="20"/>
          <w:lang w:val="en-US" w:eastAsia="en-US" w:bidi="ar-SA"/>
        </w:rPr>
        <w:t xml:space="preserve"> at paras. 41-45;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at paras. 39-42; and </w:t>
      </w:r>
      <w:r>
        <w:rPr>
          <w:rFonts w:ascii="arial" w:eastAsia="arial" w:hAnsi="arial" w:cs="arial"/>
          <w:i/>
          <w:color w:val="000000"/>
          <w:sz w:val="20"/>
          <w:lang w:val="en-US" w:eastAsia="en-US" w:bidi="ar-SA"/>
        </w:rPr>
        <w:t>Harrington v. Dow Corning Corp.</w:t>
      </w:r>
      <w:r>
        <w:rPr>
          <w:rFonts w:ascii="arial" w:eastAsia="arial" w:hAnsi="arial" w:cs="arial"/>
          <w:color w:val="000000"/>
          <w:sz w:val="20"/>
          <w:lang w:val="en-US" w:eastAsia="en-US" w:bidi="ar-SA"/>
        </w:rPr>
        <w:t xml:space="preserve">, </w:t>
      </w:r>
      <w:hyperlink r:id="rId318" w:history="1">
        <w:r>
          <w:rPr>
            <w:rFonts w:ascii="arial" w:eastAsia="arial" w:hAnsi="arial" w:cs="arial"/>
            <w:i/>
            <w:color w:val="0077CC"/>
            <w:sz w:val="20"/>
            <w:u w:val="single"/>
            <w:shd w:val="clear" w:color="auto" w:fill="FFFFFF"/>
            <w:lang w:val="en-US" w:eastAsia="en-US" w:bidi="ar-SA"/>
          </w:rPr>
          <w:t>2000 BCCA 605</w:t>
        </w:r>
      </w:hyperlink>
      <w:r>
        <w:rPr>
          <w:rFonts w:ascii="arial" w:eastAsia="arial" w:hAnsi="arial" w:cs="arial"/>
          <w:color w:val="000000"/>
          <w:sz w:val="20"/>
          <w:lang w:val="en-US" w:eastAsia="en-US" w:bidi="ar-SA"/>
        </w:rPr>
        <w:t xml:space="preserve"> at paras. 23-24, leave to appeal to S.C.C. refused, </w:t>
      </w:r>
      <w:hyperlink r:id="rId319" w:history="1">
        <w:r>
          <w:rPr>
            <w:rFonts w:ascii="arial" w:eastAsia="arial" w:hAnsi="arial" w:cs="arial"/>
            <w:i/>
            <w:color w:val="0077CC"/>
            <w:sz w:val="20"/>
            <w:u w:val="single"/>
            <w:shd w:val="clear" w:color="auto" w:fill="FFFFFF"/>
            <w:lang w:val="en-US" w:eastAsia="en-US" w:bidi="ar-SA"/>
          </w:rPr>
          <w:t>[2001] S.C.C.A. No. 21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As stated by this Court in </w:t>
      </w:r>
      <w:r>
        <w:rPr>
          <w:rFonts w:ascii="arial" w:eastAsia="arial" w:hAnsi="arial" w:cs="arial"/>
          <w:i/>
          <w:color w:val="000000"/>
          <w:sz w:val="20"/>
          <w:lang w:val="en-US" w:eastAsia="en-US" w:bidi="ar-SA"/>
        </w:rPr>
        <w:t>Vasquez v. United Steel Workers of America, Local No. 1-3567</w:t>
      </w:r>
      <w:r>
        <w:rPr>
          <w:rFonts w:ascii="arial" w:eastAsia="arial" w:hAnsi="arial" w:cs="arial"/>
          <w:color w:val="000000"/>
          <w:sz w:val="20"/>
          <w:lang w:val="en-US" w:eastAsia="en-US" w:bidi="ar-SA"/>
        </w:rPr>
        <w:t xml:space="preserve">, </w:t>
      </w:r>
      <w:hyperlink r:id="rId320" w:history="1">
        <w:r>
          <w:rPr>
            <w:rFonts w:ascii="arial" w:eastAsia="arial" w:hAnsi="arial" w:cs="arial"/>
            <w:i/>
            <w:color w:val="0077CC"/>
            <w:sz w:val="20"/>
            <w:u w:val="single"/>
            <w:shd w:val="clear" w:color="auto" w:fill="FFFFFF"/>
            <w:lang w:val="en-US" w:eastAsia="en-US" w:bidi="ar-SA"/>
          </w:rPr>
          <w:t>2006 BCSC 1399</w:t>
        </w:r>
      </w:hyperlink>
      <w:r>
        <w:rPr>
          <w:rFonts w:ascii="arial" w:eastAsia="arial" w:hAnsi="arial" w:cs="arial"/>
          <w:color w:val="000000"/>
          <w:sz w:val="20"/>
          <w:lang w:val="en-US" w:eastAsia="en-US" w:bidi="ar-SA"/>
        </w:rPr>
        <w:t xml:space="preserve"> at para. 61, quoting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 xml:space="preserve"> at para. 40, the focus at this stage of the inquiry is on the question and not its answer and the "possibility that the question will be answered differently for some members of the class does not diminish the commonality of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The underlying focus is whether certification of the common issues will avoid duplication of fact-finding or legal analysis. It has also been stated that the Court must consider whether there are common issues that can be resolved in a fair, efficient and manageable way that will advance the proceeding: </w:t>
      </w:r>
      <w:r>
        <w:rPr>
          <w:rFonts w:ascii="arial" w:eastAsia="arial" w:hAnsi="arial" w:cs="arial"/>
          <w:i/>
          <w:color w:val="000000"/>
          <w:sz w:val="20"/>
          <w:lang w:val="en-US" w:eastAsia="en-US" w:bidi="ar-SA"/>
        </w:rPr>
        <w:t>Riazi</w:t>
      </w:r>
      <w:r>
        <w:rPr>
          <w:rFonts w:ascii="arial" w:eastAsia="arial" w:hAnsi="arial" w:cs="arial"/>
          <w:color w:val="000000"/>
          <w:sz w:val="20"/>
          <w:lang w:val="en-US" w:eastAsia="en-US" w:bidi="ar-SA"/>
        </w:rPr>
        <w:t xml:space="preserve"> at para.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The issue will be "common" in the sense that the issue is a "substantial ingredient" of each of the class members' claims: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18. Of particular importance in the context of this requirement of a "substantial ingredient" are the comments from para. 53 in </w:t>
      </w:r>
      <w:r>
        <w:rPr>
          <w:rFonts w:ascii="arial" w:eastAsia="arial" w:hAnsi="arial" w:cs="arial"/>
          <w:i/>
          <w:color w:val="000000"/>
          <w:sz w:val="20"/>
          <w:lang w:val="en-US" w:eastAsia="en-US" w:bidi="ar-SA"/>
        </w:rPr>
        <w:t>Cloud v. Canada (Attorney General)</w:t>
      </w:r>
      <w:r>
        <w:rPr>
          <w:rFonts w:ascii="arial" w:eastAsia="arial" w:hAnsi="arial" w:cs="arial"/>
          <w:color w:val="000000"/>
          <w:sz w:val="20"/>
          <w:lang w:val="en-US" w:eastAsia="en-US" w:bidi="ar-SA"/>
        </w:rPr>
        <w:t xml:space="preserve"> </w:t>
      </w:r>
      <w:hyperlink r:id="rId321" w:history="1">
        <w:r>
          <w:rPr>
            <w:rFonts w:ascii="arial" w:eastAsia="arial" w:hAnsi="arial" w:cs="arial"/>
            <w:i/>
            <w:color w:val="0077CC"/>
            <w:sz w:val="20"/>
            <w:u w:val="single"/>
            <w:shd w:val="clear" w:color="auto" w:fill="FFFFFF"/>
            <w:lang w:val="en-US" w:eastAsia="en-US" w:bidi="ar-SA"/>
          </w:rPr>
          <w:t>(2004), 247 D.L.R. (4th) 667</w:t>
        </w:r>
      </w:hyperlink>
      <w:r>
        <w:rPr>
          <w:rFonts w:ascii="arial" w:eastAsia="arial" w:hAnsi="arial" w:cs="arial"/>
          <w:color w:val="000000"/>
          <w:sz w:val="20"/>
          <w:lang w:val="en-US" w:eastAsia="en-US" w:bidi="ar-SA"/>
        </w:rPr>
        <w:t xml:space="preserve"> (Ont. C.A.), leave to appeal to S.C.C. refused, </w:t>
      </w:r>
      <w:hyperlink r:id="rId322" w:history="1">
        <w:r>
          <w:rPr>
            <w:rFonts w:ascii="arial" w:eastAsia="arial" w:hAnsi="arial" w:cs="arial"/>
            <w:i/>
            <w:color w:val="0077CC"/>
            <w:sz w:val="20"/>
            <w:u w:val="single"/>
            <w:shd w:val="clear" w:color="auto" w:fill="FFFFFF"/>
            <w:lang w:val="en-US" w:eastAsia="en-US" w:bidi="ar-SA"/>
          </w:rPr>
          <w:t>[2005] S.C.C.A. No. 50</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In other words, an issue can constitute a substantial ingredient of the claims and satisfy s. 5(1)(c) even if it makes up a very limited aspect of the liability question and even though many individual issues remain to be decided after its resolution. In such a case the task posed by s. 5(1)(c) is to test whether there are aspects of the case that meet the commonality requirement rather than to elucidate the various individual issues which may remain after the common trial. This is consistent with the positive approach to the CPA urged by the Supreme Court as the way to best realize the benefits of that legislation as foreseen by its drafters.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approach adopted in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was recently cited with approval in </w:t>
      </w:r>
      <w:r>
        <w:rPr>
          <w:rFonts w:ascii="arial" w:eastAsia="arial" w:hAnsi="arial" w:cs="arial"/>
          <w:i/>
          <w:color w:val="000000"/>
          <w:sz w:val="20"/>
          <w:lang w:val="en-US" w:eastAsia="en-US" w:bidi="ar-SA"/>
        </w:rPr>
        <w:t>Halvorson v. British Columbia (Medical Services Commission)</w:t>
      </w:r>
      <w:r>
        <w:rPr>
          <w:rFonts w:ascii="arial" w:eastAsia="arial" w:hAnsi="arial" w:cs="arial"/>
          <w:color w:val="000000"/>
          <w:sz w:val="20"/>
          <w:lang w:val="en-US" w:eastAsia="en-US" w:bidi="ar-SA"/>
        </w:rPr>
        <w:t xml:space="preserve">, </w:t>
      </w:r>
      <w:hyperlink r:id="rId323" w:history="1">
        <w:r>
          <w:rPr>
            <w:rFonts w:ascii="arial" w:eastAsia="arial" w:hAnsi="arial" w:cs="arial"/>
            <w:i/>
            <w:color w:val="0077CC"/>
            <w:sz w:val="20"/>
            <w:u w:val="single"/>
            <w:shd w:val="clear" w:color="auto" w:fill="FFFFFF"/>
            <w:lang w:val="en-US" w:eastAsia="en-US" w:bidi="ar-SA"/>
          </w:rPr>
          <w:t>2010 BCCA 267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Finally, it must be kept in mind that the question of whether the individual issues predominate over the common issues is not a relevant consideration under s. 4(1)(c)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 xml:space="preserve"> at para. 35; </w:t>
      </w:r>
      <w:r>
        <w:rPr>
          <w:rFonts w:ascii="arial" w:eastAsia="arial" w:hAnsi="arial" w:cs="arial"/>
          <w:i/>
          <w:color w:val="000000"/>
          <w:sz w:val="20"/>
          <w:lang w:val="en-US" w:eastAsia="en-US" w:bidi="ar-SA"/>
        </w:rPr>
        <w:t>Vasquez</w:t>
      </w:r>
      <w:r>
        <w:rPr>
          <w:rFonts w:ascii="arial" w:eastAsia="arial" w:hAnsi="arial" w:cs="arial"/>
          <w:color w:val="000000"/>
          <w:sz w:val="20"/>
          <w:lang w:val="en-US" w:eastAsia="en-US" w:bidi="ar-SA"/>
        </w:rPr>
        <w:t xml:space="preserve"> at para. 62; </w:t>
      </w:r>
      <w:r>
        <w:rPr>
          <w:rFonts w:ascii="arial" w:eastAsia="arial" w:hAnsi="arial" w:cs="arial"/>
          <w:i/>
          <w:color w:val="000000"/>
          <w:sz w:val="20"/>
          <w:lang w:val="en-US" w:eastAsia="en-US" w:bidi="ar-SA"/>
        </w:rPr>
        <w:t>Riazi</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proposed common issues are extensive and include issues relating to agency, breach of contract (including breach of duty of good faith and fair dealing), breach of fiduciary duty and unjust enrichment. The proposed common issues also include those relating to appropriate remedies, if liability is found on the part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broad terms, the defendants say that there are no common issues in that firstly, the issues will require a consideration of the facts of each employee's particular situation and secondly, while the issues postulated may be common in the abstract, they do not advance the case sufficiently to justify certification in that they are preliminary only and do not lie at the heart of the claim. They point out that the Court must ensure that the issue is truly common, as opposed to being drafted in a way so as to appear to be common: </w:t>
      </w:r>
      <w:r>
        <w:rPr>
          <w:rFonts w:ascii="arial" w:eastAsia="arial" w:hAnsi="arial" w:cs="arial"/>
          <w:i/>
          <w:color w:val="000000"/>
          <w:sz w:val="20"/>
          <w:lang w:val="en-US" w:eastAsia="en-US" w:bidi="ar-SA"/>
        </w:rPr>
        <w:t>Mackinnon v. National Money Mart Company</w:t>
      </w:r>
      <w:r>
        <w:rPr>
          <w:rFonts w:ascii="arial" w:eastAsia="arial" w:hAnsi="arial" w:cs="arial"/>
          <w:color w:val="000000"/>
          <w:sz w:val="20"/>
          <w:lang w:val="en-US" w:eastAsia="en-US" w:bidi="ar-SA"/>
        </w:rPr>
        <w:t xml:space="preserve">, </w:t>
      </w:r>
      <w:hyperlink r:id="rId324" w:history="1">
        <w:r>
          <w:rPr>
            <w:rFonts w:ascii="arial" w:eastAsia="arial" w:hAnsi="arial" w:cs="arial"/>
            <w:i/>
            <w:color w:val="0077CC"/>
            <w:sz w:val="20"/>
            <w:u w:val="single"/>
            <w:shd w:val="clear" w:color="auto" w:fill="FFFFFF"/>
            <w:lang w:val="en-US" w:eastAsia="en-US" w:bidi="ar-SA"/>
          </w:rPr>
          <w:t>2005 BCSC 271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For ease of convenience, the proposed common issues are reproduced in Schedule "A" to these reasons. I will deal with each of them separately below.</w:t>
      </w:r>
      <w:r>
        <w:rPr>
          <w:rFonts w:ascii="arial" w:eastAsia="arial" w:hAnsi="arial" w:cs="arial"/>
          <w:sz w:val="20"/>
          <w:lang w:val="en-US" w:eastAsia="en-US" w:bidi="ar-SA"/>
        </w:rPr>
        <w:cr/>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Dominguez alleges that ICEA and Luzern were agents of the defendants, having the express, implied or apparent authority to arrange or facilitate her employment with and on behalf of the defendants. She further says that as such, the defendants are liable for the actions of their agents in charging and receiving employment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Evidence has been presented which supports the contention that ICEA and Luzern were in fact acting on behalf of the defendants in recruiting the temporary foreign workers from the Philippines. This would include approximately 70 people from the putative class. This evidence includes Mr. and Ms. Dominguez's affidavits, the affidavits of other employees presented on this application and documentation from the Employment Standards Division offices.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 a letter dated July 11, 1996, Mr. Naicker on behalf of the defendants wrote to ICEA stating that ICEA and its employees were authorized to work on behalf of the defendants "in all aspects as it pertains to obtaining approval for foreign workers to obtain work visa to allow them to be employed within our company". Documents also confirm that ICEA was authorized by the defendants to obtain the LMOs through HRSDC.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Ms. Dominguez primarily argues that express authority can be found in the documentation and dealings between ICEA and Luzern and the defendants: F.M.B. Reynolds, </w:t>
      </w:r>
      <w:r>
        <w:rPr>
          <w:rFonts w:ascii="arial" w:eastAsia="arial" w:hAnsi="arial" w:cs="arial"/>
          <w:i/>
          <w:color w:val="000000"/>
          <w:sz w:val="20"/>
          <w:lang w:val="en-US" w:eastAsia="en-US" w:bidi="ar-SA"/>
        </w:rPr>
        <w:t>Bowstead and Reynolds on Agency</w:t>
      </w:r>
      <w:r>
        <w:rPr>
          <w:rFonts w:ascii="arial" w:eastAsia="arial" w:hAnsi="arial" w:cs="arial"/>
          <w:color w:val="000000"/>
          <w:sz w:val="20"/>
          <w:lang w:val="en-US" w:eastAsia="en-US" w:bidi="ar-SA"/>
        </w:rPr>
        <w:t>, 18th ed. (London, UK: Sweet and Maxwell Ltd., 2006) at 105-106. According to this authority, agency, based on express authority, may exist whether or not a person dealing with the agent has knowledge of that agency.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defendants suggest, although they have not yet filed any statement of defence, that ICEA and Luzern were not authorized to charge fees in contravention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They further say that four conditions must be satisfied before any such contract may be enforced where there is no actual authority and that in particular, most relevant to this claim, Ms. Dominguez must prove that she was induced by a representation to enter into the contract: </w:t>
      </w:r>
      <w:r>
        <w:rPr>
          <w:rFonts w:ascii="arial" w:eastAsia="arial" w:hAnsi="arial" w:cs="arial"/>
          <w:i/>
          <w:color w:val="000000"/>
          <w:sz w:val="20"/>
          <w:lang w:val="en-US" w:eastAsia="en-US" w:bidi="ar-SA"/>
        </w:rPr>
        <w:t>Freeman &amp; Lockyear v. Buckhurst Park Properties (Mangal) Ltd.</w:t>
      </w:r>
      <w:r>
        <w:rPr>
          <w:rFonts w:ascii="arial" w:eastAsia="arial" w:hAnsi="arial" w:cs="arial"/>
          <w:color w:val="000000"/>
          <w:sz w:val="20"/>
          <w:lang w:val="en-US" w:eastAsia="en-US" w:bidi="ar-SA"/>
        </w:rPr>
        <w:t>, [1964] 1 All E.R. 630 at 646 (C.A.). As such, they say that any claim of agency will require an individual assessment of each class member's experience in dealing with ICEA and Luzern.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The application of the concept of ostensible or apparent authority can result in a principal being bound by any unauthorized acts of its agent. With respect to ostensible or apparent authority, Ms. Dominguez relies on the principles in </w:t>
      </w:r>
      <w:r>
        <w:rPr>
          <w:rFonts w:ascii="arial" w:eastAsia="arial" w:hAnsi="arial" w:cs="arial"/>
          <w:i/>
          <w:color w:val="000000"/>
          <w:sz w:val="20"/>
          <w:lang w:val="en-US" w:eastAsia="en-US" w:bidi="ar-SA"/>
        </w:rPr>
        <w:t>Thiessen v. Clarica Life Insurance Co.</w:t>
      </w:r>
      <w:r>
        <w:rPr>
          <w:rFonts w:ascii="arial" w:eastAsia="arial" w:hAnsi="arial" w:cs="arial"/>
          <w:color w:val="000000"/>
          <w:sz w:val="20"/>
          <w:lang w:val="en-US" w:eastAsia="en-US" w:bidi="ar-SA"/>
        </w:rPr>
        <w:t xml:space="preserve">, </w:t>
      </w:r>
      <w:hyperlink r:id="rId325" w:history="1">
        <w:r>
          <w:rPr>
            <w:rFonts w:ascii="arial" w:eastAsia="arial" w:hAnsi="arial" w:cs="arial"/>
            <w:i/>
            <w:color w:val="0077CC"/>
            <w:sz w:val="20"/>
            <w:u w:val="single"/>
            <w:shd w:val="clear" w:color="auto" w:fill="FFFFFF"/>
            <w:lang w:val="en-US" w:eastAsia="en-US" w:bidi="ar-SA"/>
          </w:rPr>
          <w:t>2002 BCCA 501</w:t>
        </w:r>
      </w:hyperlink>
      <w:r>
        <w:rPr>
          <w:rFonts w:ascii="arial" w:eastAsia="arial" w:hAnsi="arial" w:cs="arial"/>
          <w:color w:val="000000"/>
          <w:sz w:val="20"/>
          <w:lang w:val="en-US" w:eastAsia="en-US" w:bidi="ar-SA"/>
        </w:rPr>
        <w:t xml:space="preserve"> at paras. 31-33, leave to appeal to S.C.C. refused, </w:t>
      </w:r>
      <w:hyperlink r:id="rId326" w:history="1">
        <w:r>
          <w:rPr>
            <w:rFonts w:ascii="arial" w:eastAsia="arial" w:hAnsi="arial" w:cs="arial"/>
            <w:i/>
            <w:color w:val="0077CC"/>
            <w:sz w:val="20"/>
            <w:u w:val="single"/>
            <w:shd w:val="clear" w:color="auto" w:fill="FFFFFF"/>
            <w:lang w:val="en-US" w:eastAsia="en-US" w:bidi="ar-SA"/>
          </w:rPr>
          <w:t>[2002] S.C.C.A. No. 454</w:t>
        </w:r>
      </w:hyperlink>
      <w:r>
        <w:rPr>
          <w:rFonts w:ascii="arial" w:eastAsia="arial" w:hAnsi="arial" w:cs="arial"/>
          <w:color w:val="000000"/>
          <w:sz w:val="20"/>
          <w:lang w:val="en-US" w:eastAsia="en-US" w:bidi="ar-SA"/>
        </w:rPr>
        <w:t>, which sets out an objective test. While the Court would not necessarily ignore the perspective of the employee in determining that issue, that analysis can consider the perspective of the "customer" in a general sense and does not require a detailed examination of each employee's dealings with ICEA and Luzern.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Carom v. Bre-X Minerals Ltd.</w:t>
      </w:r>
      <w:r>
        <w:rPr>
          <w:rFonts w:ascii="arial" w:eastAsia="arial" w:hAnsi="arial" w:cs="arial"/>
          <w:color w:val="000000"/>
          <w:sz w:val="20"/>
          <w:lang w:val="en-US" w:eastAsia="en-US" w:bidi="ar-SA"/>
        </w:rPr>
        <w:t xml:space="preserve"> </w:t>
      </w:r>
      <w:hyperlink r:id="rId327" w:history="1">
        <w:r>
          <w:rPr>
            <w:rFonts w:ascii="arial" w:eastAsia="arial" w:hAnsi="arial" w:cs="arial"/>
            <w:i/>
            <w:color w:val="0077CC"/>
            <w:sz w:val="20"/>
            <w:u w:val="single"/>
            <w:shd w:val="clear" w:color="auto" w:fill="FFFFFF"/>
            <w:lang w:val="en-US" w:eastAsia="en-US" w:bidi="ar-SA"/>
          </w:rPr>
          <w:t>(2000), 196 D.L.R. (4th) 344</w:t>
        </w:r>
      </w:hyperlink>
      <w:r>
        <w:rPr>
          <w:rFonts w:ascii="arial" w:eastAsia="arial" w:hAnsi="arial" w:cs="arial"/>
          <w:color w:val="000000"/>
          <w:sz w:val="20"/>
          <w:lang w:val="en-US" w:eastAsia="en-US" w:bidi="ar-SA"/>
        </w:rPr>
        <w:t xml:space="preserve"> (Ont. C.A.), the Court found that a claim for negligent misrepresentation involving agents was properly certified where the common issues related to the defendant's knowledge and conduct, which represented two of the five components of that tort. Similarly in this case, the focus would be on the dealings between the defendants and ICEA and Luzern.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 defendants rely on </w:t>
      </w:r>
      <w:r>
        <w:rPr>
          <w:rFonts w:ascii="arial" w:eastAsia="arial" w:hAnsi="arial" w:cs="arial"/>
          <w:i/>
          <w:color w:val="000000"/>
          <w:sz w:val="20"/>
          <w:lang w:val="en-US" w:eastAsia="en-US" w:bidi="ar-SA"/>
        </w:rPr>
        <w:t>Gary Jackson Holdings Ltd. v. Eden</w:t>
      </w:r>
      <w:r>
        <w:rPr>
          <w:rFonts w:ascii="arial" w:eastAsia="arial" w:hAnsi="arial" w:cs="arial"/>
          <w:color w:val="000000"/>
          <w:sz w:val="20"/>
          <w:lang w:val="en-US" w:eastAsia="en-US" w:bidi="ar-SA"/>
        </w:rPr>
        <w:t xml:space="preserve">, </w:t>
      </w:r>
      <w:hyperlink r:id="rId328" w:history="1">
        <w:r>
          <w:rPr>
            <w:rFonts w:ascii="arial" w:eastAsia="arial" w:hAnsi="arial" w:cs="arial"/>
            <w:i/>
            <w:color w:val="0077CC"/>
            <w:sz w:val="20"/>
            <w:u w:val="single"/>
            <w:shd w:val="clear" w:color="auto" w:fill="FFFFFF"/>
            <w:lang w:val="en-US" w:eastAsia="en-US" w:bidi="ar-SA"/>
          </w:rPr>
          <w:t>2010 BCSC 273</w:t>
        </w:r>
      </w:hyperlink>
      <w:r>
        <w:rPr>
          <w:rFonts w:ascii="arial" w:eastAsia="arial" w:hAnsi="arial" w:cs="arial"/>
          <w:color w:val="000000"/>
          <w:sz w:val="20"/>
          <w:lang w:val="en-US" w:eastAsia="en-US" w:bidi="ar-SA"/>
        </w:rPr>
        <w:t xml:space="preserve"> at paras. 65, 67-68, where the defences raised issues concerning whether the plaintiffs gave actual or ostensible authority and as such, evidence of the individual plaintiffs would be required. I note, however, that the Court did consider that there were common issues, but ultimately decided that certification was not a preferable procedure in light of these defences.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my view, one of the key questions in this litigation is the status of ICEA and Luzern in relation to the defendants in terms of ICEA's dealings with the temporary foreign workers that they recruited for the defendants. That will be decided on the basis of either express or apparent authority. It will not require a detailed examination of each employee's circumstances or evidence in that the focus will be on the agreements and dealings between ICEA and Luzern and the defendants. To that extent, a determination as to whether they were acting as agents of the defendants and if so, are the defendants liable to repay the agency fees, will materially advance this litigation in relation to most of the putative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 similar result was reached in </w:t>
      </w:r>
      <w:r>
        <w:rPr>
          <w:rFonts w:ascii="arial" w:eastAsia="arial" w:hAnsi="arial" w:cs="arial"/>
          <w:i/>
          <w:color w:val="000000"/>
          <w:sz w:val="20"/>
          <w:lang w:val="en-US" w:eastAsia="en-US" w:bidi="ar-SA"/>
        </w:rPr>
        <w:t>Cooper v. Merrill Lynch Canada Inc.</w:t>
      </w:r>
      <w:r>
        <w:rPr>
          <w:rFonts w:ascii="arial" w:eastAsia="arial" w:hAnsi="arial" w:cs="arial"/>
          <w:color w:val="000000"/>
          <w:sz w:val="20"/>
          <w:lang w:val="en-US" w:eastAsia="en-US" w:bidi="ar-SA"/>
        </w:rPr>
        <w:t xml:space="preserve">, </w:t>
      </w:r>
      <w:hyperlink r:id="rId329" w:history="1">
        <w:r>
          <w:rPr>
            <w:rFonts w:ascii="arial" w:eastAsia="arial" w:hAnsi="arial" w:cs="arial"/>
            <w:i/>
            <w:color w:val="0077CC"/>
            <w:sz w:val="20"/>
            <w:u w:val="single"/>
            <w:shd w:val="clear" w:color="auto" w:fill="FFFFFF"/>
            <w:lang w:val="en-US" w:eastAsia="en-US" w:bidi="ar-SA"/>
          </w:rPr>
          <w:t>2006 BCSC 1905</w:t>
        </w:r>
      </w:hyperlink>
      <w:r>
        <w:rPr>
          <w:rFonts w:ascii="arial" w:eastAsia="arial" w:hAnsi="arial" w:cs="arial"/>
          <w:color w:val="000000"/>
          <w:sz w:val="20"/>
          <w:lang w:val="en-US" w:eastAsia="en-US" w:bidi="ar-SA"/>
        </w:rPr>
        <w:t xml:space="preserve"> at paras. 54-56, where the Court considered that the nature of the relationship between the defendant and the class members, including issues of agency and consideration of written agreements, were proper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 consider that in all the circumstances, the agency issues are common issues. It will be an irrelevant consideration to those in the class who did not deal with ICEA and/or Luzern in that the answer to the question of liability based on agency from their perspective will inevitably be "no".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 Breach of Contract, including Duty of Good Faith and Fair Dealing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The principal allegation in this action is that the defendants are in breach of the employment contracts with the putative class members. There is no doubt that there are separate contracts with each class member, although s. 7(b)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states that a Court must not refuse to certify a proceeding as a class proceeding merely because "the relief claimed relates to separate contracts involving different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Ms. Dominguez's contract is directly modeled after the HRSDC sample employment contract. In that contract, the four terms that are the subject of this litigation are set out in paragraph 19 of these reasons, as they relate to hours of work to be performed, payment of overtime, the nonpayment of recruiting fees and the reimbursement of return airfare.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formulation of the class, to the extent that all class members must have obtained a positive LMO, necessarily means that there will be a written contract in existence for each of the putative class members since such a contract was a requirement before any LMO could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There was considerable evidence about the different contracts and the different terms that are found in those agreements. Ms. Dominguez contends that at all material times, the defendants used a standard form contract, using the HRSDC sample contract, and that all these employment contracts have identical or virtually identical terms. The defendants disagree, asserting that there are 12 different forms of the 75 written employment agreements, all with different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Nevertheless, the following is apparent:</w:t>
      </w:r>
      <w:r>
        <w:rPr>
          <w:rFonts w:ascii="arial" w:eastAsia="arial" w:hAnsi="arial" w:cs="arial"/>
          <w:sz w:val="20"/>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63 of these contracts contain all four terms identical to the HRSDC contract and of course, Ms. Dominguez's contract. They only differ in respect of term (1 or 2 years) and number of hours (40 or 37.5 per week);</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4 of these contracts pre-date the HRSDC standard form contract but include a provision relating to payment of overtime. These are the same form of contract as the initial contract of Ms. Reyes although in her case, it was later renewed using the HRSDC standard form contract. People who held these contracts still work for the defendants and presumably have renewal contracts in place;</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1 of these contracts includes the same provisions regarding working 40 hours per week and that return airfare is to be paid by the defendants;</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 of these contracts related to employment in Alberta and as such, are irrelevant to this action; and</w:t>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5 of these contracts are renewal contracts entered into after service of the Notice of Civil Claim on the defendants. These contracts in some instances now say that the hours of work are "up to" 40 hours and that return airfare compensation is included. In three cases, airfare is expressly excluded. All of these contracts do, however, provide that the defendants shall not recoup any recruitment costs, but presumably that is of little concern given that these employees are already in Canada and still employed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Ms. Dominguez relies on a number of certification cases involving allegations of breach of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Scott v. TD Waterhouse Investor Services (Canada) Inc.</w:t>
      </w:r>
      <w:r>
        <w:rPr>
          <w:rFonts w:ascii="arial" w:eastAsia="arial" w:hAnsi="arial" w:cs="arial"/>
          <w:color w:val="000000"/>
          <w:sz w:val="20"/>
          <w:lang w:val="en-US" w:eastAsia="en-US" w:bidi="ar-SA"/>
        </w:rPr>
        <w:t xml:space="preserve">, </w:t>
      </w:r>
      <w:hyperlink r:id="rId330" w:history="1">
        <w:r>
          <w:rPr>
            <w:rFonts w:ascii="arial" w:eastAsia="arial" w:hAnsi="arial" w:cs="arial"/>
            <w:i/>
            <w:color w:val="0077CC"/>
            <w:sz w:val="20"/>
            <w:u w:val="single"/>
            <w:shd w:val="clear" w:color="auto" w:fill="FFFFFF"/>
            <w:lang w:val="en-US" w:eastAsia="en-US" w:bidi="ar-SA"/>
          </w:rPr>
          <w:t>2001 BCSC 1299</w:t>
        </w:r>
      </w:hyperlink>
      <w:r>
        <w:rPr>
          <w:rFonts w:ascii="arial" w:eastAsia="arial" w:hAnsi="arial" w:cs="arial"/>
          <w:color w:val="000000"/>
          <w:sz w:val="20"/>
          <w:lang w:val="en-US" w:eastAsia="en-US" w:bidi="ar-SA"/>
        </w:rPr>
        <w:t>, the Court approved the certification of certain common issues related to the interpretation of a standard form contract relating to the setting of foreign exchange rates. The common issue certified was the nature of the relationship between the parties and a determination of the express or implied terms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 the Court rejected the defendants' argument that the contractual obligations could only be considered by looking at the documentation and considering the dealings, including oral dealings, between the firm and the clients on a case-by-case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The defendants do not dispute the fact that they acted as broker for each class member to process the class member's securities transactions for a fee. They do not deny that there was a basic agreement as described above in the "Identifiable Class" analysis. What the defendants do say is that the contractual obligations of their many thousands of clients are not common, but rather must be determined on a client-by-client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[96] Even if that is so, the first step in determining their contractual obligations to each class member is to determine what rights and obligations flow from the basic agreement. Only then will it be necessary to determine whether those rights and obligations are modified in some way in individual instances.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Issues concerning the interpretation of a standard form contract and whether it was breached were held to be common issues in </w:t>
      </w:r>
      <w:r>
        <w:rPr>
          <w:rFonts w:ascii="arial" w:eastAsia="arial" w:hAnsi="arial" w:cs="arial"/>
          <w:i/>
          <w:color w:val="000000"/>
          <w:sz w:val="20"/>
          <w:lang w:val="en-US" w:eastAsia="en-US" w:bidi="ar-SA"/>
        </w:rPr>
        <w:t>Glover v. Toronto (City)</w:t>
      </w:r>
      <w:r>
        <w:rPr>
          <w:rFonts w:ascii="arial" w:eastAsia="arial" w:hAnsi="arial" w:cs="arial"/>
          <w:color w:val="000000"/>
          <w:sz w:val="20"/>
          <w:lang w:val="en-US" w:eastAsia="en-US" w:bidi="ar-SA"/>
        </w:rPr>
        <w:t xml:space="preserve"> </w:t>
      </w:r>
      <w:hyperlink r:id="rId331" w:history="1">
        <w:r>
          <w:rPr>
            <w:rFonts w:ascii="arial" w:eastAsia="arial" w:hAnsi="arial" w:cs="arial"/>
            <w:i/>
            <w:color w:val="0077CC"/>
            <w:sz w:val="20"/>
            <w:u w:val="single"/>
            <w:shd w:val="clear" w:color="auto" w:fill="FFFFFF"/>
            <w:lang w:val="en-US" w:eastAsia="en-US" w:bidi="ar-SA"/>
          </w:rPr>
          <w:t>(2009), 70 C.P.C. (6th) 303</w:t>
        </w:r>
      </w:hyperlink>
      <w:r>
        <w:rPr>
          <w:rFonts w:ascii="arial" w:eastAsia="arial" w:hAnsi="arial" w:cs="arial"/>
          <w:color w:val="000000"/>
          <w:sz w:val="20"/>
          <w:lang w:val="en-US" w:eastAsia="en-US" w:bidi="ar-SA"/>
        </w:rPr>
        <w:t xml:space="preserve"> at paras. 51-52, 61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Recently, Chief Justice Finch in </w:t>
      </w:r>
      <w:r>
        <w:rPr>
          <w:rFonts w:ascii="arial" w:eastAsia="arial" w:hAnsi="arial" w:cs="arial"/>
          <w:i/>
          <w:color w:val="000000"/>
          <w:sz w:val="20"/>
          <w:lang w:val="en-US" w:eastAsia="en-US" w:bidi="ar-SA"/>
        </w:rPr>
        <w:t>Lam v. University of British Columbia</w:t>
      </w:r>
      <w:r>
        <w:rPr>
          <w:rFonts w:ascii="arial" w:eastAsia="arial" w:hAnsi="arial" w:cs="arial"/>
          <w:color w:val="000000"/>
          <w:sz w:val="20"/>
          <w:lang w:val="en-US" w:eastAsia="en-US" w:bidi="ar-SA"/>
        </w:rPr>
        <w:t xml:space="preserve">, </w:t>
      </w:r>
      <w:hyperlink r:id="rId332" w:history="1">
        <w:r>
          <w:rPr>
            <w:rFonts w:ascii="arial" w:eastAsia="arial" w:hAnsi="arial" w:cs="arial"/>
            <w:i/>
            <w:color w:val="0077CC"/>
            <w:sz w:val="20"/>
            <w:u w:val="single"/>
            <w:shd w:val="clear" w:color="auto" w:fill="FFFFFF"/>
            <w:lang w:val="en-US" w:eastAsia="en-US" w:bidi="ar-SA"/>
          </w:rPr>
          <w:t>2010 BCCA 325</w:t>
        </w:r>
      </w:hyperlink>
      <w:r>
        <w:rPr>
          <w:rFonts w:ascii="arial" w:eastAsia="arial" w:hAnsi="arial" w:cs="arial"/>
          <w:color w:val="000000"/>
          <w:sz w:val="20"/>
          <w:lang w:val="en-US" w:eastAsia="en-US" w:bidi="ar-SA"/>
        </w:rPr>
        <w:t>, considered that the resolution of the interpretation of a standard form contract did not require consideration of individual circumstances and would materially advance the litigation: paras. 55-60.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In the franchise context, the courts have also found common issues relating to the conduct of franchisors where there are standard franchise agreements. In </w:t>
      </w:r>
      <w:r>
        <w:rPr>
          <w:rFonts w:ascii="arial" w:eastAsia="arial" w:hAnsi="arial" w:cs="arial"/>
          <w:i/>
          <w:color w:val="000000"/>
          <w:sz w:val="20"/>
          <w:lang w:val="en-US" w:eastAsia="en-US" w:bidi="ar-SA"/>
        </w:rPr>
        <w:t>Rosedale Motors Inc. v. Petro-Canada Inc.</w:t>
      </w:r>
      <w:r>
        <w:rPr>
          <w:rFonts w:ascii="arial" w:eastAsia="arial" w:hAnsi="arial" w:cs="arial"/>
          <w:color w:val="000000"/>
          <w:sz w:val="20"/>
          <w:lang w:val="en-US" w:eastAsia="en-US" w:bidi="ar-SA"/>
        </w:rPr>
        <w:t xml:space="preserve">, </w:t>
      </w:r>
      <w:hyperlink r:id="rId333" w:history="1">
        <w:r>
          <w:rPr>
            <w:rFonts w:ascii="arial" w:eastAsia="arial" w:hAnsi="arial" w:cs="arial"/>
            <w:i/>
            <w:color w:val="0077CC"/>
            <w:sz w:val="20"/>
            <w:u w:val="single"/>
            <w:shd w:val="clear" w:color="auto" w:fill="FFFFFF"/>
            <w:lang w:val="en-US" w:eastAsia="en-US" w:bidi="ar-SA"/>
          </w:rPr>
          <w:t>[2001] O.J. No. 5368</w:t>
        </w:r>
      </w:hyperlink>
      <w:r>
        <w:rPr>
          <w:rFonts w:ascii="arial" w:eastAsia="arial" w:hAnsi="arial" w:cs="arial"/>
          <w:color w:val="000000"/>
          <w:sz w:val="20"/>
          <w:lang w:val="en-US" w:eastAsia="en-US" w:bidi="ar-SA"/>
        </w:rPr>
        <w:t xml:space="preserve"> (Sup. Ct. J. Div. Ct.), the Court found at para. 6 that there was a "common issue, not dependent on the conduct of the individual franchisees, as to whether Petro-Canada breached its contractual obligations under the standard franchise agreements with class members to provide infrastructure and support for the System." In the Ontario Divisional Court decision of </w:t>
      </w:r>
      <w:r>
        <w:rPr>
          <w:rFonts w:ascii="arial" w:eastAsia="arial" w:hAnsi="arial" w:cs="arial"/>
          <w:i/>
          <w:color w:val="000000"/>
          <w:sz w:val="20"/>
          <w:lang w:val="en-US" w:eastAsia="en-US" w:bidi="ar-SA"/>
        </w:rPr>
        <w:t>2038724 Ontario Ltd. v. Quizno's - Canada Restaurant Corp.</w:t>
      </w:r>
      <w:r>
        <w:rPr>
          <w:rFonts w:ascii="arial" w:eastAsia="arial" w:hAnsi="arial" w:cs="arial"/>
          <w:color w:val="000000"/>
          <w:sz w:val="20"/>
          <w:lang w:val="en-US" w:eastAsia="en-US" w:bidi="ar-SA"/>
        </w:rPr>
        <w:t xml:space="preserve"> </w:t>
      </w:r>
      <w:hyperlink r:id="rId334" w:history="1">
        <w:r>
          <w:rPr>
            <w:rFonts w:ascii="arial" w:eastAsia="arial" w:hAnsi="arial" w:cs="arial"/>
            <w:i/>
            <w:color w:val="0077CC"/>
            <w:sz w:val="20"/>
            <w:u w:val="single"/>
            <w:shd w:val="clear" w:color="auto" w:fill="FFFFFF"/>
            <w:lang w:val="en-US" w:eastAsia="en-US" w:bidi="ar-SA"/>
          </w:rPr>
          <w:t>(2009), 96 O.R. (3d) 252</w:t>
        </w:r>
      </w:hyperlink>
      <w:r>
        <w:rPr>
          <w:rFonts w:ascii="arial" w:eastAsia="arial" w:hAnsi="arial" w:cs="arial"/>
          <w:color w:val="000000"/>
          <w:sz w:val="20"/>
          <w:lang w:val="en-US" w:eastAsia="en-US" w:bidi="ar-SA"/>
        </w:rPr>
        <w:t xml:space="preserve"> at paras. 90-93 (Sup. Ct. J. Div. Ct.), aff'd </w:t>
      </w:r>
      <w:hyperlink r:id="rId335" w:history="1">
        <w:r>
          <w:rPr>
            <w:rFonts w:ascii="arial" w:eastAsia="arial" w:hAnsi="arial" w:cs="arial"/>
            <w:i/>
            <w:color w:val="0077CC"/>
            <w:sz w:val="20"/>
            <w:u w:val="single"/>
            <w:shd w:val="clear" w:color="auto" w:fill="FFFFFF"/>
            <w:lang w:val="en-US" w:eastAsia="en-US" w:bidi="ar-SA"/>
          </w:rPr>
          <w:t>2010 ONCA 466</w:t>
        </w:r>
      </w:hyperlink>
      <w:r>
        <w:rPr>
          <w:rFonts w:ascii="arial" w:eastAsia="arial" w:hAnsi="arial" w:cs="arial"/>
          <w:color w:val="000000"/>
          <w:sz w:val="20"/>
          <w:lang w:val="en-US" w:eastAsia="en-US" w:bidi="ar-SA"/>
        </w:rPr>
        <w:t>, the Court found that significant issues that could advance the litigation included the meaning of provisions of the franchise agreement, the existence and nature of common law duties of fairness and whether the franchise agreements were breached.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Kumar v. Sharp Business Forms Inc.</w:t>
      </w:r>
      <w:r>
        <w:rPr>
          <w:rFonts w:ascii="arial" w:eastAsia="arial" w:hAnsi="arial" w:cs="arial"/>
          <w:color w:val="000000"/>
          <w:sz w:val="20"/>
          <w:lang w:val="en-US" w:eastAsia="en-US" w:bidi="ar-SA"/>
        </w:rPr>
        <w:t>, the Court certified a class action relating to the determination of overtime, holiday and vacation pay pursuant to the Ontario legislation under certain employment contracts. The Court commented: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[35] The determination as to what the terms of a contract are is governed by an objective test. That is, what would the reasonable employee working for this employer have understood the terms of the contract to be in respect of overtime pay, statutory pay and vacation pay?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Finally, Ms. Dominguez relies on certain cases where the Court certified issues relating to a determination of both express and implied terms of a contract: see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which, following </w:t>
      </w:r>
      <w:r>
        <w:rPr>
          <w:rFonts w:ascii="arial" w:eastAsia="arial" w:hAnsi="arial" w:cs="arial"/>
          <w:i/>
          <w:color w:val="000000"/>
          <w:sz w:val="20"/>
          <w:lang w:val="en-US" w:eastAsia="en-US" w:bidi="ar-SA"/>
        </w:rPr>
        <w:t>Glover</w:t>
      </w:r>
      <w:r>
        <w:rPr>
          <w:rFonts w:ascii="arial" w:eastAsia="arial" w:hAnsi="arial" w:cs="arial"/>
          <w:color w:val="000000"/>
          <w:sz w:val="20"/>
          <w:lang w:val="en-US" w:eastAsia="en-US" w:bidi="ar-SA"/>
        </w:rPr>
        <w:t xml:space="preserve">, found that common issues relating to implied terms could be certified as they did not depend on the knowledge, understanding or circumstances of each class member; and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where implied terms in the context of an agency relationship were certified as common issues at paras. 57-60.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say that there are no common issues and that a determination of these contract issues requires an individual assessment on a case-by-case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Firstly, they say that every employee of the defendants was given a Handbook and that every employee signs the back of the Handbook as evidence of having received it. It is not clear from the evidence that this was intended to form the basis for the contractual relationship between the parties, although the signature page indicates that the employee "understands it is my responsibility to read and abide by its contents". In addition, this signing of the Handbook appears to have taken place after the employees arrived in Canada and commenced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note in any event that in relation to the issues arising from the HRSDC contract, the Handbook does not deal with agency fees or return airfare. The Handbook does not address overtime pay save for providing that any overtime must be approved by a manager. Finally, in relation to hours to be worked, the Handbook states that the work week runs from Thursday to Wednesday, but there is no provision that contradicts the provisions in the employment contracts that the employee shall work 40 or 37.5 hours per week. As such, on the face of it, the Handbook does not alter the four basic terms which are the subject of the lawsuit.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Dominguez points out that since the LMO was obtained on the basis of the contract signed by the parties and submitted to HRSDC, the defendants could not amend or alter that contract. This appears to be a very arguable point given the LMO procedures and the expressly stated intent of HRSDC in requiring the contracts be in place before any LMO is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In my view, since by the defendants' own evidence the Handbook was signed by each and every employee, the determination of the terms of employment between the defendants and the putative class members can also include a consideration of whether it was accepted by all employees as a term of the employment contract: </w:t>
      </w:r>
      <w:r>
        <w:rPr>
          <w:rFonts w:ascii="arial" w:eastAsia="arial" w:hAnsi="arial" w:cs="arial"/>
          <w:i/>
          <w:color w:val="000000"/>
          <w:sz w:val="20"/>
          <w:lang w:val="en-US" w:eastAsia="en-US" w:bidi="ar-SA"/>
        </w:rPr>
        <w:t>Ellison v. Burnaby Hospital Society</w:t>
      </w:r>
      <w:r>
        <w:rPr>
          <w:rFonts w:ascii="arial" w:eastAsia="arial" w:hAnsi="arial" w:cs="arial"/>
          <w:color w:val="000000"/>
          <w:sz w:val="20"/>
          <w:lang w:val="en-US" w:eastAsia="en-US" w:bidi="ar-SA"/>
        </w:rPr>
        <w:t xml:space="preserve"> </w:t>
      </w:r>
      <w:hyperlink r:id="rId336" w:history="1">
        <w:r>
          <w:rPr>
            <w:rFonts w:ascii="arial" w:eastAsia="arial" w:hAnsi="arial" w:cs="arial"/>
            <w:i/>
            <w:color w:val="0077CC"/>
            <w:sz w:val="20"/>
            <w:u w:val="single"/>
            <w:shd w:val="clear" w:color="auto" w:fill="FFFFFF"/>
            <w:lang w:val="en-US" w:eastAsia="en-US" w:bidi="ar-SA"/>
          </w:rPr>
          <w:t>(1992), 42 C.C.E.L. 239</w:t>
        </w:r>
      </w:hyperlink>
      <w:r>
        <w:rPr>
          <w:rFonts w:ascii="arial" w:eastAsia="arial" w:hAnsi="arial" w:cs="arial"/>
          <w:color w:val="000000"/>
          <w:sz w:val="20"/>
          <w:lang w:val="en-US" w:eastAsia="en-US" w:bidi="ar-SA"/>
        </w:rPr>
        <w:t xml:space="preserve"> at para. 11 (B.C.S.C.). The existence of the Handbook does not require individual evaluation as contended by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defendants also rely on </w:t>
      </w:r>
      <w:r>
        <w:rPr>
          <w:rFonts w:ascii="arial" w:eastAsia="arial" w:hAnsi="arial" w:cs="arial"/>
          <w:i/>
          <w:color w:val="000000"/>
          <w:sz w:val="20"/>
          <w:lang w:val="en-US" w:eastAsia="en-US" w:bidi="ar-SA"/>
        </w:rPr>
        <w:t>Kafka v. Allstate Insurance Co. of Canada</w:t>
      </w:r>
      <w:r>
        <w:rPr>
          <w:rFonts w:ascii="arial" w:eastAsia="arial" w:hAnsi="arial" w:cs="arial"/>
          <w:color w:val="000000"/>
          <w:sz w:val="20"/>
          <w:lang w:val="en-US" w:eastAsia="en-US" w:bidi="ar-SA"/>
        </w:rPr>
        <w:t xml:space="preserve">, </w:t>
      </w:r>
      <w:hyperlink r:id="rId337" w:history="1">
        <w:r>
          <w:rPr>
            <w:rFonts w:ascii="arial" w:eastAsia="arial" w:hAnsi="arial" w:cs="arial"/>
            <w:i/>
            <w:color w:val="0077CC"/>
            <w:sz w:val="20"/>
            <w:u w:val="single"/>
            <w:shd w:val="clear" w:color="auto" w:fill="FFFFFF"/>
            <w:lang w:val="en-US" w:eastAsia="en-US" w:bidi="ar-SA"/>
          </w:rPr>
          <w:t>2011 ONSC 2305</w:t>
        </w:r>
      </w:hyperlink>
      <w:r>
        <w:rPr>
          <w:rFonts w:ascii="arial" w:eastAsia="arial" w:hAnsi="arial" w:cs="arial"/>
          <w:color w:val="000000"/>
          <w:sz w:val="20"/>
          <w:lang w:val="en-US" w:eastAsia="en-US" w:bidi="ar-SA"/>
        </w:rPr>
        <w:t>, where the Court refused to certify a wrongful dismissal case. In that case, however, the Court, at paras. 153 and 158 drew a distinction between focussing on the terms of employment versus focussing on whether any changes were fundamental, the latter issue having been found to lack commonality. I do not see this case as helpful to the argument of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Secondly, the defendants take the position that there were oral variations of the contracts. They say that in some instances, when their business had slowed down, they renegotiated many contracts to allow for fewer hours rather than terminate the contracts of the employees. As such, there was adequate consideration in the form of forbearance from termination: </w:t>
      </w:r>
      <w:r>
        <w:rPr>
          <w:rFonts w:ascii="arial" w:eastAsia="arial" w:hAnsi="arial" w:cs="arial"/>
          <w:i/>
          <w:color w:val="000000"/>
          <w:sz w:val="20"/>
          <w:lang w:val="en-US" w:eastAsia="en-US" w:bidi="ar-SA"/>
        </w:rPr>
        <w:t>Watson v. Moore Corporation Ltd</w:t>
      </w:r>
      <w:r>
        <w:rPr>
          <w:rFonts w:ascii="arial" w:eastAsia="arial" w:hAnsi="arial" w:cs="arial"/>
          <w:color w:val="000000"/>
          <w:sz w:val="20"/>
          <w:lang w:val="en-US" w:eastAsia="en-US" w:bidi="ar-SA"/>
        </w:rPr>
        <w:t xml:space="preserve">. </w:t>
      </w:r>
      <w:hyperlink r:id="rId338" w:history="1">
        <w:r>
          <w:rPr>
            <w:rFonts w:ascii="arial" w:eastAsia="arial" w:hAnsi="arial" w:cs="arial"/>
            <w:i/>
            <w:color w:val="0077CC"/>
            <w:sz w:val="20"/>
            <w:u w:val="single"/>
            <w:shd w:val="clear" w:color="auto" w:fill="FFFFFF"/>
            <w:lang w:val="en-US" w:eastAsia="en-US" w:bidi="ar-SA"/>
          </w:rPr>
          <w:t>(1996), 134 D.L.R. (4th) 252</w:t>
        </w:r>
      </w:hyperlink>
      <w:r>
        <w:rPr>
          <w:rFonts w:ascii="arial" w:eastAsia="arial" w:hAnsi="arial" w:cs="arial"/>
          <w:color w:val="000000"/>
          <w:sz w:val="20"/>
          <w:lang w:val="en-US" w:eastAsia="en-US" w:bidi="ar-SA"/>
        </w:rPr>
        <w:t xml:space="preserve"> (B.C.C.A.). There is no detail regarding how many renegotiations took place in terms of determining how widespread this practice may have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In reply, Ms. Dominguez contends that modifying a contract based on a threat of termination is not permitted. In </w:t>
      </w:r>
      <w:r>
        <w:rPr>
          <w:rFonts w:ascii="arial" w:eastAsia="arial" w:hAnsi="arial" w:cs="arial"/>
          <w:i/>
          <w:color w:val="000000"/>
          <w:sz w:val="20"/>
          <w:lang w:val="en-US" w:eastAsia="en-US" w:bidi="ar-SA"/>
        </w:rPr>
        <w:t>Krieser v. Active Chemicals Ltd.</w:t>
      </w:r>
      <w:r>
        <w:rPr>
          <w:rFonts w:ascii="arial" w:eastAsia="arial" w:hAnsi="arial" w:cs="arial"/>
          <w:color w:val="000000"/>
          <w:sz w:val="20"/>
          <w:lang w:val="en-US" w:eastAsia="en-US" w:bidi="ar-SA"/>
        </w:rPr>
        <w:t xml:space="preserve">, </w:t>
      </w:r>
      <w:hyperlink r:id="rId339" w:history="1">
        <w:r>
          <w:rPr>
            <w:rFonts w:ascii="arial" w:eastAsia="arial" w:hAnsi="arial" w:cs="arial"/>
            <w:i/>
            <w:color w:val="0077CC"/>
            <w:sz w:val="20"/>
            <w:u w:val="single"/>
            <w:shd w:val="clear" w:color="auto" w:fill="FFFFFF"/>
            <w:lang w:val="en-US" w:eastAsia="en-US" w:bidi="ar-SA"/>
          </w:rPr>
          <w:t>2005 BCSC 1370</w:t>
        </w:r>
      </w:hyperlink>
      <w:r>
        <w:rPr>
          <w:rFonts w:ascii="arial" w:eastAsia="arial" w:hAnsi="arial" w:cs="arial"/>
          <w:color w:val="000000"/>
          <w:sz w:val="20"/>
          <w:lang w:val="en-US" w:eastAsia="en-US" w:bidi="ar-SA"/>
        </w:rPr>
        <w:t>, Neilson J. (as she then was)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w:t>
      </w:r>
      <w:r>
        <w:rPr>
          <w:rFonts w:ascii="arial" w:eastAsia="arial" w:hAnsi="arial" w:cs="arial"/>
          <w:i/>
          <w:color w:val="000000"/>
          <w:sz w:val="20"/>
          <w:lang w:val="en-US" w:eastAsia="en-US" w:bidi="ar-SA"/>
        </w:rPr>
        <w:t>Watson</w:t>
      </w:r>
      <w:r>
        <w:rPr>
          <w:rFonts w:ascii="arial" w:eastAsia="arial" w:hAnsi="arial" w:cs="arial"/>
          <w:color w:val="000000"/>
          <w:sz w:val="20"/>
          <w:lang w:val="en-US" w:eastAsia="en-US" w:bidi="ar-SA"/>
        </w:rPr>
        <w:t xml:space="preserve"> makes it clear that continuing employment alone is not enough. The Court found that there must be forbearance or some other incentive to constitute good consideration. In </w:t>
      </w:r>
      <w:r>
        <w:rPr>
          <w:rFonts w:ascii="arial" w:eastAsia="arial" w:hAnsi="arial" w:cs="arial"/>
          <w:i/>
          <w:color w:val="000000"/>
          <w:sz w:val="20"/>
          <w:lang w:val="en-US" w:eastAsia="en-US" w:bidi="ar-SA"/>
        </w:rPr>
        <w:t>Singh v. Empire Life Insurance Co.</w:t>
      </w:r>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(2002), 4 B.C.L.R. (4th) 38</w:t>
        </w:r>
      </w:hyperlink>
      <w:r>
        <w:rPr>
          <w:rFonts w:ascii="arial" w:eastAsia="arial" w:hAnsi="arial" w:cs="arial"/>
          <w:color w:val="000000"/>
          <w:sz w:val="20"/>
          <w:lang w:val="en-US" w:eastAsia="en-US" w:bidi="ar-SA"/>
        </w:rPr>
        <w:t xml:space="preserve">, </w:t>
      </w:r>
      <w:hyperlink r:id="rId340" w:history="1">
        <w:r>
          <w:rPr>
            <w:rFonts w:ascii="arial" w:eastAsia="arial" w:hAnsi="arial" w:cs="arial"/>
            <w:i/>
            <w:color w:val="0077CC"/>
            <w:sz w:val="20"/>
            <w:u w:val="single"/>
            <w:shd w:val="clear" w:color="auto" w:fill="FFFFFF"/>
            <w:lang w:val="en-US" w:eastAsia="en-US" w:bidi="ar-SA"/>
          </w:rPr>
          <w:t>2002 BCCA 452</w:t>
        </w:r>
      </w:hyperlink>
      <w:r>
        <w:rPr>
          <w:rFonts w:ascii="arial" w:eastAsia="arial" w:hAnsi="arial" w:cs="arial"/>
          <w:color w:val="000000"/>
          <w:sz w:val="20"/>
          <w:lang w:val="en-US" w:eastAsia="en-US" w:bidi="ar-SA"/>
        </w:rPr>
        <w:t xml:space="preserve">, the Court at para. 13 affirmed the views of the Ontario Court of Appeal in </w:t>
      </w:r>
      <w:r>
        <w:rPr>
          <w:rFonts w:ascii="arial" w:eastAsia="arial" w:hAnsi="arial" w:cs="arial"/>
          <w:i/>
          <w:color w:val="000000"/>
          <w:sz w:val="20"/>
          <w:lang w:val="en-US" w:eastAsia="en-US" w:bidi="ar-SA"/>
        </w:rPr>
        <w:t>Francis v. Canadian Imperial Bank of Commerce</w:t>
      </w:r>
      <w:r>
        <w:rPr>
          <w:rFonts w:ascii="arial" w:eastAsia="arial" w:hAnsi="arial" w:cs="arial"/>
          <w:color w:val="000000"/>
          <w:sz w:val="20"/>
          <w:lang w:val="en-US" w:eastAsia="en-US" w:bidi="ar-SA"/>
        </w:rPr>
        <w:t xml:space="preserve"> </w:t>
      </w:r>
      <w:hyperlink r:id="rId341" w:history="1">
        <w:r>
          <w:rPr>
            <w:rFonts w:ascii="arial" w:eastAsia="arial" w:hAnsi="arial" w:cs="arial"/>
            <w:i/>
            <w:color w:val="0077CC"/>
            <w:sz w:val="20"/>
            <w:u w:val="single"/>
            <w:shd w:val="clear" w:color="auto" w:fill="FFFFFF"/>
            <w:lang w:val="en-US" w:eastAsia="en-US" w:bidi="ar-SA"/>
          </w:rPr>
          <w:t>(1994), 21 O.R. (3d) 75</w:t>
        </w:r>
      </w:hyperlink>
      <w:r>
        <w:rPr>
          <w:rFonts w:ascii="arial" w:eastAsia="arial" w:hAnsi="arial" w:cs="arial"/>
          <w:color w:val="000000"/>
          <w:sz w:val="20"/>
          <w:lang w:val="en-US" w:eastAsia="en-US" w:bidi="ar-SA"/>
        </w:rPr>
        <w:t xml:space="preserve"> (C.A.), that a modification to a pre-existing employment contract will not be enforced unless there is a further benefit to both parties.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[30] The Ontario Court of Appeal expressed this even more strongly in </w:t>
      </w:r>
      <w:r>
        <w:rPr>
          <w:rFonts w:ascii="arial" w:eastAsia="arial" w:hAnsi="arial" w:cs="arial"/>
          <w:i/>
          <w:color w:val="000000"/>
          <w:sz w:val="20"/>
          <w:lang w:val="en-US" w:eastAsia="en-US" w:bidi="ar-SA"/>
        </w:rPr>
        <w:t>Hobbs v. TDI Canada Ltd.</w:t>
      </w:r>
      <w:r>
        <w:rPr>
          <w:rFonts w:ascii="arial" w:eastAsia="arial" w:hAnsi="arial" w:cs="arial"/>
          <w:color w:val="000000"/>
          <w:sz w:val="20"/>
          <w:lang w:val="en-US" w:eastAsia="en-US" w:bidi="ar-SA"/>
        </w:rPr>
        <w:t xml:space="preserve"> </w:t>
      </w:r>
      <w:hyperlink r:id="rId342" w:history="1">
        <w:r>
          <w:rPr>
            <w:rFonts w:ascii="arial" w:eastAsia="arial" w:hAnsi="arial" w:cs="arial"/>
            <w:i/>
            <w:color w:val="0077CC"/>
            <w:sz w:val="20"/>
            <w:u w:val="single"/>
            <w:shd w:val="clear" w:color="auto" w:fill="FFFFFF"/>
            <w:lang w:val="en-US" w:eastAsia="en-US" w:bidi="ar-SA"/>
          </w:rPr>
          <w:t>(2004), 246 D.L.R. (4th) 43</w:t>
        </w:r>
      </w:hyperlink>
      <w:r>
        <w:rPr>
          <w:rFonts w:ascii="arial" w:eastAsia="arial" w:hAnsi="arial" w:cs="arial"/>
          <w:color w:val="000000"/>
          <w:sz w:val="20"/>
          <w:lang w:val="en-US" w:eastAsia="en-US" w:bidi="ar-SA"/>
        </w:rPr>
        <w:t xml:space="preserve"> at para. 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Francis makes it clear the law does not permit employers to present employees with changed terms of employment, threaten to fire them if they do not agree to them, and then rely on the continued employment relationship as the consideration for the new terms.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In </w:t>
      </w:r>
      <w:r>
        <w:rPr>
          <w:rFonts w:ascii="arial" w:eastAsia="arial" w:hAnsi="arial" w:cs="arial"/>
          <w:i/>
          <w:color w:val="000000"/>
          <w:sz w:val="20"/>
          <w:lang w:val="en-US" w:eastAsia="en-US" w:bidi="ar-SA"/>
        </w:rPr>
        <w:t>Techform Products v. Wolda</w:t>
      </w:r>
      <w:r>
        <w:rPr>
          <w:rFonts w:ascii="arial" w:eastAsia="arial" w:hAnsi="arial" w:cs="arial"/>
          <w:color w:val="000000"/>
          <w:sz w:val="20"/>
          <w:lang w:val="en-US" w:eastAsia="en-US" w:bidi="ar-SA"/>
        </w:rPr>
        <w:t xml:space="preserve"> </w:t>
      </w:r>
      <w:hyperlink r:id="rId343" w:history="1">
        <w:r>
          <w:rPr>
            <w:rFonts w:ascii="arial" w:eastAsia="arial" w:hAnsi="arial" w:cs="arial"/>
            <w:i/>
            <w:color w:val="0077CC"/>
            <w:sz w:val="20"/>
            <w:u w:val="single"/>
            <w:shd w:val="clear" w:color="auto" w:fill="FFFFFF"/>
            <w:lang w:val="en-US" w:eastAsia="en-US" w:bidi="ar-SA"/>
          </w:rPr>
          <w:t>(2001), 56 O.R. (3d) 1</w:t>
        </w:r>
      </w:hyperlink>
      <w:r>
        <w:rPr>
          <w:rFonts w:ascii="arial" w:eastAsia="arial" w:hAnsi="arial" w:cs="arial"/>
          <w:color w:val="000000"/>
          <w:sz w:val="20"/>
          <w:lang w:val="en-US" w:eastAsia="en-US" w:bidi="ar-SA"/>
        </w:rPr>
        <w:t xml:space="preserve"> (Ont. C.A.), Rosenberg J.A. expressed a similar view at para. 26: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there is no clear prior intention to terminate that the employer sets aside, and no promise to refrain from discharging for any period after signing the amendment, it is very difficult to see anything of value flowing to the employee in return for his signature. The employer cannot, out of the blue, simply present the employee with an amendment to the employment contract say, "sign or you'll be fired" and expect a binding contractual amendment to result without at least an implicit promise of reasonable forbearance for some period of time thereafter.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These statements convince me that it is not enough for the defendant to simply establish that it intended to dismiss the plaintiff if he refused to sign the Contract. Some additional benefit must flow to the plaintiff from signing, beyond continued employment for an unknown period. That benefit might be greater security of employment through forbearance for a specified time, or it might be a new term beneficial to the employee in the revised agreement, but adequate consideration requires something more than the bald promise that "we won't fire you right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This contention has not been formalized in the pleadings, since the defendants have not filed any statement of defence, which appears to be the practice in this jurisdiction prior to certification. Nevertheless, it is not proper to speculate what any such plea might be. Given the state of the pleadings, I must deal with the claim as presented in terms of considering whether the evidence establishes that there are "common issues": </w:t>
      </w:r>
      <w:r>
        <w:rPr>
          <w:rFonts w:ascii="arial" w:eastAsia="arial" w:hAnsi="arial" w:cs="arial"/>
          <w:i/>
          <w:color w:val="000000"/>
          <w:sz w:val="20"/>
          <w:lang w:val="en-US" w:eastAsia="en-US" w:bidi="ar-SA"/>
        </w:rPr>
        <w:t>Mortson v. Ontario (Municipal Employees Retirement Board)</w:t>
      </w:r>
      <w:r>
        <w:rPr>
          <w:rFonts w:ascii="arial" w:eastAsia="arial" w:hAnsi="arial" w:cs="arial"/>
          <w:color w:val="000000"/>
          <w:sz w:val="20"/>
          <w:lang w:val="en-US" w:eastAsia="en-US" w:bidi="ar-SA"/>
        </w:rPr>
        <w:t xml:space="preserve"> </w:t>
      </w:r>
      <w:hyperlink r:id="rId344" w:history="1">
        <w:r>
          <w:rPr>
            <w:rFonts w:ascii="arial" w:eastAsia="arial" w:hAnsi="arial" w:cs="arial"/>
            <w:i/>
            <w:color w:val="0077CC"/>
            <w:sz w:val="20"/>
            <w:u w:val="single"/>
            <w:shd w:val="clear" w:color="auto" w:fill="FFFFFF"/>
            <w:lang w:val="en-US" w:eastAsia="en-US" w:bidi="ar-SA"/>
          </w:rPr>
          <w:t>(2004), 4 C.P.C. (6th) 115</w:t>
        </w:r>
      </w:hyperlink>
      <w:r>
        <w:rPr>
          <w:rFonts w:ascii="arial" w:eastAsia="arial" w:hAnsi="arial" w:cs="arial"/>
          <w:color w:val="000000"/>
          <w:sz w:val="20"/>
          <w:lang w:val="en-US" w:eastAsia="en-US" w:bidi="ar-SA"/>
        </w:rPr>
        <w:t xml:space="preserve"> at para. 65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any event, I accept the position of Ms. Dominguez that even if any renegotiations took place, the issues concerning the interpretation of the contracts remains. I do accept that any evidence of such renegotiations makes the task of the Court more difficult in terms of determining whether there was a breach of the contract. However, if any such evidence is presented, the Court may consider the evidence at that stage and decide how best to proceed. It may be that decertification in respect of those contracts may be appropriate at that time. The allegations of renegotiation relate only to the number of hours worked and do not appear to relate to overtime, payment of airfare or payment of agency fees such that this issue may relate to only one of the four major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Thirdly, the defendants say that a number of factors affected the time spent by employees at work: (a) the contracts provided for different terms as to the hours to be worked, (b) the employees imposed different restrictions on their availability to work after execution of the contracts and (c) the overtime issue depends on whether it was authorized by management (the defendants contend that such authorization was required), all of which point to individual assessments on the issues relating to hours worked and overtime.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It is apparent that the employment records of the defendants will be available to the Court for the purpose of calculating the numbers of hours spent or overtime hours spent. This can be easily compared to the terms of the contracts as to what hours, if any, were agreed to be worked. In addition, a calculation as to whether overtime was owed and if so, paid should readily be available from those records. It is also apparent from the defendants' own employment records that any reasons for an employee's absence from work (such as for sickness, family issues, medical appointments, moving dates and the like) are noted and will be available to the Court. Mr. Naicker points this out not so much from the contention that it detracts from a finding that there is a common issue, but that statistical sampling should not be required. That may be the case, but at this stage, no determination has yet been made that that method of damage assessment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As for the overtime, the evidence of Ms. Dominguez and the other employees is not that their hours were not recorded to reflect overtime hours, but that they were not paid extra for those hours in accordance with the contract or the statutory requirements. There was also the suggestion by Ms. Dominguez that her overtime hours were shifted to another day. In addition, at no time does Mr. Naicker suggest that the records do not contain evidence of when overtime was approved by management, if the Court should find that such approval was required in the case of these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I note in any event the comments of the Court in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(Ont. Sup. Ct. J.), to the effect that the duty of good faith could include taking active measures to ensure that employees are not required or permitted to work overtime or that overtime be paid for whether it was approved in advance or not: paras. 78-79.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The defendants have referred to a number of cases which they say point to an assessment of contractual breaches on an individual basis. These include: </w:t>
      </w:r>
      <w:r>
        <w:rPr>
          <w:rFonts w:ascii="arial" w:eastAsia="arial" w:hAnsi="arial" w:cs="arial"/>
          <w:i/>
          <w:color w:val="000000"/>
          <w:sz w:val="20"/>
          <w:lang w:val="en-US" w:eastAsia="en-US" w:bidi="ar-SA"/>
        </w:rPr>
        <w:t>Mouhteros v. DeVry Canada Inc.</w:t>
      </w:r>
      <w:r>
        <w:rPr>
          <w:rFonts w:ascii="arial" w:eastAsia="arial" w:hAnsi="arial" w:cs="arial"/>
          <w:color w:val="000000"/>
          <w:sz w:val="20"/>
          <w:lang w:val="en-US" w:eastAsia="en-US" w:bidi="ar-SA"/>
        </w:rPr>
        <w:t xml:space="preserve"> </w:t>
      </w:r>
      <w:hyperlink r:id="rId345" w:history="1">
        <w:r>
          <w:rPr>
            <w:rFonts w:ascii="arial" w:eastAsia="arial" w:hAnsi="arial" w:cs="arial"/>
            <w:i/>
            <w:color w:val="0077CC"/>
            <w:sz w:val="20"/>
            <w:u w:val="single"/>
            <w:shd w:val="clear" w:color="auto" w:fill="FFFFFF"/>
            <w:lang w:val="en-US" w:eastAsia="en-US" w:bidi="ar-SA"/>
          </w:rPr>
          <w:t>(1998), 41 O.R. (3d) 63</w:t>
        </w:r>
      </w:hyperlink>
      <w:r>
        <w:rPr>
          <w:rFonts w:ascii="arial" w:eastAsia="arial" w:hAnsi="arial" w:cs="arial"/>
          <w:color w:val="000000"/>
          <w:sz w:val="20"/>
          <w:lang w:val="en-US" w:eastAsia="en-US" w:bidi="ar-SA"/>
        </w:rPr>
        <w:t xml:space="preserve"> at 69-71 (Ct. J. (Gen. Div.)); </w:t>
      </w:r>
      <w:r>
        <w:rPr>
          <w:rFonts w:ascii="arial" w:eastAsia="arial" w:hAnsi="arial" w:cs="arial"/>
          <w:i/>
          <w:color w:val="000000"/>
          <w:sz w:val="20"/>
          <w:lang w:val="en-US" w:eastAsia="en-US" w:bidi="ar-SA"/>
        </w:rPr>
        <w:t>McKay v. CDI Career Development Institutes Ltd.</w:t>
      </w:r>
      <w:r>
        <w:rPr>
          <w:rFonts w:ascii="arial" w:eastAsia="arial" w:hAnsi="arial" w:cs="arial"/>
          <w:color w:val="000000"/>
          <w:sz w:val="20"/>
          <w:lang w:val="en-US" w:eastAsia="en-US" w:bidi="ar-SA"/>
        </w:rPr>
        <w:t xml:space="preserve"> </w:t>
      </w:r>
      <w:hyperlink r:id="rId346" w:history="1">
        <w:r>
          <w:rPr>
            <w:rFonts w:ascii="arial" w:eastAsia="arial" w:hAnsi="arial" w:cs="arial"/>
            <w:i/>
            <w:color w:val="0077CC"/>
            <w:sz w:val="20"/>
            <w:u w:val="single"/>
            <w:shd w:val="clear" w:color="auto" w:fill="FFFFFF"/>
            <w:lang w:val="en-US" w:eastAsia="en-US" w:bidi="ar-SA"/>
          </w:rPr>
          <w:t>(1999), 64 B.C.L.R. (3d) 386</w:t>
        </w:r>
      </w:hyperlink>
      <w:r>
        <w:rPr>
          <w:rFonts w:ascii="arial" w:eastAsia="arial" w:hAnsi="arial" w:cs="arial"/>
          <w:color w:val="000000"/>
          <w:sz w:val="20"/>
          <w:lang w:val="en-US" w:eastAsia="en-US" w:bidi="ar-SA"/>
        </w:rPr>
        <w:t xml:space="preserve"> at paras. 24-35 (S.C.); </w:t>
      </w:r>
      <w:r>
        <w:rPr>
          <w:rFonts w:ascii="arial" w:eastAsia="arial" w:hAnsi="arial" w:cs="arial"/>
          <w:i/>
          <w:color w:val="000000"/>
          <w:sz w:val="20"/>
          <w:lang w:val="en-US" w:eastAsia="en-US" w:bidi="ar-SA"/>
        </w:rPr>
        <w:t>Williams v. Mutual Life Assurance Co. of Canada</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(2000), 51 O.R. (3d) 54</w:t>
        </w:r>
      </w:hyperlink>
      <w:r>
        <w:rPr>
          <w:rFonts w:ascii="arial" w:eastAsia="arial" w:hAnsi="arial" w:cs="arial"/>
          <w:color w:val="000000"/>
          <w:sz w:val="20"/>
          <w:lang w:val="en-US" w:eastAsia="en-US" w:bidi="ar-SA"/>
        </w:rPr>
        <w:t xml:space="preserve"> (Sup. Ct. J.), aff'd </w:t>
      </w:r>
      <w:hyperlink r:id="rId348" w:history="1">
        <w:r>
          <w:rPr>
            <w:rFonts w:ascii="arial" w:eastAsia="arial" w:hAnsi="arial" w:cs="arial"/>
            <w:i/>
            <w:color w:val="0077CC"/>
            <w:sz w:val="20"/>
            <w:u w:val="single"/>
            <w:shd w:val="clear" w:color="auto" w:fill="FFFFFF"/>
            <w:lang w:val="en-US" w:eastAsia="en-US" w:bidi="ar-SA"/>
          </w:rPr>
          <w:t>(2001), 152 O.A.C. 344</w:t>
        </w:r>
      </w:hyperlink>
      <w:r>
        <w:rPr>
          <w:rFonts w:ascii="arial" w:eastAsia="arial" w:hAnsi="arial" w:cs="arial"/>
          <w:color w:val="000000"/>
          <w:sz w:val="20"/>
          <w:lang w:val="en-US" w:eastAsia="en-US" w:bidi="ar-SA"/>
        </w:rPr>
        <w:t xml:space="preserve"> (Sup. Ct. J. Div. Ct.), aff'd </w:t>
      </w:r>
      <w:r>
        <w:rPr>
          <w:rFonts w:ascii="arial" w:eastAsia="arial" w:hAnsi="arial" w:cs="arial"/>
          <w:i/>
          <w:color w:val="000000"/>
          <w:sz w:val="20"/>
          <w:lang w:val="en-US" w:eastAsia="en-US" w:bidi="ar-SA"/>
        </w:rPr>
        <w:t>Kumar v. Mutual Life Assurance Co. of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226 D.L.R. (4th) 112</w:t>
      </w:r>
      <w:r>
        <w:rPr>
          <w:rFonts w:ascii="arial" w:eastAsia="arial" w:hAnsi="arial" w:cs="arial"/>
          <w:color w:val="000000"/>
          <w:sz w:val="20"/>
          <w:lang w:val="en-US" w:eastAsia="en-US" w:bidi="ar-SA"/>
        </w:rPr>
        <w:t xml:space="preserve"> at paras. 46-48 (Ont. C.A.) and </w:t>
      </w:r>
      <w:r>
        <w:rPr>
          <w:rFonts w:ascii="arial" w:eastAsia="arial" w:hAnsi="arial" w:cs="arial"/>
          <w:i/>
          <w:color w:val="000000"/>
          <w:sz w:val="20"/>
          <w:lang w:val="en-US" w:eastAsia="en-US" w:bidi="ar-SA"/>
        </w:rPr>
        <w:t>Zicherman v. Equitable Life Insurance Co. of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226 D.L.R. (4th) 131</w:t>
      </w:r>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Lacroix v. C.M.H.C.</w:t>
      </w:r>
      <w:r>
        <w:rPr>
          <w:rFonts w:ascii="arial" w:eastAsia="arial" w:hAnsi="arial" w:cs="arial"/>
          <w:color w:val="000000"/>
          <w:sz w:val="20"/>
          <w:lang w:val="en-US" w:eastAsia="en-US" w:bidi="ar-SA"/>
        </w:rPr>
        <w:t xml:space="preserve"> </w:t>
      </w:r>
      <w:hyperlink r:id="rId349" w:history="1">
        <w:r>
          <w:rPr>
            <w:rFonts w:ascii="arial" w:eastAsia="arial" w:hAnsi="arial" w:cs="arial"/>
            <w:i/>
            <w:color w:val="0077CC"/>
            <w:sz w:val="20"/>
            <w:u w:val="single"/>
            <w:shd w:val="clear" w:color="auto" w:fill="FFFFFF"/>
            <w:lang w:val="en-US" w:eastAsia="en-US" w:bidi="ar-SA"/>
          </w:rPr>
          <w:t>(2009), 68 C.P.C. (6th) 111</w:t>
        </w:r>
      </w:hyperlink>
      <w:r>
        <w:rPr>
          <w:rFonts w:ascii="arial" w:eastAsia="arial" w:hAnsi="arial" w:cs="arial"/>
          <w:color w:val="000000"/>
          <w:sz w:val="20"/>
          <w:lang w:val="en-US" w:eastAsia="en-US" w:bidi="ar-SA"/>
        </w:rPr>
        <w:t xml:space="preserve"> at paras. 102-103 (Ont. Sup. Ct. J.); </w:t>
      </w:r>
      <w:r>
        <w:rPr>
          <w:rFonts w:ascii="arial" w:eastAsia="arial" w:hAnsi="arial" w:cs="arial"/>
          <w:i/>
          <w:color w:val="000000"/>
          <w:sz w:val="20"/>
          <w:lang w:val="en-US" w:eastAsia="en-US" w:bidi="ar-SA"/>
        </w:rPr>
        <w:t>Nadolny v. Peel (Region)</w:t>
      </w:r>
      <w:r>
        <w:rPr>
          <w:rFonts w:ascii="arial" w:eastAsia="arial" w:hAnsi="arial" w:cs="arial"/>
          <w:color w:val="000000"/>
          <w:sz w:val="20"/>
          <w:lang w:val="en-US" w:eastAsia="en-US" w:bidi="ar-SA"/>
        </w:rPr>
        <w:t xml:space="preserve"> </w:t>
      </w:r>
      <w:hyperlink r:id="rId350" w:history="1">
        <w:r>
          <w:rPr>
            <w:rFonts w:ascii="arial" w:eastAsia="arial" w:hAnsi="arial" w:cs="arial"/>
            <w:i/>
            <w:color w:val="0077CC"/>
            <w:sz w:val="20"/>
            <w:u w:val="single"/>
            <w:shd w:val="clear" w:color="auto" w:fill="FFFFFF"/>
            <w:lang w:val="en-US" w:eastAsia="en-US" w:bidi="ar-SA"/>
          </w:rPr>
          <w:t>(2009), 78 C.P.C. (6th) 252</w:t>
        </w:r>
      </w:hyperlink>
      <w:r>
        <w:rPr>
          <w:rFonts w:ascii="arial" w:eastAsia="arial" w:hAnsi="arial" w:cs="arial"/>
          <w:color w:val="000000"/>
          <w:sz w:val="20"/>
          <w:lang w:val="en-US" w:eastAsia="en-US" w:bidi="ar-SA"/>
        </w:rPr>
        <w:t xml:space="preserve"> at paras. 49-50 and 83-85 (Ont. Sup. Ct. J.); </w:t>
      </w:r>
      <w:r>
        <w:rPr>
          <w:rFonts w:ascii="arial" w:eastAsia="arial" w:hAnsi="arial" w:cs="arial"/>
          <w:i/>
          <w:color w:val="000000"/>
          <w:sz w:val="20"/>
          <w:lang w:val="en-US" w:eastAsia="en-US" w:bidi="ar-SA"/>
        </w:rPr>
        <w:t>Davis v. Canada</w:t>
      </w:r>
      <w:r>
        <w:rPr>
          <w:rFonts w:ascii="arial" w:eastAsia="arial" w:hAnsi="arial" w:cs="arial"/>
          <w:color w:val="000000"/>
          <w:sz w:val="20"/>
          <w:lang w:val="en-US" w:eastAsia="en-US" w:bidi="ar-SA"/>
        </w:rPr>
        <w:t xml:space="preserve">, </w:t>
      </w:r>
      <w:hyperlink r:id="rId351" w:history="1">
        <w:r>
          <w:rPr>
            <w:rFonts w:ascii="arial" w:eastAsia="arial" w:hAnsi="arial" w:cs="arial"/>
            <w:i/>
            <w:color w:val="0077CC"/>
            <w:sz w:val="20"/>
            <w:u w:val="single"/>
            <w:shd w:val="clear" w:color="auto" w:fill="FFFFFF"/>
            <w:lang w:val="en-US" w:eastAsia="en-US" w:bidi="ar-SA"/>
          </w:rPr>
          <w:t>2007 NLTD 25</w:t>
        </w:r>
      </w:hyperlink>
      <w:r>
        <w:rPr>
          <w:rFonts w:ascii="arial" w:eastAsia="arial" w:hAnsi="arial" w:cs="arial"/>
          <w:color w:val="000000"/>
          <w:sz w:val="20"/>
          <w:lang w:val="en-US" w:eastAsia="en-US" w:bidi="ar-SA"/>
        </w:rPr>
        <w:t xml:space="preserve"> at paras. 93-95; and </w:t>
      </w:r>
      <w:r>
        <w:rPr>
          <w:rFonts w:ascii="arial" w:eastAsia="arial" w:hAnsi="arial" w:cs="arial"/>
          <w:i/>
          <w:color w:val="000000"/>
          <w:sz w:val="20"/>
          <w:lang w:val="en-US" w:eastAsia="en-US" w:bidi="ar-SA"/>
        </w:rPr>
        <w:t>Huras v. Com Dev Ltd.</w:t>
      </w:r>
      <w:r>
        <w:rPr>
          <w:rFonts w:ascii="arial" w:eastAsia="arial" w:hAnsi="arial" w:cs="arial"/>
          <w:color w:val="000000"/>
          <w:sz w:val="20"/>
          <w:lang w:val="en-US" w:eastAsia="en-US" w:bidi="ar-SA"/>
        </w:rPr>
        <w:t xml:space="preserve"> </w:t>
      </w:r>
      <w:hyperlink r:id="rId352" w:history="1">
        <w:r>
          <w:rPr>
            <w:rFonts w:ascii="arial" w:eastAsia="arial" w:hAnsi="arial" w:cs="arial"/>
            <w:i/>
            <w:color w:val="0077CC"/>
            <w:sz w:val="20"/>
            <w:u w:val="single"/>
            <w:shd w:val="clear" w:color="auto" w:fill="FFFFFF"/>
            <w:lang w:val="en-US" w:eastAsia="en-US" w:bidi="ar-SA"/>
          </w:rPr>
          <w:t>(1999), 36 C.P.C. (4th) 31</w:t>
        </w:r>
      </w:hyperlink>
      <w:r>
        <w:rPr>
          <w:rFonts w:ascii="arial" w:eastAsia="arial" w:hAnsi="arial" w:cs="arial"/>
          <w:color w:val="000000"/>
          <w:sz w:val="20"/>
          <w:lang w:val="en-US" w:eastAsia="en-US" w:bidi="ar-SA"/>
        </w:rPr>
        <w:t xml:space="preserve"> at para. 19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I do not find any of these cases of assistance on this issue. Many of the cases deal with allegations of misrepresentations which are distinguishable from the facts here. Where allegations of breach of contract were made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Nadolny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Huras</w:t>
      </w:r>
      <w:r>
        <w:rPr>
          <w:rFonts w:ascii="arial" w:eastAsia="arial" w:hAnsi="arial" w:cs="arial"/>
          <w:color w:val="000000"/>
          <w:sz w:val="20"/>
          <w:lang w:val="en-US" w:eastAsia="en-US" w:bidi="ar-SA"/>
        </w:rPr>
        <w:t>), it was clear that the Court found that substantial oral evidence was required to determine the terms of those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primary focus here is on what were the terms of the employment agreements between the parties. While the terms are not in all instances in each and every contract, there is sufficient commonality among these written contracts to raise the same issues, such that a decision on the interpretation of these terms will be of assistance in understanding the scope of the contractual undertakings of the defendants in relation to the putative class members. That would also include any contract renewals entered into after the Notice of Civil Claim was filed insofar as any of the allegations can be brought within the terms of those contracts during the term of those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essence of the contract issues here are that: (a) the defendants promised certain hours of work and did not provide that work in contravention of the contracts; (b) the defendants did not pay for overtime in contravention of the contracts and also the applicable employment legislation; (c) the defendants improperly charged, through their agent, recruitment fees, in breach of the contracts; and (d) the defendants did not reimburse the employees for airfare, in breach of the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There is sufficient evidence or a basis "in fact" in support of each of these allegations to support a certification of those issues. The allegations of Ms. Dominguez are that these breaches were not only suffered by her, but were suffered by the other temporary foreign workers, and that as such, they were systemic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concede that these workers may not have been given their full allotted weekly hours, and point to economic necessity. In addition to evidence as to their own personal experiences in not being paid overtime, Ms. Reyes attested to being told by a representative of the defendants that "we don't pay overtime here". The Employment Standards Branch's report regarding overtime may suggest a breach situation that goes beyond the temporary foreign workers to all employees, but that is beyond the scope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xml:space="preserve">  Evidence from Ms. Dominguez and other foreign workers and investigations from the Employment Standards Branch support that the agency fees were required to be paid to ICEA and Luzern, who are alleged on the evidence to have been acting as agents of the defendants in that respect. Finally, the requirement to pay the airfare has essentially been conceded by the defendants not to have been complied with, although this alone does not prevent certification: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at paras. 134-139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The allegations here are that the defendants treated the putative class members in a consistent or systemic way. The allegations are that the temporary foreign workers were in a vulnerable position given their employment and immigration status and that the defendants, including their agents, took advantage of that status for their own benefit by ignoring various contractual terms. Allegations of systemic wrongs have been certified in the past: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Fulawka.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It is in the context of allegations of systemic wrongs that the common issues relating to the contracts include an allegation that the defendants owe a duty of good faith and fair dealing to the putative class members. In that regard, Ms. Dominguez relies on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The defendants dispute the application of the law in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in that respect and say that the correct statement of the law is that employers only owe their employees a limited duty of good faith and fair dealing with respect to the manner of an employee's termination. In that regard, the defendants cite </w:t>
      </w:r>
      <w:r>
        <w:rPr>
          <w:rFonts w:ascii="arial" w:eastAsia="arial" w:hAnsi="arial" w:cs="arial"/>
          <w:i/>
          <w:color w:val="000000"/>
          <w:sz w:val="20"/>
          <w:lang w:val="en-US" w:eastAsia="en-US" w:bidi="ar-SA"/>
        </w:rPr>
        <w:t>Wallace v. United Grain Growers Ltd. (cob Public Press)</w:t>
      </w:r>
      <w:r>
        <w:rPr>
          <w:rFonts w:ascii="arial" w:eastAsia="arial" w:hAnsi="arial" w:cs="arial"/>
          <w:color w:val="000000"/>
          <w:sz w:val="20"/>
          <w:lang w:val="en-US" w:eastAsia="en-US" w:bidi="ar-SA"/>
        </w:rPr>
        <w:t xml:space="preserve">, </w:t>
      </w:r>
      <w:hyperlink r:id="rId354" w:history="1">
        <w:r>
          <w:rPr>
            <w:rFonts w:ascii="arial" w:eastAsia="arial" w:hAnsi="arial" w:cs="arial"/>
            <w:i/>
            <w:color w:val="0077CC"/>
            <w:sz w:val="20"/>
            <w:u w:val="single"/>
            <w:shd w:val="clear" w:color="auto" w:fill="FFFFFF"/>
            <w:lang w:val="en-US" w:eastAsia="en-US" w:bidi="ar-SA"/>
          </w:rPr>
          <w:t>[1997] 3 S.C.R. 701</w:t>
        </w:r>
      </w:hyperlink>
      <w:r>
        <w:rPr>
          <w:rFonts w:ascii="arial" w:eastAsia="arial" w:hAnsi="arial" w:cs="arial"/>
          <w:color w:val="000000"/>
          <w:sz w:val="20"/>
          <w:lang w:val="en-US" w:eastAsia="en-US" w:bidi="ar-SA"/>
        </w:rPr>
        <w:t xml:space="preserve"> and its application in other jurisdictions, including British Columbia, in </w:t>
      </w:r>
      <w:r>
        <w:rPr>
          <w:rFonts w:ascii="arial" w:eastAsia="arial" w:hAnsi="arial" w:cs="arial"/>
          <w:i/>
          <w:color w:val="000000"/>
          <w:sz w:val="20"/>
          <w:lang w:val="en-US" w:eastAsia="en-US" w:bidi="ar-SA"/>
        </w:rPr>
        <w:t>Babcock v. Canada (Attorney General)</w:t>
      </w:r>
      <w:r>
        <w:rPr>
          <w:rFonts w:ascii="arial" w:eastAsia="arial" w:hAnsi="arial" w:cs="arial"/>
          <w:color w:val="000000"/>
          <w:sz w:val="20"/>
          <w:lang w:val="en-US" w:eastAsia="en-US" w:bidi="ar-SA"/>
        </w:rPr>
        <w:t xml:space="preserve">, </w:t>
      </w:r>
      <w:hyperlink r:id="rId355" w:history="1">
        <w:r>
          <w:rPr>
            <w:rFonts w:ascii="arial" w:eastAsia="arial" w:hAnsi="arial" w:cs="arial"/>
            <w:i/>
            <w:color w:val="0077CC"/>
            <w:sz w:val="20"/>
            <w:u w:val="single"/>
            <w:shd w:val="clear" w:color="auto" w:fill="FFFFFF"/>
            <w:lang w:val="en-US" w:eastAsia="en-US" w:bidi="ar-SA"/>
          </w:rPr>
          <w:t>2005 BCSC 513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Albert v. Conseil Scolaire Francophone de la Colombie-Britannique</w:t>
      </w:r>
      <w:r>
        <w:rPr>
          <w:rFonts w:ascii="arial" w:eastAsia="arial" w:hAnsi="arial" w:cs="arial"/>
          <w:color w:val="000000"/>
          <w:sz w:val="20"/>
          <w:lang w:val="en-US" w:eastAsia="en-US" w:bidi="ar-SA"/>
        </w:rPr>
        <w:t xml:space="preserve">, </w:t>
      </w:r>
      <w:hyperlink r:id="rId356" w:history="1">
        <w:r>
          <w:rPr>
            <w:rFonts w:ascii="arial" w:eastAsia="arial" w:hAnsi="arial" w:cs="arial"/>
            <w:i/>
            <w:color w:val="0077CC"/>
            <w:sz w:val="20"/>
            <w:u w:val="single"/>
            <w:shd w:val="clear" w:color="auto" w:fill="FFFFFF"/>
            <w:lang w:val="en-US" w:eastAsia="en-US" w:bidi="ar-SA"/>
          </w:rPr>
          <w:t>2009 BCCA 19</w:t>
        </w:r>
      </w:hyperlink>
      <w:r>
        <w:rPr>
          <w:rFonts w:ascii="arial" w:eastAsia="arial" w:hAnsi="arial" w:cs="arial"/>
          <w:color w:val="000000"/>
          <w:sz w:val="20"/>
          <w:lang w:val="en-US" w:eastAsia="en-US" w:bidi="ar-SA"/>
        </w:rPr>
        <w:t xml:space="preserve"> at para. 75. In </w:t>
      </w:r>
      <w:r>
        <w:rPr>
          <w:rFonts w:ascii="arial" w:eastAsia="arial" w:hAnsi="arial" w:cs="arial"/>
          <w:i/>
          <w:color w:val="000000"/>
          <w:sz w:val="20"/>
          <w:lang w:val="en-US" w:eastAsia="en-US" w:bidi="ar-SA"/>
        </w:rPr>
        <w:t>Babcock</w:t>
      </w:r>
      <w:r>
        <w:rPr>
          <w:rFonts w:ascii="arial" w:eastAsia="arial" w:hAnsi="arial" w:cs="arial"/>
          <w:color w:val="000000"/>
          <w:sz w:val="20"/>
          <w:lang w:val="en-US" w:eastAsia="en-US" w:bidi="ar-SA"/>
        </w:rPr>
        <w:t>, D.M. Smith J. (as she then was) at para. 200 expressly rejected the contention that the implied obligation of good faith went beyond the manner of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There is no conflict on the authorities that there is no free standing or stand alone duty of good faith. What the Court in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says, however, is that such a duty can be considered within the context of the employment relationship and can be implied with a view to securing the performance of the terms of a contract: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at paras. 75-81 (Ont. Sup. Ct. J.);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at paras. 42-53 (Ont. Sup. Ct. J. Div. Ct.). The </w:t>
      </w:r>
      <w:r>
        <w:rPr>
          <w:rFonts w:ascii="arial" w:eastAsia="arial" w:hAnsi="arial" w:cs="arial"/>
          <w:i/>
          <w:color w:val="000000"/>
          <w:sz w:val="20"/>
          <w:lang w:val="en-US" w:eastAsia="en-US" w:bidi="ar-SA"/>
        </w:rPr>
        <w:t>Wallace</w:t>
      </w:r>
      <w:r>
        <w:rPr>
          <w:rFonts w:ascii="arial" w:eastAsia="arial" w:hAnsi="arial" w:cs="arial"/>
          <w:color w:val="000000"/>
          <w:sz w:val="20"/>
          <w:lang w:val="en-US" w:eastAsia="en-US" w:bidi="ar-SA"/>
        </w:rPr>
        <w:t xml:space="preserve"> principle was fully acknowledged by the Courts in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and distinguished on that basis. Certification of a similar plea was recently considered to be tenable in the context of an employment relationship in </w:t>
      </w:r>
      <w:r>
        <w:rPr>
          <w:rFonts w:ascii="arial" w:eastAsia="arial" w:hAnsi="arial" w:cs="arial"/>
          <w:i/>
          <w:color w:val="000000"/>
          <w:sz w:val="20"/>
          <w:lang w:val="en-US" w:eastAsia="en-US" w:bidi="ar-SA"/>
        </w:rPr>
        <w:t>McCracken v. Canadian National Railway Company</w:t>
      </w:r>
      <w:r>
        <w:rPr>
          <w:rFonts w:ascii="arial" w:eastAsia="arial" w:hAnsi="arial" w:cs="arial"/>
          <w:color w:val="000000"/>
          <w:sz w:val="20"/>
          <w:lang w:val="en-US" w:eastAsia="en-US" w:bidi="ar-SA"/>
        </w:rPr>
        <w:t xml:space="preserve">, </w:t>
      </w:r>
      <w:hyperlink r:id="rId357" w:history="1">
        <w:r>
          <w:rPr>
            <w:rFonts w:ascii="arial" w:eastAsia="arial" w:hAnsi="arial" w:cs="arial"/>
            <w:i/>
            <w:color w:val="0077CC"/>
            <w:sz w:val="20"/>
            <w:u w:val="single"/>
            <w:shd w:val="clear" w:color="auto" w:fill="FFFFFF"/>
            <w:lang w:val="en-US" w:eastAsia="en-US" w:bidi="ar-SA"/>
          </w:rPr>
          <w:t>2010 ONSC 4520</w:t>
        </w:r>
      </w:hyperlink>
      <w:r>
        <w:rPr>
          <w:rFonts w:ascii="arial" w:eastAsia="arial" w:hAnsi="arial" w:cs="arial"/>
          <w:color w:val="000000"/>
          <w:sz w:val="20"/>
          <w:lang w:val="en-US" w:eastAsia="en-US" w:bidi="ar-SA"/>
        </w:rPr>
        <w:t xml:space="preserve"> at paras. 235-245.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This is exactly the way that Ms. Dominguez has framed the common issue on this application and I consider the reasoning in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supports that approach. Whether or not Ms. Dominguez establishes that duty in the context of these employment relationships is another question that will be addressed at the trial. Further, if there is a question as to whether or not such a duty exists in the context of these employment relationships here in British Columbia, given the recent development of the law in Ontario in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that is certainly an issue that is common to all putative class members and its determination will assist in advancing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xml:space="preserve">  There is no doubt, based on what may be anticipated in the defendants' pleadings, that individual assessments may be necessary in terms of deciding some of the issues. For example, detailed examination of payroll records may be necessary in terms of weekly hours worked or if not worked, why. Those records will disclose overtime worked which was possibly unpaid. The defendants have already acknowledged in their evidence that they did not reimburse the employees for certain airfares incurred to this time and have suggested a means by which those amounts can be calculated. There may also be records in the possession of the defendants and ICEA/Luzern regarding the payment of agency fees. These issues relate more to the damage claims (which is not a reason to refuse to certify per s. 7(a)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xml:space="preserve">  The fact that there are numerous issues that may require individual resolution does not undermine the commonality conclusion. They do not in any event overwhelm the basic issues relating to interpretation of the contracts between the defendants and the putative class members, the determination of which will assist the parties and the Court in deciding how best to proceed as the matter goes forward. What is required is that the Court takes a positive outlook and sees what </w:t>
      </w:r>
      <w:r>
        <w:rPr>
          <w:rFonts w:ascii="arial" w:eastAsia="arial" w:hAnsi="arial" w:cs="arial"/>
          <w:i/>
          <w:color w:val="000000"/>
          <w:sz w:val="20"/>
          <w:lang w:val="en-US" w:eastAsia="en-US" w:bidi="ar-SA"/>
        </w:rPr>
        <w:t>can</w:t>
      </w:r>
      <w:r>
        <w:rPr>
          <w:rFonts w:ascii="arial" w:eastAsia="arial" w:hAnsi="arial" w:cs="arial"/>
          <w:color w:val="000000"/>
          <w:sz w:val="20"/>
          <w:lang w:val="en-US" w:eastAsia="en-US" w:bidi="ar-SA"/>
        </w:rPr>
        <w:t xml:space="preserve"> be resolved on a common basis towards advancing the litigation in a fair and efficient manner: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at paras. 54-58.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In conclusion, I find that the contract issues formulated by Ms. Dominguez, which include the duty of good faith and fair dealing, are common issues. I would, however combine the proposed common issues in B. and D. under Contract Terms to make clear that any duty of good faith and fair dealing is to be addressed within the context of the contractual relationship and not as a separate cause of action,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Contract Terms (Including Duty of Good Faith &amp; Fair Dealing)</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relevant terms (express, implied or otherwise) of the Class' contracts of employment with the Defendants respecting:</w:t>
      </w: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 and overtime hours of work;</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recording of hours worked;</w:t>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Fees; and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two-way air transportation?</w:t>
      </w:r>
    </w:p>
    <w:p>
      <w:pPr>
        <w:numPr>
          <w:numId w:val="3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their agents owe a duty of good faith and fair dealing to the Class in the performance of its contractual and/or statutory obligations to the Class?</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their agents breach any of the forgoing contractual terms or duties? If so, how?</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(iii)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Dominguez asserts this is a common issue and again, this assertion is made in the context of the vulnerability of the temporary foreign workers and allegations that the defendants took advantage of that vulnerability. She points to the terms of the work permits which restricted the workers to working only for the defendants and only in the specified occupation. It is acknowledged that generally speaking, the workers were seeking a more permanent status here in Canada and that getting the hours and resulting income they felt they were entitled to affected their ability to do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xml:space="preserve">  As such, Ms. Dominguez says that the situation conferred upon the defendants a significant power and discretion over the workers' legal and practical interests which resulted in the defendants owing fiduciary duties to the workers. That a fiduciary duty can be found in the context of an employment relationship is beyond question: </w:t>
      </w:r>
      <w:r>
        <w:rPr>
          <w:rFonts w:ascii="arial" w:eastAsia="arial" w:hAnsi="arial" w:cs="arial"/>
          <w:i/>
          <w:color w:val="000000"/>
          <w:sz w:val="20"/>
          <w:lang w:val="en-US" w:eastAsia="en-US" w:bidi="ar-SA"/>
        </w:rPr>
        <w:t>Galambos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xml:space="preserve">  The defendants say however that they never expressly agreed to act as a fiduciary to the temporary foreign workers and that otherwise, the determination as to whether a fiduciary duty exists in any particular relationship must be based on a review of the relevant factual circumstances on an individual basis: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412-414; and </w:t>
      </w:r>
      <w:r>
        <w:rPr>
          <w:rFonts w:ascii="arial" w:eastAsia="arial" w:hAnsi="arial" w:cs="arial"/>
          <w:i/>
          <w:color w:val="000000"/>
          <w:sz w:val="20"/>
          <w:lang w:val="en-US" w:eastAsia="en-US" w:bidi="ar-SA"/>
        </w:rPr>
        <w:t>Dopf v. Royal Bank of Canada</w:t>
      </w:r>
      <w:r>
        <w:rPr>
          <w:rFonts w:ascii="arial" w:eastAsia="arial" w:hAnsi="arial" w:cs="arial"/>
          <w:color w:val="000000"/>
          <w:sz w:val="20"/>
          <w:lang w:val="en-US" w:eastAsia="en-US" w:bidi="ar-SA"/>
        </w:rPr>
        <w:t xml:space="preserve"> </w:t>
      </w:r>
      <w:hyperlink r:id="rId359" w:history="1">
        <w:r>
          <w:rPr>
            <w:rFonts w:ascii="arial" w:eastAsia="arial" w:hAnsi="arial" w:cs="arial"/>
            <w:i/>
            <w:color w:val="0077CC"/>
            <w:sz w:val="20"/>
            <w:u w:val="single"/>
            <w:shd w:val="clear" w:color="auto" w:fill="FFFFFF"/>
            <w:lang w:val="en-US" w:eastAsia="en-US" w:bidi="ar-SA"/>
          </w:rPr>
          <w:t>(1998), 46 B.C.L.R. (3d) 66</w:t>
        </w:r>
      </w:hyperlink>
      <w:r>
        <w:rPr>
          <w:rFonts w:ascii="arial" w:eastAsia="arial" w:hAnsi="arial" w:cs="arial"/>
          <w:color w:val="000000"/>
          <w:sz w:val="20"/>
          <w:lang w:val="en-US" w:eastAsia="en-US" w:bidi="ar-SA"/>
        </w:rPr>
        <w:t xml:space="preserve"> at paras. 62-64 (C.A.). They point to cases such as </w:t>
      </w:r>
      <w:r>
        <w:rPr>
          <w:rFonts w:ascii="arial" w:eastAsia="arial" w:hAnsi="arial" w:cs="arial"/>
          <w:i/>
          <w:color w:val="000000"/>
          <w:sz w:val="20"/>
          <w:lang w:val="en-US" w:eastAsia="en-US" w:bidi="ar-SA"/>
        </w:rPr>
        <w:t>Mustaji</w:t>
      </w:r>
      <w:r>
        <w:rPr>
          <w:rFonts w:ascii="arial" w:eastAsia="arial" w:hAnsi="arial" w:cs="arial"/>
          <w:color w:val="000000"/>
          <w:sz w:val="20"/>
          <w:lang w:val="en-US" w:eastAsia="en-US" w:bidi="ar-SA"/>
        </w:rPr>
        <w:t>, where the British Columbia Supreme Court discussed the basis for the finding that a fiduciary relationship existed between an employer and employee: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The nature of the relationship between the parties is an important consideration in determining the scope of the duty owed. In this case, the parties' relationship was primarily contractual, flowing from an agreement to provide domestic services by the plaintiff in exchange for compensation. The employment contract created a number of reciprocal rights and obligations. However, the substance of the parties' relationship cannot be captured adequately within a strict employment framework. In the particular circumstances of this case, the plaintiff was not simply an employee under the terms of the employment agreement; she was also the beneficiary of certain fiduciary obligations imposed on the defendants by virtue of their power and discretion over her, relating to matters both within and outside the scope of their employment relationship. While principally one of employment, the parties' relationship can be more accurately described as being part-contractual and part-fiduciary.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 In any mixed contractual-fiduciary relationship, the contractual and fiduciary aspects of the relationship may be distinct, giving rise to different duties, or overlapping, in whole or in part, giving rise to substantially the same duties but from distinct legal and equitable sources. Where the fiduciary and contractual duties give rise to separate, distinct duties, the breach of those obligations gives rise to independent causes of action. Where the fiduciary and contractual duties give rise to substantially similar duties, albeit in equity and in law respectively, the breach of one duty is the breach of the other. Recovery in such circumstances is properly permitted in law or in equity, but not both.</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Contractual duties and fiduciary duties may exist in the same relationship at the same time. </w:t>
      </w:r>
      <w:r>
        <w:rPr>
          <w:rFonts w:ascii="arial" w:eastAsia="arial" w:hAnsi="arial" w:cs="arial"/>
          <w:i/>
          <w:color w:val="000000"/>
          <w:sz w:val="20"/>
          <w:lang w:val="en-US" w:eastAsia="en-US" w:bidi="ar-SA"/>
        </w:rPr>
        <w:t>International Corona Resources Ltd. v. LAC Minerals Ltd.</w:t>
      </w:r>
      <w:r>
        <w:rPr>
          <w:rFonts w:ascii="arial" w:eastAsia="arial" w:hAnsi="arial" w:cs="arial"/>
          <w:color w:val="000000"/>
          <w:sz w:val="20"/>
          <w:lang w:val="en-US" w:eastAsia="en-US" w:bidi="ar-SA"/>
        </w:rPr>
        <w:t xml:space="preserve">, </w:t>
      </w:r>
      <w:hyperlink r:id="rId360" w:history="1">
        <w:r>
          <w:rPr>
            <w:rFonts w:ascii="arial" w:eastAsia="arial" w:hAnsi="arial" w:cs="arial"/>
            <w:i/>
            <w:color w:val="0077CC"/>
            <w:sz w:val="20"/>
            <w:u w:val="single"/>
            <w:shd w:val="clear" w:color="auto" w:fill="FFFFFF"/>
            <w:lang w:val="en-US" w:eastAsia="en-US" w:bidi="ar-SA"/>
          </w:rPr>
          <w:t>[1989] 2 S.C.R. 574</w:t>
        </w:r>
      </w:hyperlink>
      <w:r>
        <w:rPr>
          <w:rFonts w:ascii="arial" w:eastAsia="arial" w:hAnsi="arial" w:cs="arial"/>
          <w:color w:val="000000"/>
          <w:sz w:val="20"/>
          <w:lang w:val="en-US" w:eastAsia="en-US" w:bidi="ar-SA"/>
        </w:rPr>
        <w:t xml:space="preserve">, (supra). The co-existence of contractual and fiduciary duties in the same relationship was also recognized in </w:t>
      </w:r>
      <w:r>
        <w:rPr>
          <w:rFonts w:ascii="arial" w:eastAsia="arial" w:hAnsi="arial" w:cs="arial"/>
          <w:i/>
          <w:color w:val="000000"/>
          <w:sz w:val="20"/>
          <w:lang w:val="en-US" w:eastAsia="en-US" w:bidi="ar-SA"/>
        </w:rPr>
        <w:t>Hodgkinson</w:t>
      </w:r>
      <w:r>
        <w:rPr>
          <w:rFonts w:ascii="arial" w:eastAsia="arial" w:hAnsi="arial" w:cs="arial"/>
          <w:color w:val="000000"/>
          <w:sz w:val="20"/>
          <w:lang w:val="en-US" w:eastAsia="en-US" w:bidi="ar-SA"/>
        </w:rPr>
        <w:t>, (supra), at p. 174, where La Forest J. observed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existence of a contract does not necessarily preclude the existence of fiduciary obligations between the parties. </w:t>
      </w:r>
      <w:r>
        <w:rPr>
          <w:rFonts w:ascii="arial" w:eastAsia="arial" w:hAnsi="arial" w:cs="arial"/>
          <w:i/>
          <w:color w:val="000000"/>
          <w:sz w:val="20"/>
          <w:lang w:val="en-US" w:eastAsia="en-US" w:bidi="ar-SA"/>
        </w:rPr>
        <w:t>On the contrary, the legal incidents of many contractual agreements are such as to give rise to a fiduciary duty</w:t>
      </w:r>
      <w:r>
        <w:rPr>
          <w:rFonts w:ascii="arial" w:eastAsia="arial" w:hAnsi="arial" w:cs="arial"/>
          <w:color w:val="000000"/>
          <w:sz w:val="20"/>
          <w:lang w:val="en-US" w:eastAsia="en-US" w:bidi="ar-SA"/>
        </w:rPr>
        <w:t>. The paradigm example of this class of contract is the agency agreement, in which the allocation of rights and responsibilities in the contract itself gives rise to fiduciary expectations ...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Nishina v. Azuma Foods (Canada) Co., Ltd.</w:t>
      </w:r>
      <w:r>
        <w:rPr>
          <w:rFonts w:ascii="arial" w:eastAsia="arial" w:hAnsi="arial" w:cs="arial"/>
          <w:color w:val="000000"/>
          <w:sz w:val="20"/>
          <w:lang w:val="en-US" w:eastAsia="en-US" w:bidi="ar-SA"/>
        </w:rPr>
        <w:t xml:space="preserve">, </w:t>
      </w:r>
      <w:hyperlink r:id="rId361" w:history="1">
        <w:r>
          <w:rPr>
            <w:rFonts w:ascii="arial" w:eastAsia="arial" w:hAnsi="arial" w:cs="arial"/>
            <w:i/>
            <w:color w:val="0077CC"/>
            <w:sz w:val="20"/>
            <w:u w:val="single"/>
            <w:shd w:val="clear" w:color="auto" w:fill="FFFFFF"/>
            <w:lang w:val="en-US" w:eastAsia="en-US" w:bidi="ar-SA"/>
          </w:rPr>
          <w:t>2010 BCSC 502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Babcock</w:t>
      </w:r>
      <w:r>
        <w:rPr>
          <w:rFonts w:ascii="arial" w:eastAsia="arial" w:hAnsi="arial" w:cs="arial"/>
          <w:color w:val="000000"/>
          <w:sz w:val="20"/>
          <w:lang w:val="en-US" w:eastAsia="en-US" w:bidi="ar-SA"/>
        </w:rPr>
        <w:t xml:space="preserve"> are also cases where the factual circumstances of the employment relationship were considered in the determination that no such fiduciary duty was 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xml:space="preserve">  There is substantial authority that in appropriate circumstances, the issue of whether a fiduciary duty exists can be certified as a common issue. In </w:t>
      </w:r>
      <w:r>
        <w:rPr>
          <w:rFonts w:ascii="arial" w:eastAsia="arial" w:hAnsi="arial" w:cs="arial"/>
          <w:i/>
          <w:color w:val="000000"/>
          <w:sz w:val="20"/>
          <w:lang w:val="en-US" w:eastAsia="en-US" w:bidi="ar-SA"/>
        </w:rPr>
        <w:t>Dutton v. Western Canadian Shopping Centres Inc</w:t>
      </w:r>
      <w:r>
        <w:rPr>
          <w:rFonts w:ascii="arial" w:eastAsia="arial" w:hAnsi="arial" w:cs="arial"/>
          <w:color w:val="000000"/>
          <w:sz w:val="20"/>
          <w:lang w:val="en-US" w:eastAsia="en-US" w:bidi="ar-SA"/>
        </w:rPr>
        <w:t xml:space="preserve">., </w:t>
      </w:r>
      <w:hyperlink r:id="rId201" w:history="1">
        <w:r>
          <w:rPr>
            <w:rFonts w:ascii="arial" w:eastAsia="arial" w:hAnsi="arial" w:cs="arial"/>
            <w:i/>
            <w:color w:val="0077CC"/>
            <w:sz w:val="20"/>
            <w:u w:val="single"/>
            <w:shd w:val="clear" w:color="auto" w:fill="FFFFFF"/>
            <w:lang w:val="en-US" w:eastAsia="en-US" w:bidi="ar-SA"/>
          </w:rPr>
          <w:t>2001 SCC 46</w:t>
        </w:r>
      </w:hyperlink>
      <w:r>
        <w:rPr>
          <w:rFonts w:ascii="arial" w:eastAsia="arial" w:hAnsi="arial" w:cs="arial"/>
          <w:color w:val="000000"/>
          <w:sz w:val="20"/>
          <w:lang w:val="en-US" w:eastAsia="en-US" w:bidi="ar-SA"/>
        </w:rPr>
        <w:t>, the Court found that the fiduciary duty issues were common to all of the class members: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55 The defendants' contention that the investors should not be permitted to sue as a class because each must show actual reliance to establish breach of fiduciary duty also fails to convince. In recent decades fiduciary obligations have been applied in new contexts, and the full scope of their application remains to be precisely defined. The fiduciary duty issues raised here are common to all the investors. A class action should not be foreclosed on the ground that there is uncertainty as to the resolution of issues common to all class members. If it is determined that the investors must show individual reliance, the court may then consider whether the class action should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Allegations of breach of a fiduciary duty were also certified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where there were allegedly systemic breaches: see also </w:t>
      </w:r>
      <w:r>
        <w:rPr>
          <w:rFonts w:ascii="arial" w:eastAsia="arial" w:hAnsi="arial" w:cs="arial"/>
          <w:i/>
          <w:color w:val="000000"/>
          <w:sz w:val="20"/>
          <w:lang w:val="en-US" w:eastAsia="en-US" w:bidi="ar-SA"/>
        </w:rPr>
        <w:t>Lieberman v. Business Development Bank of Canada</w:t>
      </w:r>
      <w:r>
        <w:rPr>
          <w:rFonts w:ascii="arial" w:eastAsia="arial" w:hAnsi="arial" w:cs="arial"/>
          <w:color w:val="000000"/>
          <w:sz w:val="20"/>
          <w:lang w:val="en-US" w:eastAsia="en-US" w:bidi="ar-SA"/>
        </w:rPr>
        <w:t xml:space="preserve">, </w:t>
      </w:r>
      <w:hyperlink r:id="rId362" w:history="1">
        <w:r>
          <w:rPr>
            <w:rFonts w:ascii="arial" w:eastAsia="arial" w:hAnsi="arial" w:cs="arial"/>
            <w:i/>
            <w:color w:val="0077CC"/>
            <w:sz w:val="20"/>
            <w:u w:val="single"/>
            <w:shd w:val="clear" w:color="auto" w:fill="FFFFFF"/>
            <w:lang w:val="en-US" w:eastAsia="en-US" w:bidi="ar-SA"/>
          </w:rPr>
          <w:t>2009 BCSC 1312</w:t>
        </w:r>
      </w:hyperlink>
      <w:r>
        <w:rPr>
          <w:rFonts w:ascii="arial" w:eastAsia="arial" w:hAnsi="arial" w:cs="arial"/>
          <w:color w:val="000000"/>
          <w:sz w:val="20"/>
          <w:lang w:val="en-US" w:eastAsia="en-US" w:bidi="ar-SA"/>
        </w:rPr>
        <w:t xml:space="preserve"> where there were allegations that pension benefits were improperly diverted.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Gary Jackson Holdings Ltd.</w:t>
      </w:r>
      <w:r>
        <w:rPr>
          <w:rFonts w:ascii="arial" w:eastAsia="arial" w:hAnsi="arial" w:cs="arial"/>
          <w:color w:val="000000"/>
          <w:sz w:val="20"/>
          <w:lang w:val="en-US" w:eastAsia="en-US" w:bidi="ar-SA"/>
        </w:rPr>
        <w:t>, Mr. Justice Hinkson (as he then was) recognized the potential difficulty in certifying a breach of fiduciary duty claim where the particular circumstances of the parties would have to be considered. He stated that in the circumstances of that case, the matter could be circumscribed to address that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[45] With respect to the common issue of breach of fiduciary duty, while this assertion will usually require an assessment of the individual relationship between the fiduciary and the beneficiary of the duty, the plaintiff on this application argued that the fiduciary obligations upon which it and the proposed class members rely are contained entirely within the various joint venture agreements. The plaintiff thus argued that an individual examination of the relationship and dependency of the individual class members to the defendants against whom the allegations of breach of fiduciary duty are made is unnecessary.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[46] In </w:t>
      </w:r>
      <w:r>
        <w:rPr>
          <w:rFonts w:ascii="arial" w:eastAsia="arial" w:hAnsi="arial" w:cs="arial"/>
          <w:i/>
          <w:color w:val="000000"/>
          <w:sz w:val="20"/>
          <w:lang w:val="en-US" w:eastAsia="en-US" w:bidi="ar-SA"/>
        </w:rPr>
        <w:t>Hodgkinson v. Simms</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at 406, the Supreme Court of Canada found that fiduciary law is more concerned with the position of the parties that results from the relationship that gives rise to the fiduciary duty (the agreement), rather than with the respective position of the parties before they enter the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[47] In </w:t>
      </w:r>
      <w:r>
        <w:rPr>
          <w:rFonts w:ascii="arial" w:eastAsia="arial" w:hAnsi="arial" w:cs="arial"/>
          <w:i/>
          <w:color w:val="000000"/>
          <w:sz w:val="20"/>
          <w:lang w:val="en-US" w:eastAsia="en-US" w:bidi="ar-SA"/>
        </w:rPr>
        <w:t>Sharbern</w:t>
      </w:r>
      <w:r>
        <w:rPr>
          <w:rFonts w:ascii="arial" w:eastAsia="arial" w:hAnsi="arial" w:cs="arial"/>
          <w:color w:val="000000"/>
          <w:sz w:val="20"/>
          <w:lang w:val="en-US" w:eastAsia="en-US" w:bidi="ar-SA"/>
        </w:rPr>
        <w:t xml:space="preserve"> </w:t>
      </w:r>
      <w:hyperlink r:id="rId363" w:history="1">
        <w:r>
          <w:rPr>
            <w:rFonts w:ascii="arial" w:eastAsia="arial" w:hAnsi="arial" w:cs="arial"/>
            <w:i/>
            <w:color w:val="0077CC"/>
            <w:sz w:val="20"/>
            <w:u w:val="single"/>
            <w:shd w:val="clear" w:color="auto" w:fill="FFFFFF"/>
            <w:lang w:val="en-US" w:eastAsia="en-US" w:bidi="ar-SA"/>
          </w:rPr>
          <w:t>[2005] B.C.J. No. 347</w:t>
        </w:r>
      </w:hyperlink>
      <w:r>
        <w:rPr>
          <w:rFonts w:ascii="arial" w:eastAsia="arial" w:hAnsi="arial" w:cs="arial"/>
          <w:color w:val="000000"/>
          <w:sz w:val="20"/>
          <w:lang w:val="en-US" w:eastAsia="en-US" w:bidi="ar-SA"/>
        </w:rPr>
        <w:t xml:space="preserve">, at para. 85, Wedge J. held that despite issues of trust and fiduciary relationships existing in that action, the restriction of those allegations only to statements in the common documentation relied upon by all class members would permit the certification of the action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Her Ladyship concluded: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 am satisfied the issues of trust and fiduciary relationship are common issues arising from the pleadings. The relationship is alleged to have arisen under the HAMA, an agreement to which all Owners are party. At a minimum, determination of the existence of fiduciary duty as a common issue will assist in narrowing the scope of individual discoveries. More broadly, its determination is necessary to both the successful prosecution of the claim and its defence. As such, its resolution will move the litigation forward significantly.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[48] I conclude, as did Wedge J. in </w:t>
      </w:r>
      <w:r>
        <w:rPr>
          <w:rFonts w:ascii="arial" w:eastAsia="arial" w:hAnsi="arial" w:cs="arial"/>
          <w:i/>
          <w:color w:val="000000"/>
          <w:sz w:val="20"/>
          <w:lang w:val="en-US" w:eastAsia="en-US" w:bidi="ar-SA"/>
        </w:rPr>
        <w:t>Sharbern</w:t>
      </w:r>
      <w:r>
        <w:rPr>
          <w:rFonts w:ascii="arial" w:eastAsia="arial" w:hAnsi="arial" w:cs="arial"/>
          <w:color w:val="000000"/>
          <w:sz w:val="20"/>
          <w:lang w:val="en-US" w:eastAsia="en-US" w:bidi="ar-SA"/>
        </w:rPr>
        <w:t>, that the claim of breach of fiduciary duty in this case, if arising exclusively from the common wording of the various joint venture agreements, will not, if certified, require an assessment of the individual relationships as between the proposed class members and the defendants who are alleged to have breached fiduciary duties. I find that breaches of fiduciary duties are common issues which, if resolved, could move the litigation forward. The question remains whether the class proceeding is the preferable procedure within which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Elms v. Laurentian Bank of Canada</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at paras. 40-45, the Court agreed that where there was no need to consider individual differences in relation to whether or not a fiduciary duty existed, and where the matter could be extrapolated amongst all class members, there was a common issue that could be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this case, the claim of breach of fiduciary duty is advanced on the basis of the shared experience of these temporary foreign workers. A consideration of that issue will involve a review of the relevant contract terms and the circumstances which directly arise from the employment relationship with the defendants and which affect all of them - including the TFWP, the LMOs, the restrictive terms of the work permits and the acknowledged goals of the workers to achieve a more permanent status in Canada. Internal policies of the defendants in relation to these workers, such as the acknowledged policy of the defendants to reduce the hours of these workers before any other type of worker would also be relevant. These factors do not depend on any individual assessment of each and every putative class member.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While the facts in </w:t>
      </w:r>
      <w:r>
        <w:rPr>
          <w:rFonts w:ascii="arial" w:eastAsia="arial" w:hAnsi="arial" w:cs="arial"/>
          <w:i/>
          <w:color w:val="000000"/>
          <w:sz w:val="20"/>
          <w:lang w:val="en-US" w:eastAsia="en-US" w:bidi="ar-SA"/>
        </w:rPr>
        <w:t>Mustaji</w:t>
      </w:r>
      <w:r>
        <w:rPr>
          <w:rFonts w:ascii="arial" w:eastAsia="arial" w:hAnsi="arial" w:cs="arial"/>
          <w:color w:val="000000"/>
          <w:sz w:val="20"/>
          <w:lang w:val="en-US" w:eastAsia="en-US" w:bidi="ar-SA"/>
        </w:rPr>
        <w:t xml:space="preserve"> were extreme in the sense of the degree of control exercised by the employer, the comments of the British Columbia Supreme Court concerning the circumstances of the Foreign Domestic Movement Program (FDMP) have some relevance to the TFWP in this case in terms of assessing vulnerability and dependence in these employment relationships: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36 This case is another paradigmatic example of a situation where the legal incidents of a contract give rise to a fiduciary duty. In the same way that an employee having access to confidential information within a company may, as a legal incident of his employment contract, have imposed upon him or her a fiduciary obligation of confidentiality and trust with respect to the company's trade secrets, the defendants here assumed certain fiduciary obligations toward the plaintiff incidental to their employment contract with her by virtue of the provisions and requirements of the FDMP.</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37 The continuing validity of the plaintiff's work permit depended upon her maintaining employment exclusively as a domestic worker with the defendants and continuing to reside in their home. Her occupational and physical mobility was severely restricted under the terms of the FDMP. These requirements contributed significantly to the plaintiff's vulnerability and vested significant power in the hands of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38 A principal benefit of the FDMP, from the perspective of the worker, is the ability to ultimately obtain landed immigrant status in Canada. An application for such a status could be made under the FDMP after the domestic worker had worked in Canada for two years. To obtain the status, the foreign domestic worker had to meet certain program requirements, one of which was the achievement of a proscribed level of social adaptation.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The requirements of the FDMP, superimposed upon the parties' contractual relationship, placed the plaintiff in a position of vulnerability and dependence vis-a-vis the defendants, and conferred upon the defendants significant power and discretion over the plaintiff's legal and practical interests. It is in the exercise of that power and discretion, both in respect of matters covered by their employment contract with the plaintiff and in other matters, which imposed fiduciary obligations on the defendants.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By withholding wages, requiring the plaintiff to work excessive amounts of unpaid overtime, and by threatening to return the plaintiff to Indonesia, the defendants can be said to have used their power over the plaintiff to promote their interests in the employment relationship in a manner that conflicted with their overriding duty not to take advantage of her vulnerability. While most employees could simply have exercised their right to withdraw their labour in the face of unreasonable demands from their employer by resigning their employment, the plaintiff could not do so without jeopardizing her broader interests beyond the employment relationship. As the plaintiff could not reasonably have been expected to have protected her own interests in these circum-stances, equity imposes on the defendants an obligation not to abuse their contractual rights to the detriment of the plaintiff. These same allegations can also be characterized as instances of the defendants profiting at the expense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Finally, by withholding wages, depriving the plaintiff of reasonable time off work, insisting she have no recreational or social life, and depriving her of contact with others, in person or by telephone, the defendants can be said to have breached the trust vested in them by the plaintiff that they would not act in a manner nor exercise their contractual rights in a manner that would adversely affect the plaintiff's ability to qualify for landing under the FDMP. By engaging in the conduct alleged, the defendants effectively deprived the plaintiff of the opportunity to fulfil the social adaptation requirements of the FDMP, potentially threatening her legal and practical interests under the FDMP.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Accordingly, I conclude that the issues relating to breach of fiduciary duty are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(iv)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Dominguez also asserts that there are common issues under the claims relating to unjust enrichment. The proposed common issues are firstly, whether the defendants have been enriched by failing to pay for the requisite hours per week, by failing to pay for all hours worked and by failing to reimburse the employees for the agency fees and the airfare and secondly, if there was enrichment, was there a corresponding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the proposed common issues of Ms. Dominguez, there is no reference to a determination as to whether or not there was juristic reason for the enrichment. I am going to assume that this was simply an oversight on counsel's part given that the Notice of Civil Claim does plead that no juristic reason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Ms. Dominguez cites various authorities in support.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Halvorson</w:t>
      </w:r>
      <w:r>
        <w:rPr>
          <w:rFonts w:ascii="arial" w:eastAsia="arial" w:hAnsi="arial" w:cs="arial"/>
          <w:color w:val="000000"/>
          <w:sz w:val="20"/>
          <w:lang w:val="en-US" w:eastAsia="en-US" w:bidi="ar-SA"/>
        </w:rPr>
        <w:t xml:space="preserve"> at para. 30, following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xml:space="preserve">, the British Columbia Court of Appeal indicated that a claim for unjust enrichment may be determined as a common issue. see also </w:t>
      </w:r>
      <w:r>
        <w:rPr>
          <w:rFonts w:ascii="arial" w:eastAsia="arial" w:hAnsi="arial" w:cs="arial"/>
          <w:i/>
          <w:color w:val="000000"/>
          <w:sz w:val="20"/>
          <w:lang w:val="en-US" w:eastAsia="en-US" w:bidi="ar-SA"/>
        </w:rPr>
        <w:t>Alberta</w:t>
      </w:r>
      <w:r>
        <w:rPr>
          <w:rFonts w:ascii="arial" w:eastAsia="arial" w:hAnsi="arial" w:cs="arial"/>
          <w:color w:val="000000"/>
          <w:sz w:val="20"/>
          <w:lang w:val="en-US" w:eastAsia="en-US" w:bidi="ar-SA"/>
        </w:rPr>
        <w:t xml:space="preserve"> at paras. 82-96.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Bodnar v. The Cash Store Inc.</w:t>
      </w:r>
      <w:r>
        <w:rPr>
          <w:rFonts w:ascii="arial" w:eastAsia="arial" w:hAnsi="arial" w:cs="arial"/>
          <w:color w:val="000000"/>
          <w:sz w:val="20"/>
          <w:lang w:val="en-US" w:eastAsia="en-US" w:bidi="ar-SA"/>
        </w:rPr>
        <w:t xml:space="preserve">, </w:t>
      </w:r>
      <w:hyperlink r:id="rId365" w:history="1">
        <w:r>
          <w:rPr>
            <w:rFonts w:ascii="arial" w:eastAsia="arial" w:hAnsi="arial" w:cs="arial"/>
            <w:i/>
            <w:color w:val="0077CC"/>
            <w:sz w:val="20"/>
            <w:u w:val="single"/>
            <w:shd w:val="clear" w:color="auto" w:fill="FFFFFF"/>
            <w:lang w:val="en-US" w:eastAsia="en-US" w:bidi="ar-SA"/>
          </w:rPr>
          <w:t>2005 BCSC 1228</w:t>
        </w:r>
      </w:hyperlink>
      <w:r>
        <w:rPr>
          <w:rFonts w:ascii="arial" w:eastAsia="arial" w:hAnsi="arial" w:cs="arial"/>
          <w:color w:val="000000"/>
          <w:sz w:val="20"/>
          <w:lang w:val="en-US" w:eastAsia="en-US" w:bidi="ar-SA"/>
        </w:rPr>
        <w:t xml:space="preserve">, aff'd </w:t>
      </w:r>
      <w:hyperlink r:id="rId366" w:history="1">
        <w:r>
          <w:rPr>
            <w:rFonts w:ascii="arial" w:eastAsia="arial" w:hAnsi="arial" w:cs="arial"/>
            <w:i/>
            <w:color w:val="0077CC"/>
            <w:sz w:val="20"/>
            <w:u w:val="single"/>
            <w:shd w:val="clear" w:color="auto" w:fill="FFFFFF"/>
            <w:lang w:val="en-US" w:eastAsia="en-US" w:bidi="ar-SA"/>
          </w:rPr>
          <w:t>2006 BCCA 260</w:t>
        </w:r>
      </w:hyperlink>
      <w:r>
        <w:rPr>
          <w:rFonts w:ascii="arial" w:eastAsia="arial" w:hAnsi="arial" w:cs="arial"/>
          <w:color w:val="000000"/>
          <w:sz w:val="20"/>
          <w:lang w:val="en-US" w:eastAsia="en-US" w:bidi="ar-SA"/>
        </w:rPr>
        <w:t>, the Court certified a class action based on unjust enrichment where the class members asserted that the interest charged on payday loans was at a criminal interest rate and was therefore unlawful. On appeal, the defendants challenged the certification of the unjust enrichment issues. They argued that the Court must necessarily consider the individual circumstances and that therefore, there were no common issues. The Court of Appeal upheld the finding of the chambers judge: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[15] The appellants also challenge the unjust enrichment issues certified by the Chambers judge on the ground that they require the court to consider circumstances of individual transactions. The test for claims of unjust enrichment laid down by the Supreme Court of Canada in </w:t>
      </w:r>
      <w:r>
        <w:rPr>
          <w:rFonts w:ascii="arial" w:eastAsia="arial" w:hAnsi="arial" w:cs="arial"/>
          <w:i/>
          <w:color w:val="000000"/>
          <w:sz w:val="20"/>
          <w:lang w:val="en-US" w:eastAsia="en-US" w:bidi="ar-SA"/>
        </w:rPr>
        <w:t>Peter v. Beblow,</w:t>
      </w:r>
      <w:r>
        <w:rPr>
          <w:rFonts w:ascii="arial" w:eastAsia="arial" w:hAnsi="arial" w:cs="arial"/>
          <w:color w:val="000000"/>
          <w:sz w:val="20"/>
          <w:lang w:val="en-US" w:eastAsia="en-US" w:bidi="ar-SA"/>
        </w:rPr>
        <w:t xml:space="preserve"> </w:t>
      </w:r>
      <w:hyperlink r:id="rId367" w:history="1">
        <w:r>
          <w:rPr>
            <w:rFonts w:ascii="arial" w:eastAsia="arial" w:hAnsi="arial" w:cs="arial"/>
            <w:i/>
            <w:color w:val="0077CC"/>
            <w:sz w:val="20"/>
            <w:u w:val="single"/>
            <w:shd w:val="clear" w:color="auto" w:fill="FFFFFF"/>
            <w:lang w:val="en-US" w:eastAsia="en-US" w:bidi="ar-SA"/>
          </w:rPr>
          <w:t>[1993] 1 S.C.R. 980</w:t>
        </w:r>
      </w:hyperlink>
      <w:r>
        <w:rPr>
          <w:rFonts w:ascii="arial" w:eastAsia="arial" w:hAnsi="arial" w:cs="arial"/>
          <w:color w:val="000000"/>
          <w:sz w:val="20"/>
          <w:lang w:val="en-US" w:eastAsia="en-US" w:bidi="ar-SA"/>
        </w:rPr>
        <w:t xml:space="preserve"> at paras. 6 to 9, in addition to the enrichment of the defendant and the corresponding deprivation of the plaintiff, requires an absence of juristic reason for the enrichment. The appellants argue that this third element requires individualized assessment and the unjust enrichment issues as certified cannot be determined as common issues; they rely on the two-stage analysis for juristic reason set out in </w:t>
      </w:r>
      <w:r>
        <w:rPr>
          <w:rFonts w:ascii="arial" w:eastAsia="arial" w:hAnsi="arial" w:cs="arial"/>
          <w:i/>
          <w:color w:val="000000"/>
          <w:sz w:val="20"/>
          <w:lang w:val="en-US" w:eastAsia="en-US" w:bidi="ar-SA"/>
        </w:rPr>
        <w:t>Garland v. Consumers' Gas Co.</w:t>
      </w:r>
      <w:r>
        <w:rPr>
          <w:rFonts w:ascii="arial" w:eastAsia="arial" w:hAnsi="arial" w:cs="arial"/>
          <w:color w:val="000000"/>
          <w:sz w:val="20"/>
          <w:lang w:val="en-US" w:eastAsia="en-US" w:bidi="ar-SA"/>
        </w:rPr>
        <w:t xml:space="preserve"> </w:t>
      </w:r>
      <w:hyperlink r:id="rId312" w:history="1">
        <w:r>
          <w:rPr>
            <w:rFonts w:ascii="arial" w:eastAsia="arial" w:hAnsi="arial" w:cs="arial"/>
            <w:i/>
            <w:color w:val="0077CC"/>
            <w:sz w:val="20"/>
            <w:u w:val="single"/>
            <w:shd w:val="clear" w:color="auto" w:fill="FFFFFF"/>
            <w:lang w:val="en-US" w:eastAsia="en-US" w:bidi="ar-SA"/>
          </w:rPr>
          <w:t>[2004] 1 S.C.R. 629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Garland No. 2</w:t>
      </w:r>
      <w:r>
        <w:rPr>
          <w:rFonts w:ascii="arial" w:eastAsia="arial" w:hAnsi="arial" w:cs="arial"/>
          <w:color w:val="000000"/>
          <w:sz w:val="20"/>
          <w:lang w:val="en-US" w:eastAsia="en-US" w:bidi="ar-SA"/>
        </w:rPr>
        <w:t xml:space="preserve">). If at the first stage of this analysis the plaintiff shows that there is no established category of juristic reason to deny recovery, the </w:t>
      </w:r>
      <w:r>
        <w:rPr>
          <w:rFonts w:ascii="arial" w:eastAsia="arial" w:hAnsi="arial" w:cs="arial"/>
          <w:i/>
          <w:color w:val="000000"/>
          <w:sz w:val="20"/>
          <w:lang w:val="en-US" w:eastAsia="en-US" w:bidi="ar-SA"/>
        </w:rPr>
        <w:t>de facto</w:t>
      </w:r>
      <w:r>
        <w:rPr>
          <w:rFonts w:ascii="arial" w:eastAsia="arial" w:hAnsi="arial" w:cs="arial"/>
          <w:color w:val="000000"/>
          <w:sz w:val="20"/>
          <w:lang w:val="en-US" w:eastAsia="en-US" w:bidi="ar-SA"/>
        </w:rPr>
        <w:t xml:space="preserve"> burden moves to the defendant at the second stage to show that "all of the circumstances of the transaction" provide a reason to deny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[16] The appellants submit that this allows them to explore the circumstances and test the knowledge of each individual plaintiff. They rely on </w:t>
      </w:r>
      <w:r>
        <w:rPr>
          <w:rFonts w:ascii="arial" w:eastAsia="arial" w:hAnsi="arial" w:cs="arial"/>
          <w:i/>
          <w:color w:val="000000"/>
          <w:sz w:val="20"/>
          <w:lang w:val="en-US" w:eastAsia="en-US" w:bidi="ar-SA"/>
        </w:rPr>
        <w:t>Bon Street Developments Ltd. v. Terracan Capital Corp.</w:t>
      </w:r>
      <w:r>
        <w:rPr>
          <w:rFonts w:ascii="arial" w:eastAsia="arial" w:hAnsi="arial" w:cs="arial"/>
          <w:color w:val="000000"/>
          <w:sz w:val="20"/>
          <w:lang w:val="en-US" w:eastAsia="en-US" w:bidi="ar-SA"/>
        </w:rPr>
        <w:t xml:space="preserve"> </w:t>
      </w:r>
      <w:hyperlink r:id="rId368" w:history="1">
        <w:r>
          <w:rPr>
            <w:rFonts w:ascii="arial" w:eastAsia="arial" w:hAnsi="arial" w:cs="arial"/>
            <w:i/>
            <w:color w:val="0077CC"/>
            <w:sz w:val="20"/>
            <w:u w:val="single"/>
            <w:shd w:val="clear" w:color="auto" w:fill="FFFFFF"/>
            <w:lang w:val="en-US" w:eastAsia="en-US" w:bidi="ar-SA"/>
          </w:rPr>
          <w:t>(1992), 76 B.C.L.R. (2d) 90</w:t>
        </w:r>
      </w:hyperlink>
      <w:r>
        <w:rPr>
          <w:rFonts w:ascii="arial" w:eastAsia="arial" w:hAnsi="arial" w:cs="arial"/>
          <w:color w:val="000000"/>
          <w:sz w:val="20"/>
          <w:lang w:val="en-US" w:eastAsia="en-US" w:bidi="ar-SA"/>
        </w:rPr>
        <w:t xml:space="preserve"> (S.C.). In rejecting that argument the Chambers judge relied on the proposition stated in </w:t>
      </w:r>
      <w:r>
        <w:rPr>
          <w:rFonts w:ascii="arial" w:eastAsia="arial" w:hAnsi="arial" w:cs="arial"/>
          <w:i/>
          <w:color w:val="000000"/>
          <w:sz w:val="20"/>
          <w:lang w:val="en-US" w:eastAsia="en-US" w:bidi="ar-SA"/>
        </w:rPr>
        <w:t>Garland No. 2</w:t>
      </w:r>
      <w:r>
        <w:rPr>
          <w:rFonts w:ascii="arial" w:eastAsia="arial" w:hAnsi="arial" w:cs="arial"/>
          <w:color w:val="000000"/>
          <w:sz w:val="20"/>
          <w:lang w:val="en-US" w:eastAsia="en-US" w:bidi="ar-SA"/>
        </w:rPr>
        <w:t xml:space="preserve"> at para. 65: "Where a defendant has obtained the enrichment through some wrongdoing of his own, he cannot then assert that it would be unjust to return the enrichment to the plaintiff." She also relied on the judgment of this Court in </w:t>
      </w:r>
      <w:r>
        <w:rPr>
          <w:rFonts w:ascii="arial" w:eastAsia="arial" w:hAnsi="arial" w:cs="arial"/>
          <w:i/>
          <w:color w:val="000000"/>
          <w:sz w:val="20"/>
          <w:lang w:val="en-US" w:eastAsia="en-US" w:bidi="ar-SA"/>
        </w:rPr>
        <w:t>Elms v. Laurentian Bank of Canada</w:t>
      </w:r>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(2001), 90 B.C.L.R. (3d) 195</w:t>
        </w:r>
      </w:hyperlink>
      <w:r>
        <w:rPr>
          <w:rFonts w:ascii="arial" w:eastAsia="arial" w:hAnsi="arial" w:cs="arial"/>
          <w:color w:val="000000"/>
          <w:sz w:val="20"/>
          <w:lang w:val="en-US" w:eastAsia="en-US" w:bidi="ar-SA"/>
        </w:rPr>
        <w:t xml:space="preserve">, </w:t>
      </w:r>
      <w:hyperlink r:id="rId364" w:history="1">
        <w:r>
          <w:rPr>
            <w:rFonts w:ascii="arial" w:eastAsia="arial" w:hAnsi="arial" w:cs="arial"/>
            <w:i/>
            <w:color w:val="0077CC"/>
            <w:sz w:val="20"/>
            <w:u w:val="single"/>
            <w:shd w:val="clear" w:color="auto" w:fill="FFFFFF"/>
            <w:lang w:val="en-US" w:eastAsia="en-US" w:bidi="ar-SA"/>
          </w:rPr>
          <w:t>2001 BCCA 429</w:t>
        </w:r>
      </w:hyperlink>
      <w:r>
        <w:rPr>
          <w:rFonts w:ascii="arial" w:eastAsia="arial" w:hAnsi="arial" w:cs="arial"/>
          <w:color w:val="000000"/>
          <w:sz w:val="20"/>
          <w:lang w:val="en-US" w:eastAsia="en-US" w:bidi="ar-SA"/>
        </w:rPr>
        <w:t xml:space="preserve"> at para. 44 as authority that the absence of juristic reason can be determined on a group basis.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w:t>
      </w:r>
      <w:r>
        <w:rPr>
          <w:rFonts w:ascii="arial" w:eastAsia="arial" w:hAnsi="arial" w:cs="arial"/>
          <w:i/>
          <w:color w:val="000000"/>
          <w:sz w:val="20"/>
          <w:lang w:val="en-US" w:eastAsia="en-US" w:bidi="ar-SA"/>
        </w:rPr>
        <w:t>Bon Street</w:t>
      </w:r>
      <w:r>
        <w:rPr>
          <w:rFonts w:ascii="arial" w:eastAsia="arial" w:hAnsi="arial" w:cs="arial"/>
          <w:color w:val="000000"/>
          <w:sz w:val="20"/>
          <w:lang w:val="en-US" w:eastAsia="en-US" w:bidi="ar-SA"/>
        </w:rPr>
        <w:t xml:space="preserve"> involved a negotiated agreement by sophisticated borrowers with legal advice. The borrowers failed to recover the interest paid, conceded to be at an illegal rate, on a balancing of the equities between the parties. Here there were standard terms and small borrowers. In that context, I do not think there was any error in the Chambers judge's conclusion that the question of juristic reason did not require individual assessment. The respondents' claims will all stand or fall on the general effect of illegality, assuming they succeed in establishing a breach of the </w:t>
      </w:r>
      <w:r>
        <w:rPr>
          <w:rFonts w:ascii="arial" w:eastAsia="arial" w:hAnsi="arial" w:cs="arial"/>
          <w:i/>
          <w:color w:val="000000"/>
          <w:sz w:val="20"/>
          <w:lang w:val="en-US" w:eastAsia="en-US" w:bidi="ar-SA"/>
        </w:rPr>
        <w:t>Code</w:t>
      </w:r>
      <w:r>
        <w:rPr>
          <w:rFonts w:ascii="arial" w:eastAsia="arial" w:hAnsi="arial" w:cs="arial"/>
          <w:color w:val="000000"/>
          <w:sz w:val="20"/>
          <w:lang w:val="en-US" w:eastAsia="en-US" w:bidi="ar-SA"/>
        </w:rPr>
        <w:t xml:space="preserve"> or the </w:t>
      </w:r>
      <w:r>
        <w:rPr>
          <w:rFonts w:ascii="arial" w:eastAsia="arial" w:hAnsi="arial" w:cs="arial"/>
          <w:i/>
          <w:color w:val="000000"/>
          <w:sz w:val="20"/>
          <w:lang w:val="en-US" w:eastAsia="en-US" w:bidi="ar-SA"/>
        </w:rPr>
        <w:t>TPA</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The judicial discretion and spectrum of remedies recognized for s. 347 claims in </w:t>
      </w:r>
      <w:r>
        <w:rPr>
          <w:rFonts w:ascii="arial" w:eastAsia="arial" w:hAnsi="arial" w:cs="arial"/>
          <w:i/>
          <w:color w:val="000000"/>
          <w:sz w:val="20"/>
          <w:lang w:val="en-US" w:eastAsia="en-US" w:bidi="ar-SA"/>
        </w:rPr>
        <w:t>Transport North American Express Inc. v. New Solutions Financial Corp.</w:t>
      </w:r>
      <w:r>
        <w:rPr>
          <w:rFonts w:ascii="arial" w:eastAsia="arial" w:hAnsi="arial" w:cs="arial"/>
          <w:color w:val="000000"/>
          <w:sz w:val="20"/>
          <w:lang w:val="en-US" w:eastAsia="en-US" w:bidi="ar-SA"/>
        </w:rPr>
        <w:t xml:space="preserve">, </w:t>
      </w:r>
      <w:hyperlink r:id="rId369" w:history="1">
        <w:r>
          <w:rPr>
            <w:rFonts w:ascii="arial" w:eastAsia="arial" w:hAnsi="arial" w:cs="arial"/>
            <w:i/>
            <w:color w:val="0077CC"/>
            <w:sz w:val="20"/>
            <w:u w:val="single"/>
            <w:shd w:val="clear" w:color="auto" w:fill="FFFFFF"/>
            <w:lang w:val="en-US" w:eastAsia="en-US" w:bidi="ar-SA"/>
          </w:rPr>
          <w:t>[2004] 1 S.C.R. 249</w:t>
        </w:r>
      </w:hyperlink>
      <w:r>
        <w:rPr>
          <w:rFonts w:ascii="arial" w:eastAsia="arial" w:hAnsi="arial" w:cs="arial"/>
          <w:color w:val="000000"/>
          <w:sz w:val="20"/>
          <w:lang w:val="en-US" w:eastAsia="en-US" w:bidi="ar-SA"/>
        </w:rPr>
        <w:t>, should be capable of determination on a common basis for these standard form transactions.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xml:space="preserve">  I adopt the reasoning in </w:t>
      </w:r>
      <w:r>
        <w:rPr>
          <w:rFonts w:ascii="arial" w:eastAsia="arial" w:hAnsi="arial" w:cs="arial"/>
          <w:i/>
          <w:color w:val="000000"/>
          <w:sz w:val="20"/>
          <w:lang w:val="en-US" w:eastAsia="en-US" w:bidi="ar-SA"/>
        </w:rPr>
        <w:t>Bodnar</w:t>
      </w:r>
      <w:r>
        <w:rPr>
          <w:rFonts w:ascii="arial" w:eastAsia="arial" w:hAnsi="arial" w:cs="arial"/>
          <w:color w:val="000000"/>
          <w:sz w:val="20"/>
          <w:lang w:val="en-US" w:eastAsia="en-US" w:bidi="ar-SA"/>
        </w:rPr>
        <w:t xml:space="preserve"> and also find that in this case, it is possible to determine all elements of the unjust enrichment claim on a group basis. I also note that claims of unjust enrichment arising from allegations that union dues were improperly paid were certified in </w:t>
      </w:r>
      <w:r>
        <w:rPr>
          <w:rFonts w:ascii="arial" w:eastAsia="arial" w:hAnsi="arial" w:cs="arial"/>
          <w:i/>
          <w:color w:val="000000"/>
          <w:sz w:val="20"/>
          <w:lang w:val="en-US" w:eastAsia="en-US" w:bidi="ar-SA"/>
        </w:rPr>
        <w:t>Vasquez</w:t>
      </w:r>
      <w:r>
        <w:rPr>
          <w:rFonts w:ascii="arial" w:eastAsia="arial" w:hAnsi="arial" w:cs="arial"/>
          <w:color w:val="000000"/>
          <w:sz w:val="20"/>
          <w:lang w:val="en-US" w:eastAsia="en-US" w:bidi="ar-SA"/>
        </w:rPr>
        <w:t xml:space="preserve"> at para.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I conclude that the claims of unjust enrichment are common issues with the proviso that a further question be added under E(f)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the answer to any of E(e) above is "yes", is there any juristic reason for the enrichment?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Systemic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Flowing from the allegations under the contract issues regarding systemic breaches, Ms. Dominguez proposes certain common issues relating to whether the defendants had a duty to monitor and accurately record hours worked by the putative class members to ensure that they were compensated and to implement and maintain an effective and reasonable system, procedure and practice to ensure that these duties were satisfied. She says that this was attributable to systemic conditions, as opposed to individual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Again, I accept that Ms. Dominguez has satisfied the low evidentiary burden to suggest that hours were not recorded properly and even if recorded, overtime was not paid. She and other putative class members have given their own evidence in that regard, including Ms. Reyes relaying the comment from a management employee of the defendants that "we don't pay overtime here". In addition, I note the determination of the Director of Employment Standards dated June 17, 2011 regarding the nonpayment of overtime of various employees, including at least one putative class member, despite earlier admonitions from the Branch some months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As earlier discussed in these reasons, there is ample authority in the case law to support certification of common issues where there are systemic breaches: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Quizno's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Cloud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W.W. v. Canada (Attorney General)</w:t>
      </w:r>
      <w:r>
        <w:rPr>
          <w:rFonts w:ascii="arial" w:eastAsia="arial" w:hAnsi="arial" w:cs="arial"/>
          <w:color w:val="000000"/>
          <w:sz w:val="20"/>
          <w:lang w:val="en-US" w:eastAsia="en-US" w:bidi="ar-SA"/>
        </w:rPr>
        <w:t xml:space="preserve">, </w:t>
      </w:r>
      <w:hyperlink r:id="rId370" w:history="1">
        <w:r>
          <w:rPr>
            <w:rFonts w:ascii="arial" w:eastAsia="arial" w:hAnsi="arial" w:cs="arial"/>
            <w:i/>
            <w:color w:val="0077CC"/>
            <w:sz w:val="20"/>
            <w:u w:val="single"/>
            <w:shd w:val="clear" w:color="auto" w:fill="FFFFFF"/>
            <w:lang w:val="en-US" w:eastAsia="en-US" w:bidi="ar-SA"/>
          </w:rPr>
          <w:t>2002 BCSC 1164</w:t>
        </w:r>
      </w:hyperlink>
      <w:r>
        <w:rPr>
          <w:rFonts w:ascii="arial" w:eastAsia="arial" w:hAnsi="arial" w:cs="arial"/>
          <w:color w:val="000000"/>
          <w:sz w:val="20"/>
          <w:lang w:val="en-US" w:eastAsia="en-US" w:bidi="ar-SA"/>
        </w:rPr>
        <w:t xml:space="preserve">, aff'd </w:t>
      </w:r>
      <w:hyperlink r:id="rId371" w:history="1">
        <w:r>
          <w:rPr>
            <w:rFonts w:ascii="arial" w:eastAsia="arial" w:hAnsi="arial" w:cs="arial"/>
            <w:i/>
            <w:color w:val="0077CC"/>
            <w:sz w:val="20"/>
            <w:u w:val="single"/>
            <w:shd w:val="clear" w:color="auto" w:fill="FFFFFF"/>
            <w:lang w:val="en-US" w:eastAsia="en-US" w:bidi="ar-SA"/>
          </w:rPr>
          <w:t>2003 BCCA 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The defendants cite </w:t>
      </w:r>
      <w:r>
        <w:rPr>
          <w:rFonts w:ascii="arial" w:eastAsia="arial" w:hAnsi="arial" w:cs="arial"/>
          <w:i/>
          <w:color w:val="000000"/>
          <w:sz w:val="20"/>
          <w:lang w:val="en-US" w:eastAsia="en-US" w:bidi="ar-SA"/>
        </w:rPr>
        <w:t>L. (T.) v. Alberta (Director of Child Welfare)</w:t>
      </w:r>
      <w:r>
        <w:rPr>
          <w:rFonts w:ascii="arial" w:eastAsia="arial" w:hAnsi="arial" w:cs="arial"/>
          <w:color w:val="000000"/>
          <w:sz w:val="20"/>
          <w:lang w:val="en-US" w:eastAsia="en-US" w:bidi="ar-SA"/>
        </w:rPr>
        <w:t xml:space="preserve">, </w:t>
      </w:r>
      <w:hyperlink r:id="rId372" w:history="1">
        <w:r>
          <w:rPr>
            <w:rFonts w:ascii="arial" w:eastAsia="arial" w:hAnsi="arial" w:cs="arial"/>
            <w:i/>
            <w:color w:val="0077CC"/>
            <w:sz w:val="20"/>
            <w:u w:val="single"/>
            <w:shd w:val="clear" w:color="auto" w:fill="FFFFFF"/>
            <w:lang w:val="en-US" w:eastAsia="en-US" w:bidi="ar-SA"/>
          </w:rPr>
          <w:t>2006 ABQB 104</w:t>
        </w:r>
      </w:hyperlink>
      <w:r>
        <w:rPr>
          <w:rFonts w:ascii="arial" w:eastAsia="arial" w:hAnsi="arial" w:cs="arial"/>
          <w:color w:val="000000"/>
          <w:sz w:val="20"/>
          <w:lang w:val="en-US" w:eastAsia="en-US" w:bidi="ar-SA"/>
        </w:rPr>
        <w:t>, in support of their contention that just saying that there are "systemic defects" does not necessarily lead to the conclusion that there are common issues. In that case, the Alberta Court was asked to certify an action against a child welfare agency for not prosecuting actions against tortfeasors on behalf of minors under its care. The proposed common issue was whether the defendant breached its duty to sue by reason of failing to take reasonable measures in its operations and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At paras. 97-109, the Court discussed the issues and stated at para. 103 that the systemic breach issues should not be stated so generally that the answer to the systemic breach issue is unlikely to be of much practical assistance. The Court also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[109] ... a significant amount of divergence is possible within the class. In some cases it will be possible to certify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common issue. But the more divergent the class, and the more varied the circumstances giving rise to the alleged breach of duty, the less likely it will be that a workable systemic breach common issue will be possible. In this case the class is very divergent. The individual breaches of duty alleged raise polycentric and individual considerations that go far beyond the generalized "policies and operations" of the Defendant. In this case "breach of the standard of care" is essentially an individual issue that must be decided in the second phase of the proceedings, and attempting to frame it as an issue of "systemic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is really an attempt to bootleg individual issues as a common issue. The appearance of commonality is an artificial result of the generality of the question. The proposed systemic breach common issue is not fair or workable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xml:space="preserve">  Nevertheless, I am satisfied in this case that the focus of the common issue here - whether the defendants had the duty to record hours accurately to ensure proper compensation and maintain a system to do so - is specific enough such that the answer to the question will advance the litigation. Unlike the situation in </w:t>
      </w:r>
      <w:r>
        <w:rPr>
          <w:rFonts w:ascii="arial" w:eastAsia="arial" w:hAnsi="arial" w:cs="arial"/>
          <w:i/>
          <w:color w:val="000000"/>
          <w:sz w:val="20"/>
          <w:lang w:val="en-US" w:eastAsia="en-US" w:bidi="ar-SA"/>
        </w:rPr>
        <w:t>L. (T.)</w:t>
      </w:r>
      <w:r>
        <w:rPr>
          <w:rFonts w:ascii="arial" w:eastAsia="arial" w:hAnsi="arial" w:cs="arial"/>
          <w:color w:val="000000"/>
          <w:sz w:val="20"/>
          <w:lang w:val="en-US" w:eastAsia="en-US" w:bidi="ar-SA"/>
        </w:rPr>
        <w:t>, this is not a case where there is great divergence within the class. All of the temporary foreign workers could arguably have expected that the defendants would properly record time and that systems would be maintained for that purpose. The existence of these systems and the conduct of the defendants go to the very root of the issue - i.e. whether the class members were properly compensated under the terms of their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The focus of the enquiry will be on the defendants, not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my view, this approach is consistent with that taken by the Court in </w:t>
      </w:r>
      <w:r>
        <w:rPr>
          <w:rFonts w:ascii="arial" w:eastAsia="arial" w:hAnsi="arial" w:cs="arial"/>
          <w:i/>
          <w:color w:val="000000"/>
          <w:sz w:val="20"/>
          <w:lang w:val="en-US" w:eastAsia="en-US" w:bidi="ar-SA"/>
        </w:rPr>
        <w:t>Quizno's</w:t>
      </w:r>
      <w:r>
        <w:rPr>
          <w:rFonts w:ascii="arial" w:eastAsia="arial" w:hAnsi="arial" w:cs="arial"/>
          <w:color w:val="000000"/>
          <w:sz w:val="20"/>
          <w:lang w:val="en-US" w:eastAsia="en-US" w:bidi="ar-SA"/>
        </w:rPr>
        <w:t>, where the Ontario Divisional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[141] In this case, with respect to the Quizno's respondents, declaratory relief in relation to breach of the </w:t>
      </w:r>
      <w:r>
        <w:rPr>
          <w:rFonts w:ascii="arial" w:eastAsia="arial" w:hAnsi="arial" w:cs="arial"/>
          <w:i/>
          <w:color w:val="000000"/>
          <w:sz w:val="20"/>
          <w:lang w:val="en-US" w:eastAsia="en-US" w:bidi="ar-SA"/>
        </w:rPr>
        <w:t>Competition Act</w:t>
      </w:r>
      <w:r>
        <w:rPr>
          <w:rFonts w:ascii="arial" w:eastAsia="arial" w:hAnsi="arial" w:cs="arial"/>
          <w:color w:val="000000"/>
          <w:sz w:val="20"/>
          <w:lang w:val="en-US" w:eastAsia="en-US" w:bidi="ar-SA"/>
        </w:rPr>
        <w:t>, liability for breach of contract and, if permitted, breach of the statutory duty of fairness where applicable, would be common issues. Given the systemic nature of the claims, these common issues are central components of the entire litigation even if loss and damages remained as individual issues. In our view, there is no question that resolution of these common issues would substantially advance the litigation against the Quizno's respondents in the context of the overall action. In addition to the legal issues, there are extensive factual commonalities among the class members. Avoidance of duplication of fact-finding and legal analysis would result in judicial economy. This is particularly so given our finding that all the proposed issues are common issues and only the individual assessment of damages may remain as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It is also consistent with the approach of the Court in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at paras. 124, 133-144, where the Court certified an action involving allegations that the defendant had systematically failed to pay overtime to its employees, which was upheld on appeal by the Divisional Court at paras. 100-116.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conclude that the proposed issues relating to systemic defects are proper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(vi) Aggregate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Under the heading of "Remedy and Damages", one of the common issues is that assuming that liability is established, Ms. Dominguez seeks to impose liability on a class-wide basis and that damages be assessed on an aggregate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xml:space="preserve">  Ms. Dominguez relies on ss. 29(1) and 30(1)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Aggregate awards of monetary relief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29(1) The court may make an order for an aggregate monetary award in respect of all or any part of a defendant's liability to class members and may give judgment accordingly if</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monetary relief is claimed on behalf of some or all class members,</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questions of fact or law other than those relating to the assessment of monetary relief remain to be determined in order to establish the amount of the defendant's monetary liability, and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aggregate or a part of the defendant's liability to some or all class members can reasonably be determined without proof by individual class members.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Statistical evidence may be used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30(1) For the purposes of determining issues relating to the amount or distribution of an aggregate monetary award under this Act, the court may admit as evidence statistical information that would not otherwise be admissible as evidence, including information derived from sampling, if the information was compiled in accordance with principles that are generally accepted by experts in the field of statistics.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xml:space="preserve">  The British Columbia Court of Appeal has affirmed the appropriateness of certification of an aggregate monetary award as a common issue: </w:t>
      </w:r>
      <w:r>
        <w:rPr>
          <w:rFonts w:ascii="arial" w:eastAsia="arial" w:hAnsi="arial" w:cs="arial"/>
          <w:i/>
          <w:color w:val="000000"/>
          <w:sz w:val="20"/>
          <w:lang w:val="en-US" w:eastAsia="en-US" w:bidi="ar-SA"/>
        </w:rPr>
        <w:t>Knight v. Imperial Tobacco Canada Ltd.</w:t>
      </w:r>
      <w:r>
        <w:rPr>
          <w:rFonts w:ascii="arial" w:eastAsia="arial" w:hAnsi="arial" w:cs="arial"/>
          <w:color w:val="000000"/>
          <w:sz w:val="20"/>
          <w:lang w:val="en-US" w:eastAsia="en-US" w:bidi="ar-SA"/>
        </w:rPr>
        <w:t xml:space="preserve">, </w:t>
      </w:r>
      <w:hyperlink r:id="rId373" w:history="1">
        <w:r>
          <w:rPr>
            <w:rFonts w:ascii="arial" w:eastAsia="arial" w:hAnsi="arial" w:cs="arial"/>
            <w:i/>
            <w:color w:val="0077CC"/>
            <w:sz w:val="20"/>
            <w:u w:val="single"/>
            <w:shd w:val="clear" w:color="auto" w:fill="FFFFFF"/>
            <w:lang w:val="en-US" w:eastAsia="en-US" w:bidi="ar-SA"/>
          </w:rPr>
          <w:t>2006 BCCA 235</w:t>
        </w:r>
      </w:hyperlink>
      <w:r>
        <w:rPr>
          <w:rFonts w:ascii="arial" w:eastAsia="arial" w:hAnsi="arial" w:cs="arial"/>
          <w:color w:val="000000"/>
          <w:sz w:val="20"/>
          <w:lang w:val="en-US" w:eastAsia="en-US" w:bidi="ar-SA"/>
        </w:rPr>
        <w:t xml:space="preserve"> at paras. 37-41;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xml:space="preserve"> at paras. 35-45; and </w:t>
      </w:r>
      <w:r>
        <w:rPr>
          <w:rFonts w:ascii="arial" w:eastAsia="arial" w:hAnsi="arial" w:cs="arial"/>
          <w:i/>
          <w:color w:val="000000"/>
          <w:sz w:val="20"/>
          <w:lang w:val="en-US" w:eastAsia="en-US" w:bidi="ar-SA"/>
        </w:rPr>
        <w:t>Steele v. Toyota Canada Inc.</w:t>
      </w:r>
      <w:r>
        <w:rPr>
          <w:rFonts w:ascii="arial" w:eastAsia="arial" w:hAnsi="arial" w:cs="arial"/>
          <w:color w:val="000000"/>
          <w:sz w:val="20"/>
          <w:lang w:val="en-US" w:eastAsia="en-US" w:bidi="ar-SA"/>
        </w:rPr>
        <w:t xml:space="preserve">, </w:t>
      </w:r>
      <w:hyperlink r:id="rId374" w:history="1">
        <w:r>
          <w:rPr>
            <w:rFonts w:ascii="arial" w:eastAsia="arial" w:hAnsi="arial" w:cs="arial"/>
            <w:i/>
            <w:color w:val="0077CC"/>
            <w:sz w:val="20"/>
            <w:u w:val="single"/>
            <w:shd w:val="clear" w:color="auto" w:fill="FFFFFF"/>
            <w:lang w:val="en-US" w:eastAsia="en-US" w:bidi="ar-SA"/>
          </w:rPr>
          <w:t>2011 BCCA 98</w:t>
        </w:r>
      </w:hyperlink>
      <w:r>
        <w:rPr>
          <w:rFonts w:ascii="arial" w:eastAsia="arial" w:hAnsi="arial" w:cs="arial"/>
          <w:color w:val="000000"/>
          <w:sz w:val="20"/>
          <w:lang w:val="en-US" w:eastAsia="en-US" w:bidi="ar-SA"/>
        </w:rPr>
        <w:t xml:space="preserve"> at paras. 70-75.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xml:space="preserve">  Ms. Dominguez contends that she has met the requirements of s. 29(1)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Since she has claimed monetary relief, the requirement under s. 29(1)(a) is met. The test under s. 29(1)(b) is met "where potential liability can be established on a class-wide basis, but entitlement to monetary relief may depend on individual assessments": </w:t>
      </w:r>
      <w:r>
        <w:rPr>
          <w:rFonts w:ascii="arial" w:eastAsia="arial" w:hAnsi="arial" w:cs="arial"/>
          <w:i/>
          <w:color w:val="000000"/>
          <w:sz w:val="20"/>
          <w:lang w:val="en-US" w:eastAsia="en-US" w:bidi="ar-SA"/>
        </w:rPr>
        <w:t>Markson v. MBNA Canada Bank</w:t>
      </w:r>
      <w:r>
        <w:rPr>
          <w:rFonts w:ascii="arial" w:eastAsia="arial" w:hAnsi="arial" w:cs="arial"/>
          <w:color w:val="000000"/>
          <w:sz w:val="20"/>
          <w:lang w:val="en-US" w:eastAsia="en-US" w:bidi="ar-SA"/>
        </w:rPr>
        <w:t xml:space="preserve">, </w:t>
      </w:r>
      <w:hyperlink r:id="rId375" w:history="1">
        <w:r>
          <w:rPr>
            <w:rFonts w:ascii="arial" w:eastAsia="arial" w:hAnsi="arial" w:cs="arial"/>
            <w:i/>
            <w:color w:val="0077CC"/>
            <w:sz w:val="20"/>
            <w:u w:val="single"/>
            <w:shd w:val="clear" w:color="auto" w:fill="FFFFFF"/>
            <w:lang w:val="en-US" w:eastAsia="en-US" w:bidi="ar-SA"/>
          </w:rPr>
          <w:t>2007 ONCA 334</w:t>
        </w:r>
      </w:hyperlink>
      <w:r>
        <w:rPr>
          <w:rFonts w:ascii="arial" w:eastAsia="arial" w:hAnsi="arial" w:cs="arial"/>
          <w:color w:val="000000"/>
          <w:sz w:val="20"/>
          <w:lang w:val="en-US" w:eastAsia="en-US" w:bidi="ar-SA"/>
        </w:rPr>
        <w:t xml:space="preserve"> at para. 48, leave to appeal to S.C.C. refused, </w:t>
      </w:r>
      <w:hyperlink r:id="rId376" w:history="1">
        <w:r>
          <w:rPr>
            <w:rFonts w:ascii="arial" w:eastAsia="arial" w:hAnsi="arial" w:cs="arial"/>
            <w:i/>
            <w:color w:val="0077CC"/>
            <w:sz w:val="20"/>
            <w:u w:val="single"/>
            <w:shd w:val="clear" w:color="auto" w:fill="FFFFFF"/>
            <w:lang w:val="en-US" w:eastAsia="en-US" w:bidi="ar-SA"/>
          </w:rPr>
          <w:t>[2007] S.C.C.A. No. 346</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Cassano v. Toronto-Dominion Bank</w:t>
      </w:r>
      <w:r>
        <w:rPr>
          <w:rFonts w:ascii="arial" w:eastAsia="arial" w:hAnsi="arial" w:cs="arial"/>
          <w:color w:val="000000"/>
          <w:sz w:val="20"/>
          <w:lang w:val="en-US" w:eastAsia="en-US" w:bidi="ar-SA"/>
        </w:rPr>
        <w:t xml:space="preserve">, </w:t>
      </w:r>
      <w:hyperlink r:id="rId377" w:history="1">
        <w:r>
          <w:rPr>
            <w:rFonts w:ascii="arial" w:eastAsia="arial" w:hAnsi="arial" w:cs="arial"/>
            <w:i/>
            <w:color w:val="0077CC"/>
            <w:sz w:val="20"/>
            <w:u w:val="single"/>
            <w:shd w:val="clear" w:color="auto" w:fill="FFFFFF"/>
            <w:lang w:val="en-US" w:eastAsia="en-US" w:bidi="ar-SA"/>
          </w:rPr>
          <w:t>2007 ONCA 781</w:t>
        </w:r>
      </w:hyperlink>
      <w:r>
        <w:rPr>
          <w:rFonts w:ascii="arial" w:eastAsia="arial" w:hAnsi="arial" w:cs="arial"/>
          <w:color w:val="000000"/>
          <w:sz w:val="20"/>
          <w:lang w:val="en-US" w:eastAsia="en-US" w:bidi="ar-SA"/>
        </w:rPr>
        <w:t xml:space="preserve"> at para. 47, leave to appeal to S.C.C. refused, </w:t>
      </w:r>
      <w:hyperlink r:id="rId378" w:history="1">
        <w:r>
          <w:rPr>
            <w:rFonts w:ascii="arial" w:eastAsia="arial" w:hAnsi="arial" w:cs="arial"/>
            <w:i/>
            <w:color w:val="0077CC"/>
            <w:sz w:val="20"/>
            <w:u w:val="single"/>
            <w:shd w:val="clear" w:color="auto" w:fill="FFFFFF"/>
            <w:lang w:val="en-US" w:eastAsia="en-US" w:bidi="ar-SA"/>
          </w:rPr>
          <w:t>[2008] S.C.C.A. No. 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xml:space="preserve">  If the defendants are found to have breached the putative class members' contracts of employment (including any duties of good faith and fair dealing) or to have breached fiduciary duties or to have been unjustly enriched, liability for the entire class will have been established and the only remaining issue will be the amount of the monetary relief. Whether that can be done on a class-wide basis or whether individual assessments are required remains to be seen. Nevertheless, the requirement in s. 29(1)(b) is met in either circumstance: </w:t>
      </w:r>
      <w:r>
        <w:rPr>
          <w:rFonts w:ascii="arial" w:eastAsia="arial" w:hAnsi="arial" w:cs="arial"/>
          <w:i/>
          <w:color w:val="000000"/>
          <w:sz w:val="20"/>
          <w:lang w:val="en-US" w:eastAsia="en-US" w:bidi="ar-SA"/>
        </w:rPr>
        <w:t>Cassano</w:t>
      </w:r>
      <w:r>
        <w:rPr>
          <w:rFonts w:ascii="arial" w:eastAsia="arial" w:hAnsi="arial" w:cs="arial"/>
          <w:color w:val="000000"/>
          <w:sz w:val="20"/>
          <w:lang w:val="en-US" w:eastAsia="en-US" w:bidi="ar-SA"/>
        </w:rPr>
        <w:t xml:space="preserve"> at para. 50;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at para. 130 (Ont. Sup. Ct. J. Div. 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xml:space="preserve">  With respect to s. 29(1)(c), Ms. Dominguez intends to pursue an aggregate damage award pursuant to s. 30(1)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Ms. Dominguez has provided an affidavit by a statistician, Professor R. H. Zamar, who has opined that random sampling can be used to obtain an accurate and reliable estimate of the putative class members who worked less than 40 hours per week, worked overtime, paid employment fees and paid their own transportation to British Columbia. Accordingly, Ms. Dominguez believes that there will be a basis for determining the claims of the putative class members without engaging in a detailed examination of each person's employment history and experience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xml:space="preserve">  As the Court said in </w:t>
      </w:r>
      <w:r>
        <w:rPr>
          <w:rFonts w:ascii="arial" w:eastAsia="arial" w:hAnsi="arial" w:cs="arial"/>
          <w:i/>
          <w:color w:val="000000"/>
          <w:sz w:val="20"/>
          <w:lang w:val="en-US" w:eastAsia="en-US" w:bidi="ar-SA"/>
        </w:rPr>
        <w:t>Pro-Sys Consultants Ltd.</w:t>
      </w:r>
      <w:r>
        <w:rPr>
          <w:rFonts w:ascii="arial" w:eastAsia="arial" w:hAnsi="arial" w:cs="arial"/>
          <w:color w:val="000000"/>
          <w:sz w:val="20"/>
          <w:lang w:val="en-US" w:eastAsia="en-US" w:bidi="ar-SA"/>
        </w:rPr>
        <w:t xml:space="preserve"> at paras. 66-68, it is only required that a "credible or plausible methodology" be shown at this time. The Court is not to subject any expert evidence to exacting scrutiny in terms of discerning whether that is the case or not. Here, I have no expert evidence from the defendants to contest the proposition of Professor Zamar. In the circumstances, I conclude that what he proposes is sufficiently credible or plausible such that it is possible to formulate an aggregate damage award on this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It is evident that certain issues may arise about how the calculations of damages, if liability is established, will be made if the statistical evidence is not accepted as a proper methodology. For example, one particular difficulty is that class members were not provided with any receipts regarding their payments of agency fees and air transportation. There may also be issues relating to the recordkeeping of the defendants regarding hours worked and overtime. An aggregate damage award may be considered to be appropriate in this case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It should be noted that with respect to the airfare, the defendants themselves have already implemented a similar system. Where receipts for actual payments are not available, they have offered to pay the average airfare cost for that particular travel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xml:space="preserve">  Ms. Dominguez asserts that the Court must be reluctant, at this stage, to foreclose how she litigates the issue of aggregate damages. That position has support in the comments of the British Columbia Court of Appeal in </w:t>
      </w:r>
      <w:r>
        <w:rPr>
          <w:rFonts w:ascii="arial" w:eastAsia="arial" w:hAnsi="arial" w:cs="arial"/>
          <w:i/>
          <w:color w:val="000000"/>
          <w:sz w:val="20"/>
          <w:lang w:val="en-US" w:eastAsia="en-US" w:bidi="ar-SA"/>
        </w:rPr>
        <w:t>Knight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Although there may be elements of novelty and difficulty with the proposed methodology of damages calculation advanced by the respondent, it seems to me that it is appropriate for this issue to be left to be worked out in the laboratory of the trial court. Then, if and when the issue reaches this Court, we will have the benefit of a full record upon which to assess the appropriateness of any damages award that may be made pursuant to the proposed methodology.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I would be reluctant at this stage of this proceeding to foreclose the respondent from litigating this issue as he proposes before the trial court. Accordingly, I would afford deference to the decision of the learned chambers judge to permit this damages issue to be litigated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xml:space="preserve">  In my view, Ms. Dominguez has met the requirements in s. 29(1)(c)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I conclude that the proposed issues concerning the assessment of damages on a class-wide basis and the aggregate damages are proper common issues that will advance the litigation.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(vii)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xml:space="preserve">  This issue was recently addressed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where the Court certified the claim for punitive damages as a common issue. The Court reviewed the law applicable in British Columbia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[58] The courts in British Columbia endorse a bifurcated approach to punitive damages as a common issue in class action proceedings. The Court of Appeal stated in </w:t>
      </w:r>
      <w:r>
        <w:rPr>
          <w:rFonts w:ascii="arial" w:eastAsia="arial" w:hAnsi="arial" w:cs="arial"/>
          <w:i/>
          <w:color w:val="000000"/>
          <w:sz w:val="20"/>
          <w:lang w:val="en-US" w:eastAsia="en-US" w:bidi="ar-SA"/>
        </w:rPr>
        <w:t>Chalmers</w:t>
      </w:r>
      <w:r>
        <w:rPr>
          <w:rFonts w:ascii="arial" w:eastAsia="arial" w:hAnsi="arial" w:cs="arial"/>
          <w:color w:val="000000"/>
          <w:sz w:val="20"/>
          <w:lang w:val="en-US" w:eastAsia="en-US" w:bidi="ar-SA"/>
        </w:rPr>
        <w:t xml:space="preserve">, </w:t>
      </w:r>
      <w:hyperlink r:id="rId379" w:history="1">
        <w:r>
          <w:rPr>
            <w:rFonts w:ascii="arial" w:eastAsia="arial" w:hAnsi="arial" w:cs="arial"/>
            <w:i/>
            <w:color w:val="0077CC"/>
            <w:sz w:val="20"/>
            <w:u w:val="single"/>
            <w:shd w:val="clear" w:color="auto" w:fill="FFFFFF"/>
            <w:lang w:val="en-US" w:eastAsia="en-US" w:bidi="ar-SA"/>
          </w:rPr>
          <w:t>[2010] B.C.J. No. 2451</w:t>
        </w:r>
      </w:hyperlink>
      <w:r>
        <w:rPr>
          <w:rFonts w:ascii="arial" w:eastAsia="arial" w:hAnsi="arial" w:cs="arial"/>
          <w:color w:val="000000"/>
          <w:sz w:val="20"/>
          <w:lang w:val="en-US" w:eastAsia="en-US" w:bidi="ar-SA"/>
        </w:rPr>
        <w:t>, at para. 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[31] Although the ultimate determination of the entitlement and quantification of punitive damages must be deferred until the conclusion of the individual trials, it does not follow, in my opinion, that no aspect of the claim of punitive damages should be certified as a common issue. It is my view that the question of whether the defendants' conduct was sufficiently reprehensible or high-handed to warrant punishment is capable of being determined as a common issue at the trial in this proceeding where the other common issues will be determined. The focus will be upon the defendants' conduct and there is nothing in this case that will require a consideration of the individual circumstances of the class members in order to determine whether the defendants' conduct is deserving of punishment. The ultimate decision of whether punitive damages should be awarded, and the quantification of them, can be tried as a common issue following the completion of the individual trials.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[59] At para. 35, the court formulated the questions as follows: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or both of the Defendants breached a duty of care owed to class members, was either or both of the Defendants guilty of conduct that justifies punishment?</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common issue 7(c) is "yes" and if the aggregate compensatory damages awarded to class members does not achieve the objectives of retribution, deterrence and denunciation in respect of such conduct, what amount of punitive damages is awarded against either or both of the Defendants?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[60] I am satisfied, based on the court's comments in </w:t>
      </w:r>
      <w:r>
        <w:rPr>
          <w:rFonts w:ascii="arial" w:eastAsia="arial" w:hAnsi="arial" w:cs="arial"/>
          <w:i/>
          <w:color w:val="000000"/>
          <w:sz w:val="20"/>
          <w:lang w:val="en-US" w:eastAsia="en-US" w:bidi="ar-SA"/>
        </w:rPr>
        <w:t>Chalmers,</w:t>
      </w:r>
      <w:r>
        <w:rPr>
          <w:rFonts w:ascii="arial" w:eastAsia="arial" w:hAnsi="arial" w:cs="arial"/>
          <w:color w:val="000000"/>
          <w:sz w:val="20"/>
          <w:lang w:val="en-US" w:eastAsia="en-US" w:bidi="ar-SA"/>
        </w:rPr>
        <w:t xml:space="preserve"> that the plaintiff's claim for punitive damages should be certified as a common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xml:space="preserve">  The following cases also support this approach: </w:t>
      </w:r>
      <w:r>
        <w:rPr>
          <w:rFonts w:ascii="arial" w:eastAsia="arial" w:hAnsi="arial" w:cs="arial"/>
          <w:i/>
          <w:color w:val="000000"/>
          <w:sz w:val="20"/>
          <w:lang w:val="en-US" w:eastAsia="en-US" w:bidi="ar-SA"/>
        </w:rPr>
        <w:t>Fakhri v. Alfalfa's Canada, Inc. (cba Capers Community Market)</w:t>
      </w:r>
      <w:r>
        <w:rPr>
          <w:rFonts w:ascii="arial" w:eastAsia="arial" w:hAnsi="arial" w:cs="arial"/>
          <w:color w:val="000000"/>
          <w:sz w:val="20"/>
          <w:lang w:val="en-US" w:eastAsia="en-US" w:bidi="ar-SA"/>
        </w:rPr>
        <w:t xml:space="preserve">, </w:t>
      </w:r>
      <w:hyperlink r:id="rId380" w:history="1">
        <w:r>
          <w:rPr>
            <w:rFonts w:ascii="arial" w:eastAsia="arial" w:hAnsi="arial" w:cs="arial"/>
            <w:i/>
            <w:color w:val="0077CC"/>
            <w:sz w:val="20"/>
            <w:u w:val="single"/>
            <w:shd w:val="clear" w:color="auto" w:fill="FFFFFF"/>
            <w:lang w:val="en-US" w:eastAsia="en-US" w:bidi="ar-SA"/>
          </w:rPr>
          <w:t>2003 BCSC 1717</w:t>
        </w:r>
      </w:hyperlink>
      <w:r>
        <w:rPr>
          <w:rFonts w:ascii="arial" w:eastAsia="arial" w:hAnsi="arial" w:cs="arial"/>
          <w:color w:val="000000"/>
          <w:sz w:val="20"/>
          <w:lang w:val="en-US" w:eastAsia="en-US" w:bidi="ar-SA"/>
        </w:rPr>
        <w:t xml:space="preserve"> at paras. 60, 71-73;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at para. 34; and </w:t>
      </w:r>
      <w:r>
        <w:rPr>
          <w:rFonts w:ascii="arial" w:eastAsia="arial" w:hAnsi="arial" w:cs="arial"/>
          <w:i/>
          <w:color w:val="000000"/>
          <w:sz w:val="20"/>
          <w:lang w:val="en-US" w:eastAsia="en-US" w:bidi="ar-SA"/>
        </w:rPr>
        <w:t>Endean</w:t>
      </w:r>
      <w:r>
        <w:rPr>
          <w:rFonts w:ascii="arial" w:eastAsia="arial" w:hAnsi="arial" w:cs="arial"/>
          <w:color w:val="000000"/>
          <w:sz w:val="20"/>
          <w:lang w:val="en-US" w:eastAsia="en-US" w:bidi="ar-SA"/>
        </w:rPr>
        <w:t xml:space="preserve"> at para. 48.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I adopt the approach of the Court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and find that the issues relating to punitive damages are common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Is a class proceeding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The final issue arising under s. 4(1)(d)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is whether a class proceeding would be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Section 4(2) provides:</w:t>
      </w:r>
      <w:r>
        <w:rPr>
          <w:rFonts w:ascii="arial" w:eastAsia="arial" w:hAnsi="arial" w:cs="arial"/>
          <w:sz w:val="20"/>
          <w:lang w:val="en-US" w:eastAsia="en-US" w:bidi="ar-SA"/>
        </w:rPr>
        <w:cr/>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class proceeding would be the preferable procedure for the fair and efficient resolution of the common issues, the court must consider all relevant matters including the following:</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Again, a review of general principles is of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Ms. Dominguez relies on </w:t>
      </w:r>
      <w:r>
        <w:rPr>
          <w:rFonts w:ascii="arial" w:eastAsia="arial" w:hAnsi="arial" w:cs="arial"/>
          <w:i/>
          <w:color w:val="000000"/>
          <w:sz w:val="20"/>
          <w:lang w:val="en-US" w:eastAsia="en-US" w:bidi="ar-SA"/>
        </w:rPr>
        <w:t>Elms</w:t>
      </w:r>
      <w:r>
        <w:rPr>
          <w:rFonts w:ascii="arial" w:eastAsia="arial" w:hAnsi="arial" w:cs="arial"/>
          <w:color w:val="000000"/>
          <w:sz w:val="20"/>
          <w:lang w:val="en-US" w:eastAsia="en-US" w:bidi="ar-SA"/>
        </w:rPr>
        <w:t xml:space="preserve"> where at para. 53, the B.C. Court of Appeal referred to Winkler J.'s comment in </w:t>
      </w:r>
      <w:r>
        <w:rPr>
          <w:rFonts w:ascii="arial" w:eastAsia="arial" w:hAnsi="arial" w:cs="arial"/>
          <w:i/>
          <w:color w:val="000000"/>
          <w:sz w:val="20"/>
          <w:lang w:val="en-US" w:eastAsia="en-US" w:bidi="ar-SA"/>
        </w:rPr>
        <w:t>Carom v. Bre-X Minerals Ltd.</w:t>
      </w:r>
      <w:r>
        <w:rPr>
          <w:rFonts w:ascii="arial" w:eastAsia="arial" w:hAnsi="arial" w:cs="arial"/>
          <w:color w:val="000000"/>
          <w:sz w:val="20"/>
          <w:lang w:val="en-US" w:eastAsia="en-US" w:bidi="ar-SA"/>
        </w:rPr>
        <w:t xml:space="preserve"> </w:t>
      </w:r>
      <w:hyperlink r:id="rId381" w:history="1">
        <w:r>
          <w:rPr>
            <w:rFonts w:ascii="arial" w:eastAsia="arial" w:hAnsi="arial" w:cs="arial"/>
            <w:i/>
            <w:color w:val="0077CC"/>
            <w:sz w:val="20"/>
            <w:u w:val="single"/>
            <w:shd w:val="clear" w:color="auto" w:fill="FFFFFF"/>
            <w:lang w:val="en-US" w:eastAsia="en-US" w:bidi="ar-SA"/>
          </w:rPr>
          <w:t>(1999), 44 O.R. (3d) 173</w:t>
        </w:r>
      </w:hyperlink>
      <w:r>
        <w:rPr>
          <w:rFonts w:ascii="arial" w:eastAsia="arial" w:hAnsi="arial" w:cs="arial"/>
          <w:color w:val="000000"/>
          <w:sz w:val="20"/>
          <w:lang w:val="en-US" w:eastAsia="en-US" w:bidi="ar-SA"/>
        </w:rPr>
        <w:t xml:space="preserve"> at 239 (Sup. Ct. J.) for the analysis on when a class proceeding is the preferable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 class proceeding is the preferable procedure where it presents a fair, efficient and manageable method of determining the common issues which arise from the claims of multiple plaintiffs and where such determination will advance the proceeding in accordance with the goals of judicial economy, access to justice and the modification of the behaviour of wrongdoers.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xml:space="preserve">  The defendants emphasize the aspect of fairness, citing </w:t>
      </w:r>
      <w:r>
        <w:rPr>
          <w:rFonts w:ascii="arial" w:eastAsia="arial" w:hAnsi="arial" w:cs="arial"/>
          <w:i/>
          <w:color w:val="000000"/>
          <w:sz w:val="20"/>
          <w:lang w:val="en-US" w:eastAsia="en-US" w:bidi="ar-SA"/>
        </w:rPr>
        <w:t>Abdool v. Anaheim Management Ltd.</w:t>
      </w:r>
      <w:r>
        <w:rPr>
          <w:rFonts w:ascii="arial" w:eastAsia="arial" w:hAnsi="arial" w:cs="arial"/>
          <w:color w:val="000000"/>
          <w:sz w:val="20"/>
          <w:lang w:val="en-US" w:eastAsia="en-US" w:bidi="ar-SA"/>
        </w:rPr>
        <w:t xml:space="preserve"> </w:t>
      </w:r>
      <w:hyperlink r:id="rId382" w:history="1">
        <w:r>
          <w:rPr>
            <w:rFonts w:ascii="arial" w:eastAsia="arial" w:hAnsi="arial" w:cs="arial"/>
            <w:i/>
            <w:color w:val="0077CC"/>
            <w:sz w:val="20"/>
            <w:u w:val="single"/>
            <w:shd w:val="clear" w:color="auto" w:fill="FFFFFF"/>
            <w:lang w:val="en-US" w:eastAsia="en-US" w:bidi="ar-SA"/>
          </w:rPr>
          <w:t>(1993), 15 O.R. (3d) 39</w:t>
        </w:r>
      </w:hyperlink>
      <w:r>
        <w:rPr>
          <w:rFonts w:ascii="arial" w:eastAsia="arial" w:hAnsi="arial" w:cs="arial"/>
          <w:color w:val="000000"/>
          <w:sz w:val="20"/>
          <w:lang w:val="en-US" w:eastAsia="en-US" w:bidi="ar-SA"/>
        </w:rPr>
        <w:t xml:space="preserve"> at 49-51 (Ct. J. (Gen. Div.)), aff'd </w:t>
      </w:r>
      <w:hyperlink r:id="rId383" w:history="1">
        <w:r>
          <w:rPr>
            <w:rFonts w:ascii="arial" w:eastAsia="arial" w:hAnsi="arial" w:cs="arial"/>
            <w:i/>
            <w:color w:val="0077CC"/>
            <w:sz w:val="20"/>
            <w:u w:val="single"/>
            <w:shd w:val="clear" w:color="auto" w:fill="FFFFFF"/>
            <w:lang w:val="en-US" w:eastAsia="en-US" w:bidi="ar-SA"/>
          </w:rPr>
          <w:t>(1995), 121 D.L.R. (4th) 496</w:t>
        </w:r>
      </w:hyperlink>
      <w:r>
        <w:rPr>
          <w:rFonts w:ascii="arial" w:eastAsia="arial" w:hAnsi="arial" w:cs="arial"/>
          <w:color w:val="000000"/>
          <w:sz w:val="20"/>
          <w:lang w:val="en-US" w:eastAsia="en-US" w:bidi="ar-SA"/>
        </w:rPr>
        <w:t xml:space="preserve"> (Ont. Ct. J. (Gen. Div.) Div. Ct.). In that case, at 49, the Court stated that it is imperative to have a scrupulous and effective screening process, so that the Court does not sacrifice the ultimate goal of a just determination between the parties on the altar of expediency.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The interplay between the common issues and the individual issues is very much a factor in considering the preferability requirement. The defendants cite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as authority for the proposition that on this question the Court must take into account the importance of the common issues in relation to the claims as a whole: paras. 29-30.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xml:space="preserve">  In addition, it is clear that the factors outlined in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have no hierarchy in terms of their importance. As stated by this Court in </w:t>
      </w:r>
      <w:r>
        <w:rPr>
          <w:rFonts w:ascii="arial" w:eastAsia="arial" w:hAnsi="arial" w:cs="arial"/>
          <w:i/>
          <w:color w:val="000000"/>
          <w:sz w:val="20"/>
          <w:lang w:val="en-US" w:eastAsia="en-US" w:bidi="ar-SA"/>
        </w:rPr>
        <w:t>Riazi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[88] The court must consider all of these factors in determining whether a class proceeding would be the preferable procedure for the fair and efficient resolution of the common issues. No single factor is determinative. The "preferability" inquiry should be conducted through the lens of the three principle procedural advantages of class actions: judicial economy, access to justice, and behavioural modification: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xml:space="preserve">  I will now consider the factors set out in s. 4(2)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 4(2)(a) Do the questions of fact or law predominate?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Ms. Dominguez contends that at its core, this case involves an interpretation of standard contractual terms, which raise common issues. She further contends that if she is successful on these common issues, then damages can be assessed on an aggregate basis and no individual assessment will be necessary. If it is not appropriate to assess damages on that basis, then there will be a need for individual assessments.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xml:space="preserve">  It must be kept in mind that there will typically be some individual issues to be determined and that factor is not determinative. In </w:t>
      </w:r>
      <w:r>
        <w:rPr>
          <w:rFonts w:ascii="arial" w:eastAsia="arial" w:hAnsi="arial" w:cs="arial"/>
          <w:i/>
          <w:color w:val="000000"/>
          <w:sz w:val="20"/>
          <w:lang w:val="en-US" w:eastAsia="en-US" w:bidi="ar-SA"/>
        </w:rPr>
        <w:t>Bodnar</w:t>
      </w:r>
      <w:r>
        <w:rPr>
          <w:rFonts w:ascii="arial" w:eastAsia="arial" w:hAnsi="arial" w:cs="arial"/>
          <w:color w:val="000000"/>
          <w:sz w:val="20"/>
          <w:lang w:val="en-US" w:eastAsia="en-US" w:bidi="ar-SA"/>
        </w:rPr>
        <w:t xml:space="preserve">, at para. 59, this Court adopted the comments of the Court in </w:t>
      </w:r>
      <w:r>
        <w:rPr>
          <w:rFonts w:ascii="arial" w:eastAsia="arial" w:hAnsi="arial" w:cs="arial"/>
          <w:i/>
          <w:color w:val="000000"/>
          <w:sz w:val="20"/>
          <w:lang w:val="en-US" w:eastAsia="en-US" w:bidi="ar-SA"/>
        </w:rPr>
        <w:t>Metera v. Financial Planning Group</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ABQB 326</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[69] It should be noted that it would be extremely rare for a class proceeding to contain only common issues, with no individual issues to be determined. Class proceedings are usually bifurcated. First there is a hearing or trial to determine the common issues, and then a procedure must be devised to resolve the individual issues. This is the normal situation, and the presence of individual issues should not be overemphasized, the question always being whether a class proceeding is the preferable way to resolve what common issues there are.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Metera</w:t>
      </w:r>
      <w:r>
        <w:rPr>
          <w:rFonts w:ascii="arial" w:eastAsia="arial" w:hAnsi="arial" w:cs="arial"/>
          <w:color w:val="000000"/>
          <w:sz w:val="20"/>
          <w:lang w:val="en-US" w:eastAsia="en-US" w:bidi="ar-SA"/>
        </w:rPr>
        <w:t xml:space="preserve"> continued at para. 69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As the Court noted in Western Canadian Shopping Centres at para. 54, there are bound to be differences between investors, and if "material differences emerge, the court can deal with them when the time comes." I would suggest, with respect, that this issue was overemphasized in Abdool at para. 130 and Moyes at paras. 32, 33 and 38, where the need to investigate the position of every class member on the reliance issue was discussed. That factor is common to a mass misrepresentation action, whether it be prosecuted as a class action or as a multi-party action, or as a series of individual actions. There are still economics to be had in deciding the common issues 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xml:space="preserve">  Ms. Dominguez relies upon the comments of the Court in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at paras. 85-89 where the Court notes that even if the individual issues predominate, it is not fatal to the application. Further, Madam Justice Gerow discusses in that case that where common issues are at the heart of the litigation, individual issues can be dealt with under s. 27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where the Court may consider the simplification and management of those individual issues as contemplated by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The defendants say that the common issues will not just predominate, they will dominate these proceedings. I disagree.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xml:space="preserve">  The common issues here go to the heart of the litigation, just as was found in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That is, what is the correct interpretation of the standard contract terms, what is the status of the agency relationship between the defendants and ICEA/Luzern and did fiduciary duties arise in the circumstances of their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As I have already stated, a resolution of these issues will materially advance the litigation. After a resolution of those issues, the Court can consider how best to deal with any individual issues that will remain. That might involve an aggregate damage award or some other process, such as a claims process that might streamline a determination of those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Even if these individual issues predominate, I do not consider that predominance so controlling such that the preferability decision is to be decided on that factor alone.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 4(2)(b) Do significant class members have an interest in individually controlling separate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There was no evidence presented that any other class members wished to control separate actions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The defendants did present some evidence that some class members may not have any interest in these proceedings. That may be so, but those individuals resident in British Columbia will have the opportunity of opting out of these proceedings or if a non-resident, of choosing not to opt in. At that time, they have the opportunity to proceed independently against the defendants if they wish, and in that respect, choosing their own counsel, their own forum and their own litigation strategies.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I would also note that it may well be the case that any present position communicated from these workers to their employer, the defendants, may be materially different once certification occurs and they have the ability to participate independently of their relationship with the defendants. The past actions of the defendants in cutting hours of complaining workers or even firing them may be of less concern once certification occurs and these workers can participate in an appropriate forum where the risk of such tactics will be less severe.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 4(2)(c) Would the class proceedings involve claims that are or have been the subject of other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xml:space="preserve">  The only other possible claim that was the subject of another proceeding was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complaint filed by putative class member Mr. Sales. As noted in the facts above in paras. 39 and 40, prior to the filing of this proceeding Mr. Sales filed a complaint with the Employment Standards Branch with respect to overtime, the agency fees and the airfare costs. The fee issue was found to be out of time, but the other matters were ultimately settled between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do not therefore see that there are any other proceedings in progress that could be adversely affected by this proceeding.</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i/>
          <w:color w:val="000000"/>
          <w:sz w:val="20"/>
          <w:lang w:val="en-US" w:eastAsia="en-US" w:bidi="ar-SA"/>
        </w:rPr>
        <w:t>s. 4(2)(d) Are there other means of resolving the</w:t>
      </w:r>
    </w:p>
    <w:p>
      <w:pPr>
        <w:spacing w:before="120" w:line="260" w:lineRule="atLeast"/>
        <w:jc w:val="center"/>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 claims that are less practical or less efficient?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xml:space="preserve">  The defendants contend that this factor weighs heavily against any finding that a class action is the preferable procedure on the basis that the regime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provides a complete and effective administrative structure for granting and enforcing rights of employees. They further say that the preferability analysis is an objective one and does not depend on any choice Ms. Dominguez or any other class members may have made to not invoke the procedures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 other words, they say that a procedure does not become less preferable simply because a particular complainant does not make herself aware of her legal rights and avail herself of remedies that are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xml:space="preserve">  The defendants rely on the analysis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where the Supreme Court of Canada declined to certify the action on the basis that there were other reasonable means of resolving the environmental claims, including seeking redress and payment from a Small Claims Trust Fund. The Court considered this issue in the context of the three objectives of class action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I think it clear, too, that the court cannot ignore the availability of avenues of redress apart from individual actions. As noted above, the preferability requirement was intended to capture the question of whether a class proceeding would be preferable "in the sense of preferable to other procedures such as joinder, test cases, consolidation and so on": see </w:t>
      </w:r>
      <w:r>
        <w:rPr>
          <w:rFonts w:ascii="arial" w:eastAsia="arial" w:hAnsi="arial" w:cs="arial"/>
          <w:i/>
          <w:color w:val="000000"/>
          <w:sz w:val="20"/>
          <w:lang w:val="en-US" w:eastAsia="en-US" w:bidi="ar-SA"/>
        </w:rPr>
        <w:t>Report of the Attorney General's Advisory Committee on Class Action Reform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32; see also Cochrane,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 27; M. A. Eizenga, M. J. Peerless and C. M. Wright, </w:t>
      </w:r>
      <w:r>
        <w:rPr>
          <w:rFonts w:ascii="arial" w:eastAsia="arial" w:hAnsi="arial" w:cs="arial"/>
          <w:i/>
          <w:color w:val="000000"/>
          <w:sz w:val="20"/>
          <w:lang w:val="en-US" w:eastAsia="en-US" w:bidi="ar-SA"/>
        </w:rPr>
        <w:t>Class Actions Law and Practice</w:t>
      </w:r>
      <w:r>
        <w:rPr>
          <w:rFonts w:ascii="arial" w:eastAsia="arial" w:hAnsi="arial" w:cs="arial"/>
          <w:color w:val="000000"/>
          <w:sz w:val="20"/>
          <w:lang w:val="en-US" w:eastAsia="en-US" w:bidi="ar-SA"/>
        </w:rPr>
        <w:t xml:space="preserve"> (loose-leaf), at para. 3.62 ("[a]s part of the determination with respect to preferability, it is appropriate for the court to review alternative means of adjudicating the dispute which is before it"). In my view, </w:t>
      </w:r>
      <w:r>
        <w:rPr>
          <w:rFonts w:ascii="arial" w:eastAsia="arial" w:hAnsi="arial" w:cs="arial"/>
          <w:color w:val="000000"/>
          <w:sz w:val="20"/>
          <w:u w:val="single"/>
          <w:lang w:val="en-US" w:eastAsia="en-US" w:bidi="ar-SA"/>
        </w:rPr>
        <w:t>the preferability analysis requires the court to look to all reasonably available means of resolving the class members' claims, and not just at the possibility of individual actions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I am not persuaded that the class action would be the preferable means of resolving the class members' claims. Turning first to the issue of judicial economy, I note that any common issue here is negligible in relation to the individual issues. While each of the class members must, in order to recover, establish that the Keele Valley landfill emitted physical or noise pollution, there is no reason to think that any pollution was distributed evenly across the geographical area or time period specified in the class definition. On the contrary, it is likely that some areas were affected more seriously than others, and that some areas were affected at one time while other areas were affected at other times. As the Divisional Court noted, "[e]ven if one considers only the 150 persons who made complaints - those complaints relate to different dates and different locations spread out over seven years and 16 square miles" (p. 480). Some class members are close to the site, some are further away. Some class members are close to other possible sources of pollution. Once the common issue is seen in the context of the entire claim, it becomes difficult to say that the resolution of the common issue will significantly advance the action.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[33] Nor would allowing a class action here serve the interests of access to justice. The appellant posits that class members' claims may be so small that it would not be worthwhile for them to pursue relief individually. In many cases this is indeed a real danger. As noted above, one important benefit of class actions is that they divide fixed litigation costs over the entire class, making it economically feasible to prosecute claims that might otherwise not be brought at all. I am not fully convinced, however, that this is the situation here. The central problem with the appellant's argument is that, if it is in fact true that the claims are so small as to engage access to justice concerns, it would seem that the Small Claims Trust Fund would provide an ideal avenue of redress. Indeed, since the Small Claims Trust Fund establishes a no-fault scheme, it is likely to provide redress far more quickly than would the judicial system. If, on the other hand, the Small Claims Trust Fund is not sufficiently large to handle the class members' claims, one must question whether the access to justice concern is engaged at all. If class members have substantial claims, it is likely that they will find it worthwhile to bring individual actions. The fact that no claims have been made against the Small Claims Trust Fund may suggest that the class members claims are either so small as to be non-existent or so large as to provide sufficient incentive for individual action. In either case access to justice is not a serious concern. </w:t>
      </w:r>
      <w:r>
        <w:rPr>
          <w:rFonts w:ascii="arial" w:eastAsia="arial" w:hAnsi="arial" w:cs="arial"/>
          <w:color w:val="000000"/>
          <w:sz w:val="20"/>
          <w:u w:val="single"/>
          <w:lang w:val="en-US" w:eastAsia="en-US" w:bidi="ar-SA"/>
        </w:rPr>
        <w:t xml:space="preserve">Of course, the existence of a compensatory scheme under which class members can pursue relief is not in itself grounds for denying a class action - even if the compensatory scheme promises to provide redress more quickly: see </w:t>
      </w:r>
      <w:r>
        <w:rPr>
          <w:rFonts w:ascii="arial" w:eastAsia="arial" w:hAnsi="arial" w:cs="arial"/>
          <w:i/>
          <w:color w:val="000000"/>
          <w:sz w:val="20"/>
          <w:u w:val="single"/>
          <w:lang w:val="en-US" w:eastAsia="en-US" w:bidi="ar-SA"/>
        </w:rPr>
        <w:t>Rumley v. British Columbia</w:t>
      </w:r>
      <w:r>
        <w:rPr>
          <w:rFonts w:ascii="arial" w:eastAsia="arial" w:hAnsi="arial" w:cs="arial"/>
          <w:color w:val="000000"/>
          <w:sz w:val="20"/>
          <w:u w:val="single"/>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u w:val="single"/>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u w:val="single"/>
          <w:lang w:val="en-US" w:eastAsia="en-US" w:bidi="ar-SA"/>
        </w:rPr>
        <w:t>, at para. 38. The existence of such a scheme, however, provides one consideration that must be taken into account when assessing the seriousness of access-to-justice concerns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[34] For similar reasons I would reject the argument that behaviour modification is a significant concern in this case. Behavioural modification may be relevant to determining whether a class action should proceed. As noted in </w:t>
      </w:r>
      <w:r>
        <w:rPr>
          <w:rFonts w:ascii="arial" w:eastAsia="arial" w:hAnsi="arial" w:cs="arial"/>
          <w:i/>
          <w:color w:val="000000"/>
          <w:sz w:val="20"/>
          <w:lang w:val="en-US" w:eastAsia="en-US" w:bidi="ar-SA"/>
        </w:rPr>
        <w:t>Western Canadian Shopping Centres, supra</w:t>
      </w:r>
      <w:r>
        <w:rPr>
          <w:rFonts w:ascii="arial" w:eastAsia="arial" w:hAnsi="arial" w:cs="arial"/>
          <w:color w:val="000000"/>
          <w:sz w:val="20"/>
          <w:lang w:val="en-US" w:eastAsia="en-US" w:bidi="ar-SA"/>
        </w:rPr>
        <w:t xml:space="preserve">, at para. 29, "[w]ithout class actions, those who cause widespread but individually minimal harm might not take into account the full costs of their conduct, because for any one plaintiff the expense of bringing suit would far exceed the likely recovery". This concern is certainly no less pressing in the context of environmental litigation. Indeed, Ontario has enacted legislation that reflects a recognition that environmental harm is a cost that must be given due weight in both public and private decision-making: see </w:t>
      </w:r>
      <w:r>
        <w:rPr>
          <w:rFonts w:ascii="arial" w:eastAsia="arial" w:hAnsi="arial" w:cs="arial"/>
          <w:i/>
          <w:color w:val="000000"/>
          <w:sz w:val="20"/>
          <w:lang w:val="en-US" w:eastAsia="en-US" w:bidi="ar-SA"/>
        </w:rPr>
        <w:t>Environmental Bill of Rights, 1993</w:t>
      </w:r>
      <w:r>
        <w:rPr>
          <w:rFonts w:ascii="arial" w:eastAsia="arial" w:hAnsi="arial" w:cs="arial"/>
          <w:color w:val="000000"/>
          <w:sz w:val="20"/>
          <w:lang w:val="en-US" w:eastAsia="en-US" w:bidi="ar-SA"/>
        </w:rPr>
        <w:t xml:space="preserve">, </w:t>
      </w:r>
      <w:hyperlink r:id="rId384" w:history="1">
        <w:r>
          <w:rPr>
            <w:rFonts w:ascii="arial" w:eastAsia="arial" w:hAnsi="arial" w:cs="arial"/>
            <w:i/>
            <w:color w:val="0077CC"/>
            <w:sz w:val="20"/>
            <w:u w:val="single"/>
            <w:shd w:val="clear" w:color="auto" w:fill="FFFFFF"/>
            <w:lang w:val="en-US" w:eastAsia="en-US" w:bidi="ar-SA"/>
          </w:rPr>
          <w:t>S.O. 1993, c. 28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Environmental Protection Act.</w:t>
      </w:r>
      <w:r>
        <w:rPr>
          <w:rFonts w:ascii="arial" w:eastAsia="arial" w:hAnsi="arial" w:cs="arial"/>
          <w:color w:val="000000"/>
          <w:sz w:val="20"/>
          <w:lang w:val="en-US" w:eastAsia="en-US" w:bidi="ar-SA"/>
        </w:rPr>
        <w:t xml:space="preserve"> I am not persuaded, however, that allowing a class action here would serve that end. If individual class members have substantial claims against the respondent, we should expect that they will be willing to prosecute those claims individually; on the other hand if their claims are small, they will be able to obtain compensation through the Small Claims Trust Fund. In either case, the respondent will be forced to internalize the costs of its conduct.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[35] I would note, further, that Ontario's environmental legislation provides other avenues by which the complainant here could ensure that the respondent takes full account of the costs of its actions. While the existence of such legislation certainly does not foreclose the possibility of environmental class actions, it does go some way toward addressing legitimate concerns about behaviour modification: see </w:t>
      </w:r>
      <w:r>
        <w:rPr>
          <w:rFonts w:ascii="arial" w:eastAsia="arial" w:hAnsi="arial" w:cs="arial"/>
          <w:i/>
          <w:color w:val="000000"/>
          <w:sz w:val="20"/>
          <w:lang w:val="en-US" w:eastAsia="en-US" w:bidi="ar-SA"/>
        </w:rPr>
        <w:t>Environmental Bill of Rights, 1993</w:t>
      </w:r>
      <w:r>
        <w:rPr>
          <w:rFonts w:ascii="arial" w:eastAsia="arial" w:hAnsi="arial" w:cs="arial"/>
          <w:color w:val="000000"/>
          <w:sz w:val="20"/>
          <w:lang w:val="en-US" w:eastAsia="en-US" w:bidi="ar-SA"/>
        </w:rPr>
        <w:t xml:space="preserve">, ss. 61(1) (stating that "[a]ny two persons resident in Ontario who believe that an existing policy, Act, regulation or instrument of Ontario should be amended, repealed or revoked in order to protect the environment may apply to the Environmental Commissioner for a review of the policy, Act, regulation or instrument by the appropriate minister") and 74(1) (stating that "[a]ny two persons resident in Ontario who believe that a prescribed Act, regulation or instrument has been contravened may apply to the Environmental Commissioner for an investigation of the alleged contravention by the appropriate minister"); </w:t>
      </w:r>
      <w:r>
        <w:rPr>
          <w:rFonts w:ascii="arial" w:eastAsia="arial" w:hAnsi="arial" w:cs="arial"/>
          <w:i/>
          <w:color w:val="000000"/>
          <w:sz w:val="20"/>
          <w:lang w:val="en-US" w:eastAsia="en-US" w:bidi="ar-SA"/>
        </w:rPr>
        <w:t>Environmental Protection Act,</w:t>
      </w:r>
      <w:r>
        <w:rPr>
          <w:rFonts w:ascii="arial" w:eastAsia="arial" w:hAnsi="arial" w:cs="arial"/>
          <w:color w:val="000000"/>
          <w:sz w:val="20"/>
          <w:lang w:val="en-US" w:eastAsia="en-US" w:bidi="ar-SA"/>
        </w:rPr>
        <w:t xml:space="preserve"> s. 14(1) (stating that "[d]espite any other provision of this Act or the regulations, no person shall discharge a contaminant or cause or permit the discharge of a contaminant into the natural environment that causes or is likely to cause an adverse effect"); s. 172(1) (stating that "[w]here a person complains that a contaminant is causing or has caused injury or damage to livestock or to crops, trees or other vegetation which may result in economic loss to such person, the person may, within fourteen days after the injury or damage becomes apparent, request the Minister to conduct an investigation"); and s. 186(1) (stating that "[e]very person who contravenes this Act or the regulations is guilty of an offence").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[36] I conclude that the action does not meet the requirements set out in s. 5(1) of Ontario's </w:t>
      </w:r>
      <w:r>
        <w:rPr>
          <w:rFonts w:ascii="arial" w:eastAsia="arial" w:hAnsi="arial" w:cs="arial"/>
          <w:i/>
          <w:color w:val="000000"/>
          <w:sz w:val="20"/>
          <w:lang w:val="en-US" w:eastAsia="en-US" w:bidi="ar-SA"/>
        </w:rPr>
        <w:t>Class Proceedings Act, 1992</w:t>
      </w:r>
      <w:r>
        <w:rPr>
          <w:rFonts w:ascii="arial" w:eastAsia="arial" w:hAnsi="arial" w:cs="arial"/>
          <w:color w:val="000000"/>
          <w:sz w:val="20"/>
          <w:lang w:val="en-US" w:eastAsia="en-US" w:bidi="ar-SA"/>
        </w:rPr>
        <w:t>. Even on the generous approach advocated above, the appellant has not shown that a class action is the preferable means of resolving the claims raised here.</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xml:space="preserve">  As is made clear by the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analysis above, the focus is on what is </w:t>
      </w:r>
      <w:r>
        <w:rPr>
          <w:rFonts w:ascii="arial" w:eastAsia="arial" w:hAnsi="arial" w:cs="arial"/>
          <w:i/>
          <w:color w:val="000000"/>
          <w:sz w:val="20"/>
          <w:lang w:val="en-US" w:eastAsia="en-US" w:bidi="ar-SA"/>
        </w:rPr>
        <w:t>preferable</w:t>
      </w:r>
      <w:r>
        <w:rPr>
          <w:rFonts w:ascii="arial" w:eastAsia="arial" w:hAnsi="arial" w:cs="arial"/>
          <w:color w:val="000000"/>
          <w:sz w:val="20"/>
          <w:lang w:val="en-US" w:eastAsia="en-US" w:bidi="ar-SA"/>
        </w:rPr>
        <w:t xml:space="preserve"> - the fact that other means of resolving the dispute are available is not determinative: </w:t>
      </w:r>
      <w:r>
        <w:rPr>
          <w:rFonts w:ascii="arial" w:eastAsia="arial" w:hAnsi="arial" w:cs="arial"/>
          <w:i/>
          <w:color w:val="000000"/>
          <w:sz w:val="20"/>
          <w:lang w:val="en-US" w:eastAsia="en-US" w:bidi="ar-SA"/>
        </w:rPr>
        <w:t>LeFrancois v. Guidant Corp.</w:t>
      </w:r>
      <w:r>
        <w:rPr>
          <w:rFonts w:ascii="arial" w:eastAsia="arial" w:hAnsi="arial" w:cs="arial"/>
          <w:color w:val="000000"/>
          <w:sz w:val="20"/>
          <w:lang w:val="en-US" w:eastAsia="en-US" w:bidi="ar-SA"/>
        </w:rPr>
        <w:t xml:space="preserve"> </w:t>
      </w:r>
      <w:hyperlink r:id="rId385" w:history="1">
        <w:r>
          <w:rPr>
            <w:rFonts w:ascii="arial" w:eastAsia="arial" w:hAnsi="arial" w:cs="arial"/>
            <w:i/>
            <w:color w:val="0077CC"/>
            <w:sz w:val="20"/>
            <w:u w:val="single"/>
            <w:shd w:val="clear" w:color="auto" w:fill="FFFFFF"/>
            <w:lang w:val="en-US" w:eastAsia="en-US" w:bidi="ar-SA"/>
          </w:rPr>
          <w:t>(2008), 56 C.P.C. (6th) 268</w:t>
        </w:r>
      </w:hyperlink>
      <w:r>
        <w:rPr>
          <w:rFonts w:ascii="arial" w:eastAsia="arial" w:hAnsi="arial" w:cs="arial"/>
          <w:color w:val="000000"/>
          <w:sz w:val="20"/>
          <w:lang w:val="en-US" w:eastAsia="en-US" w:bidi="ar-SA"/>
        </w:rPr>
        <w:t xml:space="preserve"> at para. 93 (Ont. Sup. Ct. J.). Nor is it necessary to conclude that class proceedings are a </w:t>
      </w:r>
      <w:r>
        <w:rPr>
          <w:rFonts w:ascii="arial" w:eastAsia="arial" w:hAnsi="arial" w:cs="arial"/>
          <w:i/>
          <w:color w:val="000000"/>
          <w:sz w:val="20"/>
          <w:lang w:val="en-US" w:eastAsia="en-US" w:bidi="ar-SA"/>
        </w:rPr>
        <w:t>superior</w:t>
      </w:r>
      <w:r>
        <w:rPr>
          <w:rFonts w:ascii="arial" w:eastAsia="arial" w:hAnsi="arial" w:cs="arial"/>
          <w:color w:val="000000"/>
          <w:sz w:val="20"/>
          <w:lang w:val="en-US" w:eastAsia="en-US" w:bidi="ar-SA"/>
        </w:rPr>
        <w:t xml:space="preserve"> means of resolving the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does provide an administrative regime to resolve employment issues. The purposes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set out in s. 2 and as germane to this case include: (a) ensuring that employees receive basic standards of compensation and conditions of employment; (b) promoting fair treatment of employees and employers; and (d) providing fair and efficient procedures for resolving disputes over the application and interpretation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 the last point, the procedures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are intended to provide a simplified method of resolving disputes between employees and employers without the need for expensive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xml:space="preserve">  Concerning the allegations in this action, the defendants say that provisions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apply to the issues raised:</w:t>
      </w:r>
      <w:r>
        <w:rPr>
          <w:rFonts w:ascii="arial" w:eastAsia="arial" w:hAnsi="arial" w:cs="arial"/>
          <w:sz w:val="20"/>
          <w:lang w:val="en-US" w:eastAsia="en-US" w:bidi="ar-SA"/>
        </w:rPr>
        <w:cr/>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allegation that sufficient hours were not made available, they point to s. 27 which provides that employers must provide a written wage statement for any pay period;</w:t>
      </w:r>
    </w:p>
    <w:p>
      <w:pPr>
        <w:numPr>
          <w:numId w:val="41"/>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allegation that overtime was not paid, they point to s. 40 which provides that employers must pay the overtime rate to employees who work over eight hours a day;</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allegation regarding the airfare, they point to s. 21 which provides that employers must not require an employee to pay any of the employer's business costs except as permitted by the regulations (which do not apply here);</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allegation regarding the agency fees, they point to s. 10 which provides that a person must not request, charge or receive, directly or indirectly from a person seeking employment, a payment for employing or obtaining employment for the person seeking employment. They note that Ms. Dominguez specifically relies on s. 10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in her Notice of Civil Claim as the basis for her seeking recovery of the agency fees; and</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all of the allegations, they point to s. 8(d) which provides that an employer must not induce, influence or persuade a person to become an employee, or to work by misrepresenting the conditions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xml:space="preserve">  Part 10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also provides a comprehensive process through which complaints from employees can be addressed: complaints can be made to the Director (s. 74), investigations may be made by the Director, whether or not a complaint has been made (s. 76), the Director may make determinations and require the employer to remedy any breach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(s. 79) and appeals from a decision of the Director may be made to the Employment Standards Tribunal (s. 112).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xml:space="preserve">  The defendants rely on various authorities where other procedures were held to be a more practical and efficient means by which to resolve certain claims: </w:t>
      </w:r>
      <w:r>
        <w:rPr>
          <w:rFonts w:ascii="arial" w:eastAsia="arial" w:hAnsi="arial" w:cs="arial"/>
          <w:i/>
          <w:color w:val="000000"/>
          <w:sz w:val="20"/>
          <w:lang w:val="en-US" w:eastAsia="en-US" w:bidi="ar-SA"/>
        </w:rPr>
        <w:t>McKay</w:t>
      </w:r>
      <w:r>
        <w:rPr>
          <w:rFonts w:ascii="arial" w:eastAsia="arial" w:hAnsi="arial" w:cs="arial"/>
          <w:color w:val="000000"/>
          <w:sz w:val="20"/>
          <w:lang w:val="en-US" w:eastAsia="en-US" w:bidi="ar-SA"/>
        </w:rPr>
        <w:t xml:space="preserve"> at para. 46 (administrative process available to ensure compliance with standards by educational institutions); and </w:t>
      </w:r>
      <w:r>
        <w:rPr>
          <w:rFonts w:ascii="arial" w:eastAsia="arial" w:hAnsi="arial" w:cs="arial"/>
          <w:i/>
          <w:color w:val="000000"/>
          <w:sz w:val="20"/>
          <w:lang w:val="en-US" w:eastAsia="en-US" w:bidi="ar-SA"/>
        </w:rPr>
        <w:t>S.R. Gent (Canada) Inc. v. Ontario (Workplace Safety and Insurance Board)</w:t>
      </w:r>
      <w:r>
        <w:rPr>
          <w:rFonts w:ascii="arial" w:eastAsia="arial" w:hAnsi="arial" w:cs="arial"/>
          <w:color w:val="000000"/>
          <w:sz w:val="20"/>
          <w:lang w:val="en-US" w:eastAsia="en-US" w:bidi="ar-SA"/>
        </w:rPr>
        <w:t xml:space="preserve"> </w:t>
      </w:r>
      <w:hyperlink r:id="rId386" w:history="1">
        <w:r>
          <w:rPr>
            <w:rFonts w:ascii="arial" w:eastAsia="arial" w:hAnsi="arial" w:cs="arial"/>
            <w:i/>
            <w:color w:val="0077CC"/>
            <w:sz w:val="20"/>
            <w:u w:val="single"/>
            <w:shd w:val="clear" w:color="auto" w:fill="FFFFFF"/>
            <w:lang w:val="en-US" w:eastAsia="en-US" w:bidi="ar-SA"/>
          </w:rPr>
          <w:t>(1999), 45 O.R. (3d) 106</w:t>
        </w:r>
      </w:hyperlink>
      <w:r>
        <w:rPr>
          <w:rFonts w:ascii="arial" w:eastAsia="arial" w:hAnsi="arial" w:cs="arial"/>
          <w:color w:val="000000"/>
          <w:sz w:val="20"/>
          <w:lang w:val="en-US" w:eastAsia="en-US" w:bidi="ar-SA"/>
        </w:rPr>
        <w:t xml:space="preserve"> at 107-112 (Sup. Ct. J.) (judicial review available to challenge legality of program of Workplace Safety and Insurance Board).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The defendants also cite </w:t>
      </w:r>
      <w:r>
        <w:rPr>
          <w:rFonts w:ascii="arial" w:eastAsia="arial" w:hAnsi="arial" w:cs="arial"/>
          <w:i/>
          <w:color w:val="000000"/>
          <w:sz w:val="20"/>
          <w:lang w:val="en-US" w:eastAsia="en-US" w:bidi="ar-SA"/>
        </w:rPr>
        <w:t>Macaraeg v. E Care Contact Centers Ltd.</w:t>
      </w:r>
      <w:r>
        <w:rPr>
          <w:rFonts w:ascii="arial" w:eastAsia="arial" w:hAnsi="arial" w:cs="arial"/>
          <w:color w:val="000000"/>
          <w:sz w:val="20"/>
          <w:lang w:val="en-US" w:eastAsia="en-US" w:bidi="ar-SA"/>
        </w:rPr>
        <w:t xml:space="preserve">, </w:t>
      </w:r>
      <w:hyperlink r:id="rId387" w:history="1">
        <w:r>
          <w:rPr>
            <w:rFonts w:ascii="arial" w:eastAsia="arial" w:hAnsi="arial" w:cs="arial"/>
            <w:i/>
            <w:color w:val="0077CC"/>
            <w:sz w:val="20"/>
            <w:u w:val="single"/>
            <w:shd w:val="clear" w:color="auto" w:fill="FFFFFF"/>
            <w:lang w:val="en-US" w:eastAsia="en-US" w:bidi="ar-SA"/>
          </w:rPr>
          <w:t>2008 BCCA 182</w:t>
        </w:r>
      </w:hyperlink>
      <w:r>
        <w:rPr>
          <w:rFonts w:ascii="arial" w:eastAsia="arial" w:hAnsi="arial" w:cs="arial"/>
          <w:color w:val="000000"/>
          <w:sz w:val="20"/>
          <w:lang w:val="en-US" w:eastAsia="en-US" w:bidi="ar-SA"/>
        </w:rPr>
        <w:t xml:space="preserve">, which addressed the appropriate forum to enforce payment of overtime in the absence of an employment contract. The Court held that the enforcement of statutorily conferred benefits that arise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must be through the statutory regime which provides a complete and effective administrative structure for granting and enforcing rights to employees: paras. 85-92.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The defendants say that given the efforts and expense incurred by the Province in establishing the Employment Standards Branch and the Employment Standards Tribunal, and the specialized knowledge that both possess regarding these issues, the administrative mechanism within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should be accepted as preferable to a complex class court action. It should be noted that the defendants do not suggest that the procedures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the only available means of determining this dispute, such as was found in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In reply, Ms. Dominguez asserts that the focus of the enquiry must be on the nature of the claims put forward - that is, not simply enforcement of statutory benefits, but allegations of breach of contract, breach of fiduciary duty and unjust enrichment.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has been said to be a mechanism for the enforcement of </w:t>
      </w:r>
      <w:r>
        <w:rPr>
          <w:rFonts w:ascii="arial" w:eastAsia="arial" w:hAnsi="arial" w:cs="arial"/>
          <w:i/>
          <w:color w:val="000000"/>
          <w:sz w:val="20"/>
          <w:lang w:val="en-US" w:eastAsia="en-US" w:bidi="ar-SA"/>
        </w:rPr>
        <w:t>minimum</w:t>
      </w:r>
      <w:r>
        <w:rPr>
          <w:rFonts w:ascii="arial" w:eastAsia="arial" w:hAnsi="arial" w:cs="arial"/>
          <w:color w:val="000000"/>
          <w:sz w:val="20"/>
          <w:lang w:val="en-US" w:eastAsia="en-US" w:bidi="ar-SA"/>
        </w:rPr>
        <w:t xml:space="preserve"> benefits and standards applicable to all employees regardless of any other factors, including employment contracts: </w:t>
      </w:r>
      <w:r>
        <w:rPr>
          <w:rFonts w:ascii="arial" w:eastAsia="arial" w:hAnsi="arial" w:cs="arial"/>
          <w:i/>
          <w:color w:val="000000"/>
          <w:sz w:val="20"/>
          <w:lang w:val="en-US" w:eastAsia="en-US" w:bidi="ar-SA"/>
        </w:rPr>
        <w:t>Rizzo &amp; Rizzo Shoes Ltd. (Re)</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at para. 36. This distinction between enforcement of these statutory rights and enforcement of contract and other obligations is discussed in </w:t>
      </w:r>
      <w:r>
        <w:rPr>
          <w:rFonts w:ascii="arial" w:eastAsia="arial" w:hAnsi="arial" w:cs="arial"/>
          <w:i/>
          <w:color w:val="000000"/>
          <w:sz w:val="20"/>
          <w:lang w:val="en-US" w:eastAsia="en-US" w:bidi="ar-SA"/>
        </w:rPr>
        <w:t>Taiga Building Products Ltd.</w:t>
      </w:r>
      <w:r>
        <w:rPr>
          <w:rFonts w:ascii="arial" w:eastAsia="arial" w:hAnsi="arial" w:cs="arial"/>
          <w:color w:val="000000"/>
          <w:sz w:val="20"/>
          <w:lang w:val="en-US" w:eastAsia="en-US" w:bidi="ar-SA"/>
        </w:rPr>
        <w:t xml:space="preserve">, </w:t>
      </w:r>
      <w:hyperlink r:id="rId389" w:history="1">
        <w:r>
          <w:rPr>
            <w:rFonts w:ascii="arial" w:eastAsia="arial" w:hAnsi="arial" w:cs="arial"/>
            <w:i/>
            <w:color w:val="0077CC"/>
            <w:sz w:val="20"/>
            <w:u w:val="single"/>
            <w:shd w:val="clear" w:color="auto" w:fill="FFFFFF"/>
            <w:lang w:val="en-US" w:eastAsia="en-US" w:bidi="ar-SA"/>
          </w:rPr>
          <w:t>[2007] B.C.E.S.T.D. No. 59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[39] In any event, I do not accept the "entire contract doctrine" is a proper adjudicative tool in proceedings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 objective of the Courts adjudicating the common law contractual rights between an employer and an employee and that of the Director determining the respective statutory rights and obligations of an employer and an employee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are significantly different. The main objective of the common law is to adjudicate a breach of contract and to provide appropriate relief for that breach, depending on the Court's view of the circumstances and factors in each case. The main objective of the Director is to administer a legislative scheme within a framework of statutory purposes that have found expression in several Court and Tribunal decisions, including </w:t>
      </w:r>
      <w:r>
        <w:rPr>
          <w:rFonts w:ascii="arial" w:eastAsia="arial" w:hAnsi="arial" w:cs="arial"/>
          <w:i/>
          <w:color w:val="000000"/>
          <w:sz w:val="20"/>
          <w:lang w:val="en-US" w:eastAsia="en-US" w:bidi="ar-SA"/>
        </w:rPr>
        <w:t>Machtinger v. HOJ Industries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91 D.L.R. (4th) 491</w:t>
      </w:r>
      <w:r>
        <w:rPr>
          <w:rFonts w:ascii="arial" w:eastAsia="arial" w:hAnsi="arial" w:cs="arial"/>
          <w:color w:val="000000"/>
          <w:sz w:val="20"/>
          <w:lang w:val="en-US" w:eastAsia="en-US" w:bidi="ar-SA"/>
        </w:rPr>
        <w:t xml:space="preserve"> (S.C.C.), </w:t>
      </w:r>
      <w:r>
        <w:rPr>
          <w:rFonts w:ascii="arial" w:eastAsia="arial" w:hAnsi="arial" w:cs="arial"/>
          <w:i/>
          <w:color w:val="000000"/>
          <w:sz w:val="20"/>
          <w:lang w:val="en-US" w:eastAsia="en-US" w:bidi="ar-SA"/>
        </w:rPr>
        <w:t>Helping Hands v. Director of Employment Standards</w:t>
      </w:r>
      <w:r>
        <w:rPr>
          <w:rFonts w:ascii="arial" w:eastAsia="arial" w:hAnsi="arial" w:cs="arial"/>
          <w:color w:val="000000"/>
          <w:sz w:val="20"/>
          <w:lang w:val="en-US" w:eastAsia="en-US" w:bidi="ar-SA"/>
        </w:rPr>
        <w:t xml:space="preserve">, </w:t>
      </w:r>
      <w:hyperlink r:id="rId390" w:history="1">
        <w:r>
          <w:rPr>
            <w:rFonts w:ascii="arial" w:eastAsia="arial" w:hAnsi="arial" w:cs="arial"/>
            <w:i/>
            <w:color w:val="0077CC"/>
            <w:sz w:val="20"/>
            <w:u w:val="single"/>
            <w:shd w:val="clear" w:color="auto" w:fill="FFFFFF"/>
            <w:lang w:val="en-US" w:eastAsia="en-US" w:bidi="ar-SA"/>
          </w:rPr>
          <w:t>(1995) 131 D.L.R. (4th) 336</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Rizzo &amp; Rizzo Shoes Ltd.</w:t>
      </w:r>
      <w:r>
        <w:rPr>
          <w:rFonts w:ascii="arial" w:eastAsia="arial" w:hAnsi="arial" w:cs="arial"/>
          <w:color w:val="000000"/>
          <w:sz w:val="20"/>
          <w:lang w:val="en-US" w:eastAsia="en-US" w:bidi="ar-SA"/>
        </w:rPr>
        <w:t xml:space="preserve">, </w:t>
      </w:r>
      <w:hyperlink r:id="rId388"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These decisions, among other things, recognize the remedial nature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correspondingly endorse a large and liberal construction and application of its provisions. They were specifically referred to and recognized in the Determination as providing support for a broad approach to interpreting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xml:space="preserve">  Section 118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also addresses the interplay between enforcement of rights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actions outside of that regime: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Subject to section 82, nothing in this Act or the regulations affects a person's right to commence and maintain an action that, but for this Act, the person would have had the right to commence and maintain.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Macaraeg</w:t>
      </w:r>
      <w:r>
        <w:rPr>
          <w:rFonts w:ascii="arial" w:eastAsia="arial" w:hAnsi="arial" w:cs="arial"/>
          <w:color w:val="000000"/>
          <w:sz w:val="20"/>
          <w:lang w:val="en-US" w:eastAsia="en-US" w:bidi="ar-SA"/>
        </w:rPr>
        <w:t xml:space="preserve">, however, also confirmed at paras. 96-97 that s. 118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addresses actions to enforce rights that exist apart from the provisions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xml:space="preserve">  Thus, in a situation where an employment contract provides for the same minimum standards set out in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or alternatively sets out superior rights and obligations, an employee has the option of pursuing a remedy either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or by civil action: </w:t>
      </w:r>
      <w:r>
        <w:rPr>
          <w:rFonts w:ascii="arial" w:eastAsia="arial" w:hAnsi="arial" w:cs="arial"/>
          <w:i/>
          <w:color w:val="000000"/>
          <w:sz w:val="20"/>
          <w:lang w:val="en-US" w:eastAsia="en-US" w:bidi="ar-SA"/>
        </w:rPr>
        <w:t>Fuggle v. Airgas Canada Inc.</w:t>
      </w:r>
      <w:r>
        <w:rPr>
          <w:rFonts w:ascii="arial" w:eastAsia="arial" w:hAnsi="arial" w:cs="arial"/>
          <w:color w:val="000000"/>
          <w:sz w:val="20"/>
          <w:lang w:val="en-US" w:eastAsia="en-US" w:bidi="ar-SA"/>
        </w:rPr>
        <w:t xml:space="preserve">, </w:t>
      </w:r>
      <w:hyperlink r:id="rId391" w:history="1">
        <w:r>
          <w:rPr>
            <w:rFonts w:ascii="arial" w:eastAsia="arial" w:hAnsi="arial" w:cs="arial"/>
            <w:i/>
            <w:color w:val="0077CC"/>
            <w:sz w:val="20"/>
            <w:u w:val="single"/>
            <w:shd w:val="clear" w:color="auto" w:fill="FFFFFF"/>
            <w:lang w:val="en-US" w:eastAsia="en-US" w:bidi="ar-SA"/>
          </w:rPr>
          <w:t>2002 BCSC 1696</w:t>
        </w:r>
      </w:hyperlink>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xml:space="preserve">  Ms. Dominguez also relies on </w:t>
      </w:r>
      <w:r>
        <w:rPr>
          <w:rFonts w:ascii="arial" w:eastAsia="arial" w:hAnsi="arial" w:cs="arial"/>
          <w:i/>
          <w:color w:val="000000"/>
          <w:sz w:val="20"/>
          <w:lang w:val="en-US" w:eastAsia="en-US" w:bidi="ar-SA"/>
        </w:rPr>
        <w:t>Kumar v. Sharp Business Forms Inc.</w:t>
      </w:r>
      <w:r>
        <w:rPr>
          <w:rFonts w:ascii="arial" w:eastAsia="arial" w:hAnsi="arial" w:cs="arial"/>
          <w:color w:val="000000"/>
          <w:sz w:val="20"/>
          <w:lang w:val="en-US" w:eastAsia="en-US" w:bidi="ar-SA"/>
        </w:rPr>
        <w:t xml:space="preserve"> which addressed certification by certain employees regarding claims that the employer had failed to pay overtime, holiday and vacation pay as required by the </w:t>
      </w:r>
      <w:r>
        <w:rPr>
          <w:rFonts w:ascii="arial" w:eastAsia="arial" w:hAnsi="arial" w:cs="arial"/>
          <w:i/>
          <w:color w:val="000000"/>
          <w:sz w:val="20"/>
          <w:lang w:val="en-US" w:eastAsia="en-US" w:bidi="ar-SA"/>
        </w:rPr>
        <w:t>Employment Standard Act</w:t>
      </w:r>
      <w:r>
        <w:rPr>
          <w:rFonts w:ascii="arial" w:eastAsia="arial" w:hAnsi="arial" w:cs="arial"/>
          <w:color w:val="000000"/>
          <w:sz w:val="20"/>
          <w:lang w:val="en-US" w:eastAsia="en-US" w:bidi="ar-SA"/>
        </w:rPr>
        <w:t xml:space="preserve">, </w:t>
      </w:r>
      <w:hyperlink r:id="rId296" w:history="1">
        <w:r>
          <w:rPr>
            <w:rFonts w:ascii="arial" w:eastAsia="arial" w:hAnsi="arial" w:cs="arial"/>
            <w:i/>
            <w:color w:val="0077CC"/>
            <w:sz w:val="20"/>
            <w:u w:val="single"/>
            <w:shd w:val="clear" w:color="auto" w:fill="FFFFFF"/>
            <w:lang w:val="en-US" w:eastAsia="en-US" w:bidi="ar-SA"/>
          </w:rPr>
          <w:t>R.S.O. 1990, c. E. 14</w:t>
        </w:r>
      </w:hyperlink>
      <w:r>
        <w:rPr>
          <w:rFonts w:ascii="arial" w:eastAsia="arial" w:hAnsi="arial" w:cs="arial"/>
          <w:color w:val="000000"/>
          <w:sz w:val="20"/>
          <w:lang w:val="en-US" w:eastAsia="en-US" w:bidi="ar-SA"/>
        </w:rPr>
        <w:t>. The Court rejected the submission that procedures under the Ontario Act would be a preferable way to resolve the issues: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The defendant argues that a class proceeding is not the preferable procedure for the resolution of the common issues. Sharp relies upon </w:t>
      </w:r>
      <w:r>
        <w:rPr>
          <w:rFonts w:ascii="arial" w:eastAsia="arial" w:hAnsi="arial" w:cs="arial"/>
          <w:i/>
          <w:color w:val="000000"/>
          <w:sz w:val="20"/>
          <w:lang w:val="en-US" w:eastAsia="en-US" w:bidi="ar-SA"/>
        </w:rPr>
        <w:t>Halabi v. Becker Milk Co.</w:t>
      </w:r>
      <w:r>
        <w:rPr>
          <w:rFonts w:ascii="arial" w:eastAsia="arial" w:hAnsi="arial" w:cs="arial"/>
          <w:color w:val="000000"/>
          <w:sz w:val="20"/>
          <w:lang w:val="en-US" w:eastAsia="en-US" w:bidi="ar-SA"/>
        </w:rPr>
        <w:t xml:space="preserve"> </w:t>
      </w:r>
      <w:hyperlink r:id="rId392" w:history="1">
        <w:r>
          <w:rPr>
            <w:rFonts w:ascii="arial" w:eastAsia="arial" w:hAnsi="arial" w:cs="arial"/>
            <w:i/>
            <w:color w:val="0077CC"/>
            <w:sz w:val="20"/>
            <w:u w:val="single"/>
            <w:shd w:val="clear" w:color="auto" w:fill="FFFFFF"/>
            <w:lang w:val="en-US" w:eastAsia="en-US" w:bidi="ar-SA"/>
          </w:rPr>
          <w:t>(1998), 39 O.R. (3d) 153</w:t>
        </w:r>
      </w:hyperlink>
      <w:r>
        <w:rPr>
          <w:rFonts w:ascii="arial" w:eastAsia="arial" w:hAnsi="arial" w:cs="arial"/>
          <w:color w:val="000000"/>
          <w:sz w:val="20"/>
          <w:lang w:val="en-US" w:eastAsia="en-US" w:bidi="ar-SA"/>
        </w:rPr>
        <w:t xml:space="preserve"> (Ont. Gen. Div.). </w:t>
      </w:r>
      <w:r>
        <w:rPr>
          <w:rFonts w:ascii="arial" w:eastAsia="arial" w:hAnsi="arial" w:cs="arial"/>
          <w:i/>
          <w:color w:val="000000"/>
          <w:sz w:val="20"/>
          <w:lang w:val="en-US" w:eastAsia="en-US" w:bidi="ar-SA"/>
        </w:rPr>
        <w:t>("Halabi"</w:t>
      </w:r>
      <w:r>
        <w:rPr>
          <w:rFonts w:ascii="arial" w:eastAsia="arial" w:hAnsi="arial" w:cs="arial"/>
          <w:color w:val="000000"/>
          <w:sz w:val="20"/>
          <w:lang w:val="en-US" w:eastAsia="en-US" w:bidi="ar-SA"/>
        </w:rPr>
        <w:t xml:space="preserve">). In that case, the proposed representative plaintiff sought certification in an action for the recovery of wages under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The court denied certification on the basis that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provided a procedure that was quick and economic. Therefore, it was held that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provided a procedure other than by way of a class action that would be preferable for the resolution of the common issues. (at 154)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41 I do not apply that reasoning in the case at hand. First, in my view, if the legislature provides expressly (s. 64.3) for a civil action being available as an alternative to the administrative procedure of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I am reluctant to find that an employee's right to pursue a civil action can be removed via s. 5(1)(d)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is a </w:t>
      </w:r>
      <w:r>
        <w:rPr>
          <w:rFonts w:ascii="arial" w:eastAsia="arial" w:hAnsi="arial" w:cs="arial"/>
          <w:i/>
          <w:color w:val="000000"/>
          <w:sz w:val="20"/>
          <w:lang w:val="en-US" w:eastAsia="en-US" w:bidi="ar-SA"/>
        </w:rPr>
        <w:t>procedural</w:t>
      </w:r>
      <w:r>
        <w:rPr>
          <w:rFonts w:ascii="arial" w:eastAsia="arial" w:hAnsi="arial" w:cs="arial"/>
          <w:color w:val="000000"/>
          <w:sz w:val="20"/>
          <w:lang w:val="en-US" w:eastAsia="en-US" w:bidi="ar-SA"/>
        </w:rPr>
        <w:t xml:space="preserve"> statute to enhance access to civil justice, not to restrict it. I note as well that s. 64.4(1) of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provides that an employee who "commences" a civil action for wages is then </w:t>
      </w:r>
      <w:r>
        <w:rPr>
          <w:rFonts w:ascii="arial" w:eastAsia="arial" w:hAnsi="arial" w:cs="arial"/>
          <w:i/>
          <w:color w:val="000000"/>
          <w:sz w:val="20"/>
          <w:lang w:val="en-US" w:eastAsia="en-US" w:bidi="ar-SA"/>
        </w:rPr>
        <w:t>not</w:t>
      </w:r>
      <w:r>
        <w:rPr>
          <w:rFonts w:ascii="arial" w:eastAsia="arial" w:hAnsi="arial" w:cs="arial"/>
          <w:color w:val="000000"/>
          <w:sz w:val="20"/>
          <w:lang w:val="en-US" w:eastAsia="en-US" w:bidi="ar-SA"/>
        </w:rPr>
        <w:t xml:space="preserve"> entitled to file a complaint under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Thus, to disallow certification on the basis of a class action not being the preferable procedure for resolving the common issues paradoxically is to result in no alternative procedure for a civil remedy.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Second, a class action generally involves a number of putative class members (estimated in the case at hand to be about 50). A class proceeding, as recognized in </w:t>
      </w:r>
      <w:r>
        <w:rPr>
          <w:rFonts w:ascii="arial" w:eastAsia="arial" w:hAnsi="arial" w:cs="arial"/>
          <w:i/>
          <w:color w:val="000000"/>
          <w:sz w:val="20"/>
          <w:lang w:val="en-US" w:eastAsia="en-US" w:bidi="ar-SA"/>
        </w:rPr>
        <w:t>Halabi,</w:t>
      </w:r>
      <w:r>
        <w:rPr>
          <w:rFonts w:ascii="arial" w:eastAsia="arial" w:hAnsi="arial" w:cs="arial"/>
          <w:color w:val="000000"/>
          <w:sz w:val="20"/>
          <w:lang w:val="en-US" w:eastAsia="en-US" w:bidi="ar-SA"/>
        </w:rPr>
        <w:t xml:space="preserve"> serves the policy objectives of access to justice, judicial economy and behaviour modification. See </w:t>
      </w:r>
      <w:r>
        <w:rPr>
          <w:rFonts w:ascii="arial" w:eastAsia="arial" w:hAnsi="arial" w:cs="arial"/>
          <w:i/>
          <w:color w:val="000000"/>
          <w:sz w:val="20"/>
          <w:lang w:val="en-US" w:eastAsia="en-US" w:bidi="ar-SA"/>
        </w:rPr>
        <w:t>Scott v. Ontario Business College (1977) Ltd.,</w:t>
      </w:r>
      <w:r>
        <w:rPr>
          <w:rFonts w:ascii="arial" w:eastAsia="arial" w:hAnsi="arial" w:cs="arial"/>
          <w:color w:val="000000"/>
          <w:sz w:val="20"/>
          <w:lang w:val="en-US" w:eastAsia="en-US" w:bidi="ar-SA"/>
        </w:rPr>
        <w:t xml:space="preserve"> </w:t>
      </w:r>
      <w:hyperlink r:id="rId393" w:history="1">
        <w:r>
          <w:rPr>
            <w:rFonts w:ascii="arial" w:eastAsia="arial" w:hAnsi="arial" w:cs="arial"/>
            <w:i/>
            <w:color w:val="0077CC"/>
            <w:sz w:val="20"/>
            <w:u w:val="single"/>
            <w:shd w:val="clear" w:color="auto" w:fill="FFFFFF"/>
            <w:lang w:val="en-US" w:eastAsia="en-US" w:bidi="ar-SA"/>
          </w:rPr>
          <w:t>[1999] O.J. No. 3441</w:t>
        </w:r>
      </w:hyperlink>
      <w:r>
        <w:rPr>
          <w:rFonts w:ascii="arial" w:eastAsia="arial" w:hAnsi="arial" w:cs="arial"/>
          <w:color w:val="000000"/>
          <w:sz w:val="20"/>
          <w:lang w:val="en-US" w:eastAsia="en-US" w:bidi="ar-SA"/>
        </w:rPr>
        <w:t xml:space="preserve"> (Ont. S.C.J.) at para. 2(d). Under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there is no provision for a consolidation of complaints by employees in respect of the determination of claims by an employment standards officer. (Section 68(16) of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and Reg. 591/91 do allow for consolidations of hearings at the review by a referee stage.)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43 Third, in the instant situation, the proposed representative plaintiff employee does not meet the s. 82.3 (1) test. He left his employment in October, 1999 and the action was not commenced until June 14, 2000. To deny certification means that the plaintiff cannot proceed with a complaint under the </w:t>
      </w:r>
      <w:r>
        <w:rPr>
          <w:rFonts w:ascii="arial" w:eastAsia="arial" w:hAnsi="arial" w:cs="arial"/>
          <w:i/>
          <w:color w:val="000000"/>
          <w:sz w:val="20"/>
          <w:lang w:val="en-US" w:eastAsia="en-US" w:bidi="ar-SA"/>
        </w:rPr>
        <w:t>ESA.</w:t>
      </w:r>
      <w:r>
        <w:rPr>
          <w:rFonts w:ascii="arial" w:eastAsia="arial" w:hAnsi="arial" w:cs="arial"/>
          <w:color w:val="000000"/>
          <w:sz w:val="20"/>
          <w:lang w:val="en-US" w:eastAsia="en-US" w:bidi="ar-SA"/>
        </w:rPr>
        <w:t xml:space="preserve"> Assuming that s. 82.3(1) does not apply to a civil action, as discussed above, then the present action is the </w:t>
      </w:r>
      <w:r>
        <w:rPr>
          <w:rFonts w:ascii="arial" w:eastAsia="arial" w:hAnsi="arial" w:cs="arial"/>
          <w:i/>
          <w:color w:val="000000"/>
          <w:sz w:val="20"/>
          <w:lang w:val="en-US" w:eastAsia="en-US" w:bidi="ar-SA"/>
        </w:rPr>
        <w:t>only</w:t>
      </w:r>
      <w:r>
        <w:rPr>
          <w:rFonts w:ascii="arial" w:eastAsia="arial" w:hAnsi="arial" w:cs="arial"/>
          <w:color w:val="000000"/>
          <w:sz w:val="20"/>
          <w:lang w:val="en-US" w:eastAsia="en-US" w:bidi="ar-SA"/>
        </w:rPr>
        <w:t xml:space="preserve"> procedure available for the plaintiff and similarly-situated class members in respect of their grievances for alleged unpaid wages.</w:t>
      </w:r>
    </w:p>
    <w:p>
      <w:pPr>
        <w:spacing w:before="120" w:line="260" w:lineRule="atLeast"/>
        <w:ind w:left="288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xml:space="preserve">  Denying relief to Ms. Dominguez and the other putative class members on the basis that rights could or should have been pursued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poses some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xml:space="preserve">  Firstly, there are questions concerning the application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to all of the issues raised in this action. There is no statutory requirement under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regarding the numbers of hours to be worked, since this aspect of the claim arises solely under the employment contracts in question. There clearly are provisions in the contracts relating to overtime which parallel those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Those provisions were enforced by the Employment Standards Branch in relation to the defendants but not necessarily for the benefit of the class members in accordance with the Determination dated June 17, 2011. Similarly, the agency fees charged are arguably in contravention of s. 10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and again were addressed by the Director in accordance with the Determination dated June 3, 2011 which required that ICEA (not the defendants) reimburse one employee for the agency fee charged. The relevance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the airfare issue is less clear. The defendants argue that they would be recoverable under s. 21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however, it remains to be seen whether or not in these circumstances they could be characterized as "business costs", such as was found in </w:t>
      </w:r>
      <w:r>
        <w:rPr>
          <w:rFonts w:ascii="arial" w:eastAsia="arial" w:hAnsi="arial" w:cs="arial"/>
          <w:i/>
          <w:color w:val="000000"/>
          <w:sz w:val="20"/>
          <w:lang w:val="en-US" w:eastAsia="en-US" w:bidi="ar-SA"/>
        </w:rPr>
        <w:t>Glacier Park Lodge Ltd. (Re)</w:t>
      </w:r>
      <w:r>
        <w:rPr>
          <w:rFonts w:ascii="arial" w:eastAsia="arial" w:hAnsi="arial" w:cs="arial"/>
          <w:color w:val="000000"/>
          <w:sz w:val="20"/>
          <w:lang w:val="en-US" w:eastAsia="en-US" w:bidi="ar-SA"/>
        </w:rPr>
        <w:t xml:space="preserve">, </w:t>
      </w:r>
      <w:hyperlink r:id="rId394" w:history="1">
        <w:r>
          <w:rPr>
            <w:rFonts w:ascii="arial" w:eastAsia="arial" w:hAnsi="arial" w:cs="arial"/>
            <w:i/>
            <w:color w:val="0077CC"/>
            <w:sz w:val="20"/>
            <w:u w:val="single"/>
            <w:shd w:val="clear" w:color="auto" w:fill="FFFFFF"/>
            <w:lang w:val="en-US" w:eastAsia="en-US" w:bidi="ar-SA"/>
          </w:rPr>
          <w:t>[2009] B.C.E.S.T.D. No. 59</w:t>
        </w:r>
      </w:hyperlink>
      <w:r>
        <w:rPr>
          <w:rFonts w:ascii="arial" w:eastAsia="arial" w:hAnsi="arial" w:cs="arial"/>
          <w:color w:val="000000"/>
          <w:sz w:val="20"/>
          <w:lang w:val="en-US" w:eastAsia="en-US" w:bidi="ar-SA"/>
        </w:rPr>
        <w:t xml:space="preserve">, reconsidered </w:t>
      </w:r>
      <w:hyperlink r:id="rId395" w:history="1">
        <w:r>
          <w:rPr>
            <w:rFonts w:ascii="arial" w:eastAsia="arial" w:hAnsi="arial" w:cs="arial"/>
            <w:i/>
            <w:color w:val="0077CC"/>
            <w:sz w:val="20"/>
            <w:u w:val="single"/>
            <w:shd w:val="clear" w:color="auto" w:fill="FFFFFF"/>
            <w:lang w:val="en-US" w:eastAsia="en-US" w:bidi="ar-SA"/>
          </w:rPr>
          <w:t>[2009] B.C.E.S.T.D. No. 94</w:t>
        </w:r>
      </w:hyperlink>
      <w:r>
        <w:rPr>
          <w:rFonts w:ascii="arial" w:eastAsia="arial" w:hAnsi="arial" w:cs="arial"/>
          <w:color w:val="000000"/>
          <w:sz w:val="20"/>
          <w:lang w:val="en-US" w:eastAsia="en-US" w:bidi="ar-SA"/>
        </w:rPr>
        <w:t>. Mr. Sales' initial complaint included a claim relating to the airfare, but that matter was settled before the matter went forward. The defendants also say that misrepresentation arguments may be made under s. 8 relating to the minimum hours and airfare issues, however, Ms. Dominguez has asserted no claim relating to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xml:space="preserve">  Secondly, even if such claims were within the purview of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claims under ss. 8 and 10 must be brought within six months (s. 74(4)) and the amount of "wages" (defined in s. 1 and would include overtime, agency fees and possibly the airfare) that can be ordered by the Director is limited to those payable in the six months before the complaint or termination of employment (s. 80(1)). Given that many, if not most, of the putative class members will have been recruited beyond any such six month period, denial of certification would result in no effective remedy for any breaches: </w:t>
      </w:r>
      <w:r>
        <w:rPr>
          <w:rFonts w:ascii="arial" w:eastAsia="arial" w:hAnsi="arial" w:cs="arial"/>
          <w:i/>
          <w:color w:val="000000"/>
          <w:sz w:val="20"/>
          <w:lang w:val="en-US" w:eastAsia="en-US" w:bidi="ar-SA"/>
        </w:rPr>
        <w:t>Kumar v. Sharp Business Forms Inc.</w:t>
      </w:r>
      <w:r>
        <w:rPr>
          <w:rFonts w:ascii="arial" w:eastAsia="arial" w:hAnsi="arial" w:cs="arial"/>
          <w:color w:val="000000"/>
          <w:sz w:val="20"/>
          <w:lang w:val="en-US" w:eastAsia="en-US" w:bidi="ar-SA"/>
        </w:rPr>
        <w:t xml:space="preserve"> at para. 43. In fact, the Determination dated June 3, 2011 against ICEA relating to agency fees specifically limited recovery only to Mr. Baduria since he came within this time period, despite the finding that 21 employees (including Mr. Sales and Mr. and Ms. Dominguez) had made similar payments.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xml:space="preserve">  The limitations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are a far cry from the usual limitations on bringing actions for the enforcement of contract rights and other duties, being six years under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R.S.B.C. 1996, c. 266, s. 3(5). To deny certification in these circumstances would clearly be contrary to the objective described in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relating to access to justice and parenthetically, would also be contrary to the objectives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which, being benefits-conferring legislation, are to be interpreted in a broad and generous manner for the benefit of employees (and others): </w:t>
      </w:r>
      <w:r>
        <w:rPr>
          <w:rFonts w:ascii="arial" w:eastAsia="arial" w:hAnsi="arial" w:cs="arial"/>
          <w:i/>
          <w:color w:val="000000"/>
          <w:sz w:val="20"/>
          <w:lang w:val="en-US" w:eastAsia="en-US" w:bidi="ar-SA"/>
        </w:rPr>
        <w:t>Rizzo</w:t>
      </w:r>
      <w:r>
        <w:rPr>
          <w:rFonts w:ascii="arial" w:eastAsia="arial" w:hAnsi="arial" w:cs="arial"/>
          <w:color w:val="000000"/>
          <w:sz w:val="20"/>
          <w:lang w:val="en-US" w:eastAsia="en-US" w:bidi="ar-SA"/>
        </w:rPr>
        <w:t xml:space="preserve"> at para. 36; </w:t>
      </w:r>
      <w:r>
        <w:rPr>
          <w:rFonts w:ascii="arial" w:eastAsia="arial" w:hAnsi="arial" w:cs="arial"/>
          <w:i/>
          <w:color w:val="000000"/>
          <w:sz w:val="20"/>
          <w:lang w:val="en-US" w:eastAsia="en-US" w:bidi="ar-SA"/>
        </w:rPr>
        <w:t>Kumar v. Sharp Business Forms Inc.</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xml:space="preserve">  One must also be cognizant of the environment in which any such claims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may have been made. Mr. Sales filed a complaint with the Director on August 3, 2010 relating to the airfare issue. Seven days later, on August 10, 2010, his employment was terminated. In his Determination dated April 29, 2011, the Director specifically found that the termination was motivated, at least in part, by Mr. Sales taking such action. It is not difficult to conclude that this reaction on the part of the defendants would have caused other employees to fear similar retribution had they filed similar complaints. In these circumstances, it would be unfair in the extreme to, as suggested by the defendants, fault these employees for not taking steps to file these claims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xml:space="preserve">  Thirdly, there are issues of judicial economy relating to any procedures under the </w:t>
      </w:r>
      <w:r>
        <w:rPr>
          <w:rFonts w:ascii="arial" w:eastAsia="arial" w:hAnsi="arial" w:cs="arial"/>
          <w:i/>
          <w:color w:val="000000"/>
          <w:sz w:val="20"/>
          <w:lang w:val="en-US" w:eastAsia="en-US" w:bidi="ar-SA"/>
        </w:rPr>
        <w:t>Employment Standards Act</w:t>
      </w:r>
      <w:r>
        <w:rPr>
          <w:rFonts w:ascii="arial" w:eastAsia="arial" w:hAnsi="arial" w:cs="arial"/>
          <w:color w:val="000000"/>
          <w:sz w:val="20"/>
          <w:lang w:val="en-US" w:eastAsia="en-US" w:bidi="ar-SA"/>
        </w:rPr>
        <w:t xml:space="preserve">. There is no provision in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provides a mechanism to consolidate complaints. Nevertheless, the defendants contend that in the past, the Director has consolidated the claims of employees making similar claims: </w:t>
      </w:r>
      <w:r>
        <w:rPr>
          <w:rFonts w:ascii="arial" w:eastAsia="arial" w:hAnsi="arial" w:cs="arial"/>
          <w:i/>
          <w:color w:val="000000"/>
          <w:sz w:val="20"/>
          <w:lang w:val="en-US" w:eastAsia="en-US" w:bidi="ar-SA"/>
        </w:rPr>
        <w:t>Digital Accelerator Corp</w:t>
      </w:r>
      <w:r>
        <w:rPr>
          <w:rFonts w:ascii="arial" w:eastAsia="arial" w:hAnsi="arial" w:cs="arial"/>
          <w:color w:val="000000"/>
          <w:sz w:val="20"/>
          <w:lang w:val="en-US" w:eastAsia="en-US" w:bidi="ar-SA"/>
        </w:rPr>
        <w:t xml:space="preserve">. (Re), </w:t>
      </w:r>
      <w:hyperlink r:id="rId396" w:history="1">
        <w:r>
          <w:rPr>
            <w:rFonts w:ascii="arial" w:eastAsia="arial" w:hAnsi="arial" w:cs="arial"/>
            <w:i/>
            <w:color w:val="0077CC"/>
            <w:sz w:val="20"/>
            <w:u w:val="single"/>
            <w:shd w:val="clear" w:color="auto" w:fill="FFFFFF"/>
            <w:lang w:val="en-US" w:eastAsia="en-US" w:bidi="ar-SA"/>
          </w:rPr>
          <w:t>[2002] B.C.E.S.T.D. No. 401</w:t>
        </w:r>
      </w:hyperlink>
      <w:r>
        <w:rPr>
          <w:rFonts w:ascii="arial" w:eastAsia="arial" w:hAnsi="arial" w:cs="arial"/>
          <w:color w:val="000000"/>
          <w:sz w:val="20"/>
          <w:lang w:val="en-US" w:eastAsia="en-US" w:bidi="ar-SA"/>
        </w:rPr>
        <w:t xml:space="preserve"> at para. 6. The case of </w:t>
      </w:r>
      <w:r>
        <w:rPr>
          <w:rFonts w:ascii="arial" w:eastAsia="arial" w:hAnsi="arial" w:cs="arial"/>
          <w:i/>
          <w:color w:val="000000"/>
          <w:sz w:val="20"/>
          <w:lang w:val="en-US" w:eastAsia="en-US" w:bidi="ar-SA"/>
        </w:rPr>
        <w:t>Prince George Nannies and Caregivers Ltd.</w:t>
      </w:r>
      <w:r>
        <w:rPr>
          <w:rFonts w:ascii="arial" w:eastAsia="arial" w:hAnsi="arial" w:cs="arial"/>
          <w:color w:val="000000"/>
          <w:sz w:val="20"/>
          <w:lang w:val="en-US" w:eastAsia="en-US" w:bidi="ar-SA"/>
        </w:rPr>
        <w:t xml:space="preserve"> (Re), </w:t>
      </w:r>
      <w:hyperlink r:id="rId397" w:history="1">
        <w:r>
          <w:rPr>
            <w:rFonts w:ascii="arial" w:eastAsia="arial" w:hAnsi="arial" w:cs="arial"/>
            <w:i/>
            <w:color w:val="0077CC"/>
            <w:sz w:val="20"/>
            <w:u w:val="single"/>
            <w:shd w:val="clear" w:color="auto" w:fill="FFFFFF"/>
            <w:lang w:val="en-US" w:eastAsia="en-US" w:bidi="ar-SA"/>
          </w:rPr>
          <w:t>[2009] B.C.E.S.T.D. No. 55</w:t>
        </w:r>
      </w:hyperlink>
      <w:r>
        <w:rPr>
          <w:rFonts w:ascii="arial" w:eastAsia="arial" w:hAnsi="arial" w:cs="arial"/>
          <w:color w:val="000000"/>
          <w:sz w:val="20"/>
          <w:lang w:val="en-US" w:eastAsia="en-US" w:bidi="ar-SA"/>
        </w:rPr>
        <w:t xml:space="preserve"> is also an example of the application of s. 76(2) of that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where the Director conducted an investigation based on information from a former nanny, but went on to issue a determination relating to 14 other nannies who had not filed complaints. While I accept that such a mechanism could be employed by the Director, any decision on the part of the Director would be at his discretion and the complainants would have no guarantee that such a procedure would be used.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xml:space="preserve">  Behavior modification is the last concept that must be considered. The defendants point to the fact that they are already responding to an administrative order issued by Service Canada relating to the airfare and that they have taken steps to repay airfare costs. They say that some employees have been repaid. Such alternative remedies, which can succeed without having to invoke the complexities of the class action procedure (or the payment of a contingency fee to a lawyer), have been found to be preferable to class litigation in some cases: </w:t>
      </w:r>
      <w:r>
        <w:rPr>
          <w:rFonts w:ascii="arial" w:eastAsia="arial" w:hAnsi="arial" w:cs="arial"/>
          <w:i/>
          <w:color w:val="000000"/>
          <w:sz w:val="20"/>
          <w:lang w:val="en-US" w:eastAsia="en-US" w:bidi="ar-SA"/>
        </w:rPr>
        <w:t>Bittner v. Louisiana-Pacific Corp.</w:t>
      </w:r>
      <w:r>
        <w:rPr>
          <w:rFonts w:ascii="arial" w:eastAsia="arial" w:hAnsi="arial" w:cs="arial"/>
          <w:color w:val="000000"/>
          <w:sz w:val="20"/>
          <w:lang w:val="en-US" w:eastAsia="en-US" w:bidi="ar-SA"/>
        </w:rPr>
        <w:t xml:space="preserve"> </w:t>
      </w:r>
      <w:hyperlink r:id="rId398" w:history="1">
        <w:r>
          <w:rPr>
            <w:rFonts w:ascii="arial" w:eastAsia="arial" w:hAnsi="arial" w:cs="arial"/>
            <w:i/>
            <w:color w:val="0077CC"/>
            <w:sz w:val="20"/>
            <w:u w:val="single"/>
            <w:shd w:val="clear" w:color="auto" w:fill="FFFFFF"/>
            <w:lang w:val="en-US" w:eastAsia="en-US" w:bidi="ar-SA"/>
          </w:rPr>
          <w:t>(1997), 43 B.C.L.R. (3d) 324</w:t>
        </w:r>
      </w:hyperlink>
      <w:r>
        <w:rPr>
          <w:rFonts w:ascii="arial" w:eastAsia="arial" w:hAnsi="arial" w:cs="arial"/>
          <w:color w:val="000000"/>
          <w:sz w:val="20"/>
          <w:lang w:val="en-US" w:eastAsia="en-US" w:bidi="ar-SA"/>
        </w:rPr>
        <w:t xml:space="preserve"> at paras. 63-67 (S.C.) (where there was a formal claims process that would have avoided substantial issues if the trial had proceeded); </w:t>
      </w:r>
      <w:r>
        <w:rPr>
          <w:rFonts w:ascii="arial" w:eastAsia="arial" w:hAnsi="arial" w:cs="arial"/>
          <w:i/>
          <w:color w:val="000000"/>
          <w:sz w:val="20"/>
          <w:lang w:val="en-US" w:eastAsia="en-US" w:bidi="ar-SA"/>
        </w:rPr>
        <w:t>Williams v. Mutual Life Assurance Co. of Canada</w:t>
      </w:r>
      <w:r>
        <w:rPr>
          <w:rFonts w:ascii="arial" w:eastAsia="arial" w:hAnsi="arial" w:cs="arial"/>
          <w:color w:val="000000"/>
          <w:sz w:val="20"/>
          <w:lang w:val="en-US" w:eastAsia="en-US" w:bidi="ar-SA"/>
        </w:rPr>
        <w:t xml:space="preserve"> </w:t>
      </w:r>
      <w:hyperlink r:id="rId347" w:history="1">
        <w:r>
          <w:rPr>
            <w:rFonts w:ascii="arial" w:eastAsia="arial" w:hAnsi="arial" w:cs="arial"/>
            <w:i/>
            <w:color w:val="0077CC"/>
            <w:sz w:val="20"/>
            <w:u w:val="single"/>
            <w:shd w:val="clear" w:color="auto" w:fill="FFFFFF"/>
            <w:lang w:val="en-US" w:eastAsia="en-US" w:bidi="ar-SA"/>
          </w:rPr>
          <w:t>(2000), 51 O.R. (3d) 54</w:t>
        </w:r>
      </w:hyperlink>
      <w:r>
        <w:rPr>
          <w:rFonts w:ascii="arial" w:eastAsia="arial" w:hAnsi="arial" w:cs="arial"/>
          <w:color w:val="000000"/>
          <w:sz w:val="20"/>
          <w:lang w:val="en-US" w:eastAsia="en-US" w:bidi="ar-SA"/>
        </w:rPr>
        <w:t xml:space="preserve"> at paras. 47-50 (Sup. Ct. J.), aff'd </w:t>
      </w:r>
      <w:hyperlink r:id="rId348" w:history="1">
        <w:r>
          <w:rPr>
            <w:rFonts w:ascii="arial" w:eastAsia="arial" w:hAnsi="arial" w:cs="arial"/>
            <w:i/>
            <w:color w:val="0077CC"/>
            <w:sz w:val="20"/>
            <w:u w:val="single"/>
            <w:shd w:val="clear" w:color="auto" w:fill="FFFFFF"/>
            <w:lang w:val="en-US" w:eastAsia="en-US" w:bidi="ar-SA"/>
          </w:rPr>
          <w:t>(2001), 152 O.A.C. 344</w:t>
        </w:r>
      </w:hyperlink>
      <w:r>
        <w:rPr>
          <w:rFonts w:ascii="arial" w:eastAsia="arial" w:hAnsi="arial" w:cs="arial"/>
          <w:color w:val="000000"/>
          <w:sz w:val="20"/>
          <w:lang w:val="en-US" w:eastAsia="en-US" w:bidi="ar-SA"/>
        </w:rPr>
        <w:t xml:space="preserve"> (Sup. Ct. J. Div. Ct.), aff'd </w:t>
      </w:r>
      <w:r>
        <w:rPr>
          <w:rFonts w:ascii="arial" w:eastAsia="arial" w:hAnsi="arial" w:cs="arial"/>
          <w:i/>
          <w:color w:val="000000"/>
          <w:sz w:val="20"/>
          <w:lang w:val="en-US" w:eastAsia="en-US" w:bidi="ar-SA"/>
        </w:rPr>
        <w:t>Kumar v. Mutual Life Assurance Co. of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226 D.L.R. (4th) 112</w:t>
      </w:r>
      <w:r>
        <w:rPr>
          <w:rFonts w:ascii="arial" w:eastAsia="arial" w:hAnsi="arial" w:cs="arial"/>
          <w:color w:val="000000"/>
          <w:sz w:val="20"/>
          <w:lang w:val="en-US" w:eastAsia="en-US" w:bidi="ar-SA"/>
        </w:rPr>
        <w:t xml:space="preserve"> (Ont. C.A.) and </w:t>
      </w:r>
      <w:r>
        <w:rPr>
          <w:rFonts w:ascii="arial" w:eastAsia="arial" w:hAnsi="arial" w:cs="arial"/>
          <w:i/>
          <w:color w:val="000000"/>
          <w:sz w:val="20"/>
          <w:lang w:val="en-US" w:eastAsia="en-US" w:bidi="ar-SA"/>
        </w:rPr>
        <w:t>Zicherman v. Equitable Life Insurance Co. of Canada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(2003), 226 D.L.R. (4th) 131</w:t>
      </w:r>
      <w:r>
        <w:rPr>
          <w:rFonts w:ascii="arial" w:eastAsia="arial" w:hAnsi="arial" w:cs="arial"/>
          <w:color w:val="000000"/>
          <w:sz w:val="20"/>
          <w:lang w:val="en-US" w:eastAsia="en-US" w:bidi="ar-SA"/>
        </w:rPr>
        <w:t xml:space="preserve"> (Ont.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xml:space="preserve">  Despite the defendants taking these steps to remedy the issue, it remains a relevant consideration that certification may serve to reinforce the underlying policy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to modify behavior. As was noted in </w:t>
      </w:r>
      <w:r>
        <w:rPr>
          <w:rFonts w:ascii="arial" w:eastAsia="arial" w:hAnsi="arial" w:cs="arial"/>
          <w:i/>
          <w:color w:val="000000"/>
          <w:sz w:val="20"/>
          <w:lang w:val="en-US" w:eastAsia="en-US" w:bidi="ar-SA"/>
        </w:rPr>
        <w:t>Fulawka</w:t>
      </w:r>
      <w:r>
        <w:rPr>
          <w:rFonts w:ascii="arial" w:eastAsia="arial" w:hAnsi="arial" w:cs="arial"/>
          <w:color w:val="000000"/>
          <w:sz w:val="20"/>
          <w:lang w:val="en-US" w:eastAsia="en-US" w:bidi="ar-SA"/>
        </w:rPr>
        <w:t xml:space="preserve"> at paras. 134-139 (Sup. Ct. J.), admissions by a defendant do not necessarily result in a refusal to certify an issue. Otherwise, a defendant may simply try to "buy" their way out of a lawsuit and avoid any penalties that may be found to be appropriate in the circumstances. As was stated in </w:t>
      </w:r>
      <w:r>
        <w:rPr>
          <w:rFonts w:ascii="arial" w:eastAsia="arial" w:hAnsi="arial" w:cs="arial"/>
          <w:i/>
          <w:color w:val="000000"/>
          <w:sz w:val="20"/>
          <w:lang w:val="en-US" w:eastAsia="en-US" w:bidi="ar-SA"/>
        </w:rPr>
        <w:t>Scott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Finally, a common issues trial cannot be avoided because the defendants admit certain facts or issues. Class members do not become parties to the litigation until after certification. Therefore, a public statement admitting issues at a certification hearing or in the originating proceeding cannot be a legal admission. It is a bare promise to admit: </w:t>
      </w:r>
      <w:r>
        <w:rPr>
          <w:rFonts w:ascii="arial" w:eastAsia="arial" w:hAnsi="arial" w:cs="arial"/>
          <w:i/>
          <w:color w:val="000000"/>
          <w:sz w:val="20"/>
          <w:lang w:val="en-US" w:eastAsia="en-US" w:bidi="ar-SA"/>
        </w:rPr>
        <w:t>Bywater v. Toronto Transit Commission</w:t>
      </w:r>
      <w:r>
        <w:rPr>
          <w:rFonts w:ascii="arial" w:eastAsia="arial" w:hAnsi="arial" w:cs="arial"/>
          <w:color w:val="000000"/>
          <w:sz w:val="20"/>
          <w:lang w:val="en-US" w:eastAsia="en-US" w:bidi="ar-SA"/>
        </w:rPr>
        <w:t xml:space="preserve"> </w:t>
      </w:r>
      <w:hyperlink r:id="rId399" w:history="1">
        <w:r>
          <w:rPr>
            <w:rFonts w:ascii="arial" w:eastAsia="arial" w:hAnsi="arial" w:cs="arial"/>
            <w:i/>
            <w:color w:val="0077CC"/>
            <w:sz w:val="20"/>
            <w:u w:val="single"/>
            <w:shd w:val="clear" w:color="auto" w:fill="FFFFFF"/>
            <w:lang w:val="en-US" w:eastAsia="en-US" w:bidi="ar-SA"/>
          </w:rPr>
          <w:t>(1998), 27 C.P.C. (4th) 172</w:t>
        </w:r>
      </w:hyperlink>
      <w:r>
        <w:rPr>
          <w:rFonts w:ascii="arial" w:eastAsia="arial" w:hAnsi="arial" w:cs="arial"/>
          <w:color w:val="000000"/>
          <w:sz w:val="20"/>
          <w:lang w:val="en-US" w:eastAsia="en-US" w:bidi="ar-SA"/>
        </w:rPr>
        <w:t>, (Ont. Gen. Div.).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am satisfied that there are no other reasonable means of resolving the claims that are more practical or efficient than a class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s. 4(2)(e) Do class proceedings create greater difficulties than individual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xml:space="preserve">  Ms. Dominguez contends that class proceedings will not create greater difficulties than individual proceedings. She cites </w:t>
      </w:r>
      <w:r>
        <w:rPr>
          <w:rFonts w:ascii="arial" w:eastAsia="arial" w:hAnsi="arial" w:cs="arial"/>
          <w:i/>
          <w:color w:val="000000"/>
          <w:sz w:val="20"/>
          <w:lang w:val="en-US" w:eastAsia="en-US" w:bidi="ar-SA"/>
        </w:rPr>
        <w:t>Riazi</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[102] ... The common issues will impact a large group. A trial of the common issues would significantly advance the litigation and has the potential to determine the entire case. Pursuant to s. 27 of the </w:t>
      </w:r>
      <w:r>
        <w:rPr>
          <w:rFonts w:ascii="arial" w:eastAsia="arial" w:hAnsi="arial" w:cs="arial"/>
          <w:i/>
          <w:color w:val="000000"/>
          <w:sz w:val="20"/>
          <w:lang w:val="en-US" w:eastAsia="en-US" w:bidi="ar-SA"/>
        </w:rPr>
        <w:t>CPA,</w:t>
      </w:r>
      <w:r>
        <w:rPr>
          <w:rFonts w:ascii="arial" w:eastAsia="arial" w:hAnsi="arial" w:cs="arial"/>
          <w:color w:val="000000"/>
          <w:sz w:val="20"/>
          <w:lang w:val="en-US" w:eastAsia="en-US" w:bidi="ar-SA"/>
        </w:rPr>
        <w:t xml:space="preserve"> if appropriate, simplified structure and procedures can be implemented for determination of any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xml:space="preserve">  As stated by the Court in </w:t>
      </w:r>
      <w:r>
        <w:rPr>
          <w:rFonts w:ascii="arial" w:eastAsia="arial" w:hAnsi="arial" w:cs="arial"/>
          <w:i/>
          <w:color w:val="000000"/>
          <w:sz w:val="20"/>
          <w:lang w:val="en-US" w:eastAsia="en-US" w:bidi="ar-SA"/>
        </w:rPr>
        <w:t>Fakhri</w:t>
      </w:r>
      <w:r>
        <w:rPr>
          <w:rFonts w:ascii="arial" w:eastAsia="arial" w:hAnsi="arial" w:cs="arial"/>
          <w:color w:val="000000"/>
          <w:sz w:val="20"/>
          <w:lang w:val="en-US" w:eastAsia="en-US" w:bidi="ar-SA"/>
        </w:rPr>
        <w:t xml:space="preserve"> at paras. 95-96, this proceeding will allow the claims to be managed in a "controlled procedural environment".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xml:space="preserve">  The defendants submit that the small size of this class (75) also weighs against certification. They say that the claims can be dealt with individually without overwhelming the resources of either the Employment Standards Branch or the courts. They submit that traditional case management tools could be invoked, including joining cases and employing simplified small claims court rules. They cite </w:t>
      </w:r>
      <w:r>
        <w:rPr>
          <w:rFonts w:ascii="arial" w:eastAsia="arial" w:hAnsi="arial" w:cs="arial"/>
          <w:i/>
          <w:color w:val="000000"/>
          <w:sz w:val="20"/>
          <w:lang w:val="en-US" w:eastAsia="en-US" w:bidi="ar-SA"/>
        </w:rPr>
        <w:t>Gary Jackson Holdings Ltd.</w:t>
      </w:r>
      <w:r>
        <w:rPr>
          <w:rFonts w:ascii="arial" w:eastAsia="arial" w:hAnsi="arial" w:cs="arial"/>
          <w:color w:val="000000"/>
          <w:sz w:val="20"/>
          <w:lang w:val="en-US" w:eastAsia="en-US" w:bidi="ar-SA"/>
        </w:rPr>
        <w:t xml:space="preserve"> at paras. 69-72 and </w:t>
      </w:r>
      <w:r>
        <w:rPr>
          <w:rFonts w:ascii="arial" w:eastAsia="arial" w:hAnsi="arial" w:cs="arial"/>
          <w:i/>
          <w:color w:val="000000"/>
          <w:sz w:val="20"/>
          <w:lang w:val="en-US" w:eastAsia="en-US" w:bidi="ar-SA"/>
        </w:rPr>
        <w:t>Aston v. Casino Windsor Ltd.</w:t>
      </w:r>
      <w:r>
        <w:rPr>
          <w:rFonts w:ascii="arial" w:eastAsia="arial" w:hAnsi="arial" w:cs="arial"/>
          <w:color w:val="000000"/>
          <w:sz w:val="20"/>
          <w:lang w:val="en-US" w:eastAsia="en-US" w:bidi="ar-SA"/>
        </w:rPr>
        <w:t xml:space="preserve"> </w:t>
      </w:r>
      <w:hyperlink r:id="rId400" w:history="1">
        <w:r>
          <w:rPr>
            <w:rFonts w:ascii="arial" w:eastAsia="arial" w:hAnsi="arial" w:cs="arial"/>
            <w:i/>
            <w:color w:val="0077CC"/>
            <w:sz w:val="20"/>
            <w:u w:val="single"/>
            <w:shd w:val="clear" w:color="auto" w:fill="FFFFFF"/>
            <w:lang w:val="en-US" w:eastAsia="en-US" w:bidi="ar-SA"/>
          </w:rPr>
          <w:t>(2005), 42 C.C.E.L. (3d) 190</w:t>
        </w:r>
      </w:hyperlink>
      <w:r>
        <w:rPr>
          <w:rFonts w:ascii="arial" w:eastAsia="arial" w:hAnsi="arial" w:cs="arial"/>
          <w:color w:val="000000"/>
          <w:sz w:val="20"/>
          <w:lang w:val="en-US" w:eastAsia="en-US" w:bidi="ar-SA"/>
        </w:rPr>
        <w:t xml:space="preserve"> at paras. 10-15 (Ont. Sup. Ct.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xml:space="preserve">  I have no hesitation in concluding that some 75 individual actions would not be the preferable manner of resolving the issues in this case. The Court in </w:t>
      </w:r>
      <w:r>
        <w:rPr>
          <w:rFonts w:ascii="arial" w:eastAsia="arial" w:hAnsi="arial" w:cs="arial"/>
          <w:i/>
          <w:color w:val="000000"/>
          <w:sz w:val="20"/>
          <w:lang w:val="en-US" w:eastAsia="en-US" w:bidi="ar-SA"/>
        </w:rPr>
        <w:t>Stanway</w:t>
      </w:r>
      <w:r>
        <w:rPr>
          <w:rFonts w:ascii="arial" w:eastAsia="arial" w:hAnsi="arial" w:cs="arial"/>
          <w:color w:val="000000"/>
          <w:sz w:val="20"/>
          <w:lang w:val="en-US" w:eastAsia="en-US" w:bidi="ar-SA"/>
        </w:rPr>
        <w:t xml:space="preserve"> recently summarized many of the benefits of a class procedure: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The advantages of a class procedure are discussed in </w:t>
      </w:r>
      <w:r>
        <w:rPr>
          <w:rFonts w:ascii="arial" w:eastAsia="arial" w:hAnsi="arial" w:cs="arial"/>
          <w:i/>
          <w:color w:val="000000"/>
          <w:sz w:val="20"/>
          <w:lang w:val="en-US" w:eastAsia="en-US" w:bidi="ar-SA"/>
        </w:rPr>
        <w:t>Bouchanskaia</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[2003] B.C.J. No. 1969</w:t>
        </w:r>
      </w:hyperlink>
      <w:r>
        <w:rPr>
          <w:rFonts w:ascii="arial" w:eastAsia="arial" w:hAnsi="arial" w:cs="arial"/>
          <w:color w:val="000000"/>
          <w:sz w:val="20"/>
          <w:lang w:val="en-US" w:eastAsia="en-US" w:bidi="ar-SA"/>
        </w:rPr>
        <w:t>, at para. 150: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[150] There are numerous advantages to class actions for plaintiffs. Mr. Branch suggested that they include the following:</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Whatever limitation period is found to be applicable to the claim is tolled for the entire class (s. 39);</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formal notice program is created which will alert all interested persons to the status of the litigation (s. 19);</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able to attract counsel through the aggregation of potential damages and the availability of contingency fee arrangements (s. 38);</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prevents the defendant from creating procedural obstacles and hurdles that individual litigants may not have the resources to clear;</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are given the ability to apply to participate in the litigation if desired (s. 15);</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[omitted in the original]</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action is case managed by a single judge (s. 14);</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is given a number of powers designed to protect the interests of absent class members (s. 12);</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Class members are protected from any adverse cost award in relation to the common issues stage of the proceeding (s. 37);</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the resolution of any remaining individual issues, a class proceeding directs and allows the court to create simplified structures and procedures (s. 27);</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Through the operation of statute, any order or settlement will accrue to the benefit of the entire class, without the necessity of resorting to principles of estoppel (ss. 26 &amp; 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In this case, it is expected that most of the claims will be of a low dollar value and that the class members will have limited resources with which to pursue legal action, even should they be able to find counsel willing to take on such claims. The class procedure provides the very mechanism that will allow the Court to simplify the procedures towards a resolution of the issues and allow the flow of information regarding the litigation to all participants.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xml:space="preserve">  I would also adopt the approach of the Court in </w:t>
      </w:r>
      <w:r>
        <w:rPr>
          <w:rFonts w:ascii="arial" w:eastAsia="arial" w:hAnsi="arial" w:cs="arial"/>
          <w:i/>
          <w:color w:val="000000"/>
          <w:sz w:val="20"/>
          <w:lang w:val="en-US" w:eastAsia="en-US" w:bidi="ar-SA"/>
        </w:rPr>
        <w:t>Rumley</w:t>
      </w:r>
      <w:r>
        <w:rPr>
          <w:rFonts w:ascii="arial" w:eastAsia="arial" w:hAnsi="arial" w:cs="arial"/>
          <w:color w:val="000000"/>
          <w:sz w:val="20"/>
          <w:lang w:val="en-US" w:eastAsia="en-US" w:bidi="ar-SA"/>
        </w:rPr>
        <w:t xml:space="preserve"> at para. 39 in recognizing the particular vulnerability of the class members to prosecute actions. These are all recent immigrants to Canada and while no specific evidence was adduced on the point, one can expect that they are not particularly sophisticated parties in the conduct of litigation. Allowing this matter to proceed by way of a class action will allow them to have counsel who can assist in marshalling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also do not see joinder or joint management of the 75 claims to be realistic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I accept the contention of Ms. Dominguez that resolving the claims through a class proceeding is practical and efficient. It will save judicial resources, and provide access to justice and promote behaviour modification.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I conclude that a class proceeding is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American Case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Ms. Dominguez also relies on recent case law from the United States which she says supports certification in this case. Both cases involve circumstances which are very similar to the facts involved in this case. In both cases, the Courts had no difficulty in finding common issues and held that a class action was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xml:space="preserve">  Before considering those cases, it is important to recognize that while similar legislation applies in that jurisdiction under Rule 23 of the </w:t>
      </w:r>
      <w:r>
        <w:rPr>
          <w:rFonts w:ascii="arial" w:eastAsia="arial" w:hAnsi="arial" w:cs="arial"/>
          <w:i/>
          <w:color w:val="000000"/>
          <w:sz w:val="20"/>
          <w:lang w:val="en-US" w:eastAsia="en-US" w:bidi="ar-SA"/>
        </w:rPr>
        <w:t>Federal Rules of Civil Procedure</w:t>
      </w:r>
      <w:r>
        <w:rPr>
          <w:rFonts w:ascii="arial" w:eastAsia="arial" w:hAnsi="arial" w:cs="arial"/>
          <w:color w:val="000000"/>
          <w:sz w:val="20"/>
          <w:lang w:val="en-US" w:eastAsia="en-US" w:bidi="ar-SA"/>
        </w:rPr>
        <w:t xml:space="preserve">, 28 U.S.C.A., the American approach is more restrictive in the sense that a case may be certified only if the Court finds that the questions of law or fact common to class members </w:t>
      </w:r>
      <w:r>
        <w:rPr>
          <w:rFonts w:ascii="arial" w:eastAsia="arial" w:hAnsi="arial" w:cs="arial"/>
          <w:i/>
          <w:color w:val="000000"/>
          <w:sz w:val="20"/>
          <w:lang w:val="en-US" w:eastAsia="en-US" w:bidi="ar-SA"/>
        </w:rPr>
        <w:t>predominate</w:t>
      </w:r>
      <w:r>
        <w:rPr>
          <w:rFonts w:ascii="arial" w:eastAsia="arial" w:hAnsi="arial" w:cs="arial"/>
          <w:color w:val="000000"/>
          <w:sz w:val="20"/>
          <w:lang w:val="en-US" w:eastAsia="en-US" w:bidi="ar-SA"/>
        </w:rPr>
        <w:t xml:space="preserve"> over any questions affecting only individual members (Rule 23(b)(3)): </w:t>
      </w:r>
      <w:r>
        <w:rPr>
          <w:rFonts w:ascii="arial" w:eastAsia="arial" w:hAnsi="arial" w:cs="arial"/>
          <w:i/>
          <w:color w:val="000000"/>
          <w:sz w:val="20"/>
          <w:lang w:val="en-US" w:eastAsia="en-US" w:bidi="ar-SA"/>
        </w:rPr>
        <w:t>Hollick</w:t>
      </w:r>
      <w:r>
        <w:rPr>
          <w:rFonts w:ascii="arial" w:eastAsia="arial" w:hAnsi="arial" w:cs="arial"/>
          <w:color w:val="000000"/>
          <w:sz w:val="20"/>
          <w:lang w:val="en-US" w:eastAsia="en-US" w:bidi="ar-SA"/>
        </w:rPr>
        <w:t xml:space="preserve"> at paras. 29-30; </w:t>
      </w:r>
      <w:r>
        <w:rPr>
          <w:rFonts w:ascii="arial" w:eastAsia="arial" w:hAnsi="arial" w:cs="arial"/>
          <w:i/>
          <w:color w:val="000000"/>
          <w:sz w:val="20"/>
          <w:lang w:val="en-US" w:eastAsia="en-US" w:bidi="ar-SA"/>
        </w:rPr>
        <w:t>Bendall v. McGhan Medical Corp</w:t>
      </w:r>
      <w:r>
        <w:rPr>
          <w:rFonts w:ascii="arial" w:eastAsia="arial" w:hAnsi="arial" w:cs="arial"/>
          <w:color w:val="000000"/>
          <w:sz w:val="20"/>
          <w:lang w:val="en-US" w:eastAsia="en-US" w:bidi="ar-SA"/>
        </w:rPr>
        <w:t xml:space="preserve">. </w:t>
      </w:r>
      <w:hyperlink r:id="rId402" w:history="1">
        <w:r>
          <w:rPr>
            <w:rFonts w:ascii="arial" w:eastAsia="arial" w:hAnsi="arial" w:cs="arial"/>
            <w:i/>
            <w:color w:val="0077CC"/>
            <w:sz w:val="20"/>
            <w:u w:val="single"/>
            <w:shd w:val="clear" w:color="auto" w:fill="FFFFFF"/>
            <w:lang w:val="en-US" w:eastAsia="en-US" w:bidi="ar-SA"/>
          </w:rPr>
          <w:t>(1993), 106 D.L.R. (4th) 339</w:t>
        </w:r>
      </w:hyperlink>
      <w:r>
        <w:rPr>
          <w:rFonts w:ascii="arial" w:eastAsia="arial" w:hAnsi="arial" w:cs="arial"/>
          <w:color w:val="000000"/>
          <w:sz w:val="20"/>
          <w:lang w:val="en-US" w:eastAsia="en-US" w:bidi="ar-SA"/>
        </w:rPr>
        <w:t xml:space="preserve"> at paras. 36-38, 61 (Ont. Ct. (Gen. Div.)). This is in contrast to the requirement under s. 4(2)(a)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which states that it is but one factor to be considered in the preferability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Before considering these authorities, it is useful to reproduce Rule 23(a) and (b):</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23. Class Actions</w:t>
      </w:r>
    </w:p>
    <w:p>
      <w:pPr>
        <w:numPr>
          <w:numId w:val="4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PREREQUISITES. One or more members of a class may sue or be sued as representative parties on behalf of all members only if:</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is so numerous that joinder of all members is impracticable;</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are questions of law or fact common to the class;</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or defenses of the representative parties are typical of the claims or defenses of the class; and</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representative parties will fairly and adequately protect the interests of the class.</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TYPES OF CLASS ACTIONS. A class action may be maintained if Rule 23(a) is satisfied and if:</w:t>
      </w:r>
    </w:p>
    <w:p>
      <w:pPr>
        <w:numPr>
          <w:numId w:val="4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prosecuting separate actions by or against individual class members would create a risk of:</w:t>
      </w:r>
    </w:p>
    <w:p>
      <w:pPr>
        <w:numPr>
          <w:numId w:val="5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inconsistent or varying adjudications with respect to individual class members that would establish incompatible standards of conduct for the party opposing the class; or</w:t>
      </w:r>
    </w:p>
    <w:p>
      <w:pPr>
        <w:numPr>
          <w:numId w:val="5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adjudications with respect to individual class members that, as a practical matter, would be dispositive of the interests of the other members not parties to the individual adjudications or would substantially impair or impede their ability to protect their interests;</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opposing the class has acted or refused to act on grounds that apply generally to the class, so that final injunctive relief or corresponding declaratory relief is appropriate respecting the class as a whole; or</w:t>
      </w:r>
    </w:p>
    <w:p>
      <w:pPr>
        <w:numPr>
          <w:numId w:val="5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finds that the questions of law or fact common to class members predominate over any questions affecting only individual members, and that a class action is superior to other available methods for fairly and efficiently adjudicating the controversy. The matters pertinent to these findings include:</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members' interests in individually controlling the prosecution or defense of separate actions;</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extent and nature of any litigation concerning the controversy already begun by or against class members;</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desirability or undesirability of concentrating the litigation of the claims in the particular forum;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likely difficulties in managing a class action.</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The first case is </w:t>
      </w:r>
      <w:r>
        <w:rPr>
          <w:rFonts w:ascii="arial" w:eastAsia="arial" w:hAnsi="arial" w:cs="arial"/>
          <w:i/>
          <w:color w:val="000000"/>
          <w:sz w:val="20"/>
          <w:lang w:val="en-US" w:eastAsia="en-US" w:bidi="ar-SA"/>
        </w:rPr>
        <w:t>Rosiles-Perez v. Superior Forestry Service, Inc.,</w:t>
      </w:r>
      <w:r>
        <w:rPr>
          <w:rFonts w:ascii="arial" w:eastAsia="arial" w:hAnsi="arial" w:cs="arial"/>
          <w:color w:val="000000"/>
          <w:sz w:val="20"/>
          <w:lang w:val="en-US" w:eastAsia="en-US" w:bidi="ar-SA"/>
        </w:rPr>
        <w:t xml:space="preserve"> 250 F.R.D. 332 (M.D. Tenn. 2008) which involved over 3,000 temporary foreign workers mostly from Mexico who went to work in the U.S. in agricultural jobs between 2000 and 2006, mostly planting trees. This class action lawsuit involved allegations that the defendant took advantage of the workers' indigence, inability to speak or understand English and ignorance of the laws of the U.S. to underpay them and breach their working arrangements (including failing to reimburse for certain work visa and transportation expenses from wages), in violation of certain laws including the </w:t>
      </w:r>
      <w:r>
        <w:rPr>
          <w:rFonts w:ascii="arial" w:eastAsia="arial" w:hAnsi="arial" w:cs="arial"/>
          <w:i/>
          <w:color w:val="000000"/>
          <w:sz w:val="20"/>
          <w:lang w:val="en-US" w:eastAsia="en-US" w:bidi="ar-SA"/>
        </w:rPr>
        <w:t>Fair Labour Standards Act of 1938</w:t>
      </w:r>
      <w:r>
        <w:rPr>
          <w:rFonts w:ascii="arial" w:eastAsia="arial" w:hAnsi="arial" w:cs="arial"/>
          <w:color w:val="000000"/>
          <w:sz w:val="20"/>
          <w:lang w:val="en-US" w:eastAsia="en-US" w:bidi="ar-SA"/>
        </w:rPr>
        <w:t>, 29 U.S.C.A. ("</w:t>
      </w:r>
      <w:r>
        <w:rPr>
          <w:rFonts w:ascii="arial" w:eastAsia="arial" w:hAnsi="arial" w:cs="arial"/>
          <w:i/>
          <w:color w:val="000000"/>
          <w:sz w:val="20"/>
          <w:lang w:val="en-US" w:eastAsia="en-US" w:bidi="ar-SA"/>
        </w:rPr>
        <w:t>FLSA</w:t>
      </w:r>
      <w:r>
        <w:rPr>
          <w:rFonts w:ascii="arial" w:eastAsia="arial" w:hAnsi="arial" w:cs="arial"/>
          <w:color w:val="000000"/>
          <w:sz w:val="20"/>
          <w:lang w:val="en-US" w:eastAsia="en-US" w:bidi="ar-SA"/>
        </w:rPr>
        <w:t>"). There were also allegations that the defendant maintained inaccurate and insufficient documentation relating to wages and payroll information and that false and misleading information was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xml:space="preserve">  The class action was certified. The Court held that the four factors under Rule 23(a) had been met. These factors have been summarized by the United States Supreme Court as: 1) numerosity; 2) commonality; 3) typicality; and 4) adequacy of representation: </w:t>
      </w:r>
      <w:r>
        <w:rPr>
          <w:rFonts w:ascii="arial" w:eastAsia="arial" w:hAnsi="arial" w:cs="arial"/>
          <w:i/>
          <w:color w:val="000000"/>
          <w:sz w:val="20"/>
          <w:lang w:val="en-US" w:eastAsia="en-US" w:bidi="ar-SA"/>
        </w:rPr>
        <w:t>Amchem Prods. Inc. v. Windsor,</w:t>
      </w:r>
      <w:r>
        <w:rPr>
          <w:rFonts w:ascii="arial" w:eastAsia="arial" w:hAnsi="arial" w:cs="arial"/>
          <w:color w:val="000000"/>
          <w:sz w:val="20"/>
          <w:lang w:val="en-US" w:eastAsia="en-US" w:bidi="ar-SA"/>
        </w:rPr>
        <w:t xml:space="preserve"> 521 U.S. 591, 613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Furthermore, the Court held that under Rule 23(b)(3), the predominance requirement was satisfied, as issues raised by the proceeding related to allegations that the rights of the foreign workers under certain statutes were systematically violated and that, as such, there were common issues that applied to the class as a whole.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Unlike our legislation, the Court was required to consider whether a class action is "superior" to other available methods to resolve the matter. The Court specifically stated (</w:t>
      </w:r>
      <w:r>
        <w:rPr>
          <w:rFonts w:ascii="arial" w:eastAsia="arial" w:hAnsi="arial" w:cs="arial"/>
          <w:i/>
          <w:color w:val="000000"/>
          <w:sz w:val="20"/>
          <w:lang w:val="en-US" w:eastAsia="en-US" w:bidi="ar-SA"/>
        </w:rPr>
        <w:t>Rosiles-Perez</w:t>
      </w:r>
      <w:r>
        <w:rPr>
          <w:rFonts w:ascii="arial" w:eastAsia="arial" w:hAnsi="arial" w:cs="arial"/>
          <w:color w:val="000000"/>
          <w:sz w:val="20"/>
          <w:lang w:val="en-US" w:eastAsia="en-US" w:bidi="ar-SA"/>
        </w:rPr>
        <w:t xml:space="preserve"> at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are vulnerable workers with extremely limited resources rendering separate actions highly unlikely. The putative class members, indigent, foreign nationals whose lack of understanding of the English language and the laws of the United States pose substantial barriers to individual actions. The Court concludes that class certification here is a vastly superior method of adjudication because the common issues will only have to be heard and decided once, thereby promoting judicial efficiency. Separate actions would run the risk of inconsistent judgments. Thus, the Court finds that certification of the claims for nonincidental damages is appropriate under </w:t>
      </w:r>
      <w:r>
        <w:rPr>
          <w:rFonts w:ascii="arial" w:eastAsia="arial" w:hAnsi="arial" w:cs="arial"/>
          <w:color w:val="000000"/>
          <w:sz w:val="20"/>
          <w:u w:val="single"/>
          <w:lang w:val="en-US" w:eastAsia="en-US" w:bidi="ar-SA"/>
        </w:rPr>
        <w:t>Rule 23(b)(3).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xml:space="preserve">  The second case is </w:t>
      </w:r>
      <w:r>
        <w:rPr>
          <w:rFonts w:ascii="arial" w:eastAsia="arial" w:hAnsi="arial" w:cs="arial"/>
          <w:i/>
          <w:color w:val="000000"/>
          <w:sz w:val="20"/>
          <w:lang w:val="en-US" w:eastAsia="en-US" w:bidi="ar-SA"/>
        </w:rPr>
        <w:t>Perez-Benites v. Candy Brand, LLC,</w:t>
      </w:r>
      <w:r>
        <w:rPr>
          <w:rFonts w:ascii="arial" w:eastAsia="arial" w:hAnsi="arial" w:cs="arial"/>
          <w:color w:val="000000"/>
          <w:sz w:val="20"/>
          <w:lang w:val="en-US" w:eastAsia="en-US" w:bidi="ar-SA"/>
        </w:rPr>
        <w:t xml:space="preserve"> 267 F.R.D. 242 (W.D. Ark. 2010). In that case, a class action lawsuit was brought on behalf of over 3,000 Mexican migrant workers who harvested and packed peppers and tomatoes and performed other agricultural work in Arkansas from 2003 to 2007. The workers came to the United States on temporary work visas and were employed by Candy Brand, one of the Southeast's largest employers of foreign workers.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The lawsuit alleged that Candy Brand violated the workers' rights as set forth in certain uniform employment contracts. Specifically, the allegation was that Candy Brand, acting through its agents, breached those contracts with respect to payment of wages, payment of federally-mandated overtime wages for work in its packing sheds and the prevailing wage for work in the fields and payment of transportation expenses. There was also an allegation that the defendant had refused to reimburse the workers for recruitment expenses, return transportation and other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xml:space="preserve">  The class action lawsuit was certified pursuant to Rule 23 of the </w:t>
      </w:r>
      <w:r>
        <w:rPr>
          <w:rFonts w:ascii="arial" w:eastAsia="arial" w:hAnsi="arial" w:cs="arial"/>
          <w:i/>
          <w:color w:val="000000"/>
          <w:sz w:val="20"/>
          <w:lang w:val="en-US" w:eastAsia="en-US" w:bidi="ar-SA"/>
        </w:rPr>
        <w:t>Federal Rule of Civil Procedure</w:t>
      </w:r>
      <w:r>
        <w:rPr>
          <w:rFonts w:ascii="arial" w:eastAsia="arial" w:hAnsi="arial" w:cs="arial"/>
          <w:color w:val="000000"/>
          <w:sz w:val="20"/>
          <w:lang w:val="en-US" w:eastAsia="en-US" w:bidi="ar-SA"/>
        </w:rPr>
        <w:t xml:space="preserve">. The Court first decided that it was no answer to the claim that they should proceed under the </w:t>
      </w:r>
      <w:r>
        <w:rPr>
          <w:rFonts w:ascii="arial" w:eastAsia="arial" w:hAnsi="arial" w:cs="arial"/>
          <w:i/>
          <w:color w:val="000000"/>
          <w:sz w:val="20"/>
          <w:lang w:val="en-US" w:eastAsia="en-US" w:bidi="ar-SA"/>
        </w:rPr>
        <w:t>FLSA</w:t>
      </w:r>
      <w:r>
        <w:rPr>
          <w:rFonts w:ascii="arial" w:eastAsia="arial" w:hAnsi="arial" w:cs="arial"/>
          <w:color w:val="000000"/>
          <w:sz w:val="20"/>
          <w:lang w:val="en-US" w:eastAsia="en-US" w:bidi="ar-SA"/>
        </w:rPr>
        <w:t>, even though the plaintiffs alleged breaches under that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xml:space="preserve">  Secondly, again the Court held that the plaintiffs had satisfied the four requirements enumerated in Rule 23(a): </w:t>
      </w:r>
      <w:r>
        <w:rPr>
          <w:rFonts w:ascii="arial" w:eastAsia="arial" w:hAnsi="arial" w:cs="arial"/>
          <w:i/>
          <w:color w:val="000000"/>
          <w:sz w:val="20"/>
          <w:lang w:val="en-US" w:eastAsia="en-US" w:bidi="ar-SA"/>
        </w:rPr>
        <w:t>Candy Brand</w:t>
      </w:r>
      <w:r>
        <w:rPr>
          <w:rFonts w:ascii="arial" w:eastAsia="arial" w:hAnsi="arial" w:cs="arial"/>
          <w:color w:val="000000"/>
          <w:sz w:val="20"/>
          <w:lang w:val="en-US" w:eastAsia="en-US" w:bidi="ar-SA"/>
        </w:rPr>
        <w:t xml:space="preserve"> at 8. In addressing numerosity and commonality in particular, the Court found that: 1) most members of the class were indigent persons who would not have the financial means to bring individual litigation against the defendants; 2) the class members had standardized employment contracts with the defendants; and 3) all class members had common questions concerning fact and law that were susceptible to common sources of proof.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Once those requirements were met, the plaintiffs then successfully argued the requirement under Rule 23(b)(3), which allows for certification when common questions of law or fact predominate over individual questions. In particular, they contended that the common claims for all class members related to Candy Brands' violation of standard employment contracts that they had with all class members and Candy Brands' unlawful pay practices which were uniform throughout their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xml:space="preserve">  While the defendants argued that a class action was inappropriate in these circumstances as the "disparity in dollar amounts, along with the variances in each individual Plaintiff's memory and credibility should preclude class certification", the Court disagreed and held that the "Defendants' potential liability pertaining to their alleged unlawful pay practices overshadows any individual damage issues": </w:t>
      </w:r>
      <w:r>
        <w:rPr>
          <w:rFonts w:ascii="arial" w:eastAsia="arial" w:hAnsi="arial" w:cs="arial"/>
          <w:i/>
          <w:color w:val="000000"/>
          <w:sz w:val="20"/>
          <w:lang w:val="en-US" w:eastAsia="en-US" w:bidi="ar-SA"/>
        </w:rPr>
        <w:t>Candy Brand</w:t>
      </w:r>
      <w:r>
        <w:rPr>
          <w:rFonts w:ascii="arial" w:eastAsia="arial" w:hAnsi="arial" w:cs="arial"/>
          <w:color w:val="000000"/>
          <w:sz w:val="20"/>
          <w:lang w:val="en-US" w:eastAsia="en-US" w:bidi="ar-SA"/>
        </w:rPr>
        <w:t xml:space="preserve"> at 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The approach taken in the U.S. cases above is urged upon me by Ms. Dominguez. As I stated earlier in these reasons, the thrust of this action is a consideration of standard contracts with foreign workers in an environment where it is alleged that the defendants took advantage of the vulnerability of those workers for their own financial gain. That is very similar to the allegations in these cases; in that all three cases - this case, and both the U.S. cases - involve allegations that regular wages and overtime were not paid as agreed or required by statute and that various expenses relating to these workers were not reimbursed, again as agreed or required by statute. In my view, the conclusions reached in those American cases lend support to the conclusions reached by me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xml:space="preserve">  In reply, the defendants rely on two U.S. cases - </w:t>
      </w:r>
      <w:r>
        <w:rPr>
          <w:rFonts w:ascii="arial" w:eastAsia="arial" w:hAnsi="arial" w:cs="arial"/>
          <w:i/>
          <w:color w:val="000000"/>
          <w:sz w:val="20"/>
          <w:lang w:val="en-US" w:eastAsia="en-US" w:bidi="ar-SA"/>
        </w:rPr>
        <w:t>Alix v. Wal-Mart Stores, Inc.</w:t>
      </w:r>
      <w:r>
        <w:rPr>
          <w:rFonts w:ascii="arial" w:eastAsia="arial" w:hAnsi="arial" w:cs="arial"/>
          <w:color w:val="000000"/>
          <w:sz w:val="20"/>
          <w:lang w:val="en-US" w:eastAsia="en-US" w:bidi="ar-SA"/>
        </w:rPr>
        <w:t xml:space="preserve">, 838 N.Y.S. 2d 885 (Sup. Ct. 2007) and </w:t>
      </w:r>
      <w:r>
        <w:rPr>
          <w:rFonts w:ascii="arial" w:eastAsia="arial" w:hAnsi="arial" w:cs="arial"/>
          <w:i/>
          <w:color w:val="000000"/>
          <w:sz w:val="20"/>
          <w:lang w:val="en-US" w:eastAsia="en-US" w:bidi="ar-SA"/>
        </w:rPr>
        <w:t>Cutler v. Wal-Mart Stores, Inc.</w:t>
      </w:r>
      <w:r>
        <w:rPr>
          <w:rFonts w:ascii="arial" w:eastAsia="arial" w:hAnsi="arial" w:cs="arial"/>
          <w:color w:val="000000"/>
          <w:sz w:val="20"/>
          <w:lang w:val="en-US" w:eastAsia="en-US" w:bidi="ar-SA"/>
        </w:rPr>
        <w:t xml:space="preserve">, 927 A. (2d) 1 (Ct. Spec. App. Md. 2007). Both cases involved allegations that Wal-Mart had systematically deprived hourly workers of wages and overtime for work done. In both cases, certification was denied because the Courts found that the individual issues dominated over the common issues. Since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similarly provide for that result in the event of a similar finding here, these cases are of little relevance to the determination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xml:space="preserve">  I am satisfied that Ms. Dominguez has satisfied all the statutory requirements under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including the contested issues on this application relating to the appointment of a representative plaintiff, whether there are common issues and whether a class action is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 class proceeding will substantially advance this litigation in terms of an overall resolution of the common issues which addresses the need for judicial economy in its approach. In addition, recognizing the vulnerable situation in which these temporary workers find themselves, a class proceeding will provide the access to justice that they require in an environment that will be of assistance to them. Finally, behaviour modification is no doubt required if these claims are ultimately proven. One allegation, that relating to the airfare issue, has already been conceded by the defendants and to that extent, the proceedings are promoting that objective in the preliminary stages. It bears repeating that the investigations by the Employment Standards Branch in late 2010 and early 2011 had little effect on the practices of the defendants regarding payment of overtime and despite efforts to ensure that overtime was being properly paid, further breaches were recorded which resulted in a Determination on June 17, 2011 with penalties.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Accordingly, the relief sought in paragraph 1 of the Notice of Application certifying the action is granted. The classes will be as set out in these reasons. Ms. Dominguez is appointed representative plaintiff for the classes, subject to my comments concerning her continuing in her representation of Class B after the next court hearing. Finally, the issues set out in Schedule "A" are certified as common issues, subject to the reformulation of the issues concerning the allegations of breach of contract under Issue B and the addition of Issue E(e) relating to whether there is a juristic reason for any enrichment, as set out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Counsel did not speak to the relief sought in paragraph 5 of the Notice of Application to approve the form and the method of notice to be given to the class members and who should bear that cost. If the parties cannot agree, that matter can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relief sought in paragraphs 6 and 7 of the Notice of Application (relating to the defendants preserving their payroll records and providing information concerning class members to Ms. Dominguez's counsel) were not specifically addressed by the parties in argument and I will assume that there was no opposition in the event of a decision to certify. Accordingly, subject to this being a misunderstanding on my part, that relief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In general, counsel are at liberty to reschedule a hearing to deal with the terms of the Order, in the event that they are unable to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S.C. FITZPATRICK 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Schedule "A"</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Proposed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Agency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International Caregiver Employment Agency ("ICEA") and/or Luzern International Manpower Services Corporation ("Luzern") acting as agents of the Defendants in obtaining employment for Class Members with the Defendants and facilitating their entry into Canada for that purpose?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A(a) is "yes", are the Defendants thereby liable for their agents charging and receiving Employment Fees from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Contract Terms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are the relevant terms (express, implied or otherwise) of the Class' contracts of employment with the Defendants respecting:</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regular and overtime hours of work;</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recording of hours worked;</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Employment Fees; and</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payment of two-way air transportation?</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their agents breach any of the forgoing contractual terms? If so, how?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C.</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Fiduciary Duty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their agents owe a fiduciary duty to the Class?</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C(a) is "yes", has there been a breach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Duty of Good Faith &amp; Fair Dealing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or their agents owe a duty of good faith and fair dealing to the Class?</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D(a) is "yes", has there been a breach of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E.</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Unjust Enrichment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enriched by not having to pay the Class Members their requisite 40 hours of work per week?</w:t>
      </w:r>
    </w:p>
    <w:p>
      <w:pPr>
        <w:numPr>
          <w:numId w:val="7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enriched by failing to pay the Class Members appropriately for all their hours worked?</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or their agents enriched by having the Class Members pay the Employment Fees?</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Were the Defendants or their agents enriched by not paying the cost of two-way air transportation for the Class Members?</w:t>
      </w:r>
    </w:p>
    <w:p>
      <w:pPr>
        <w:numPr>
          <w:numId w:val="7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any of E(a-d) above is "yes", did the Class Members suffer a corresponding deprivation?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F.</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Systemic Defects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7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have a duty (in contract or otherwise) to monitor and accurately record all hours worked by the Class Members to ensure that the Class was appropriately compensated?</w:t>
      </w:r>
    </w:p>
    <w:p>
      <w:pPr>
        <w:numPr>
          <w:numId w:val="7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F(a) is "yes", did the Defendants breach that duty?</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Defendants have a duty (in contract or otherwise) to implement and maintain an effective and reasonable system, procedure and practices which ensured that the duties set out in F(a) above, were satisfied for the Class Members?</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F(c) is "yes", did the Defendants breach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G. Remedy &amp; Damages</w:t>
      </w:r>
      <w:r>
        <w:rPr>
          <w:rFonts w:ascii="arial" w:eastAsia="arial" w:hAnsi="arial" w:cs="arial"/>
          <w:sz w:val="20"/>
          <w:lang w:val="en-US" w:eastAsia="en-US" w:bidi="ar-SA"/>
        </w:rPr>
        <w:cr/>
      </w:r>
    </w:p>
    <w:p>
      <w:pPr>
        <w:numPr>
          <w:numId w:val="7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any of the common issues is "yes", what remedies are Class Members entitled to?</w:t>
      </w:r>
    </w:p>
    <w:p>
      <w:pPr>
        <w:numPr>
          <w:numId w:val="7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any of the common issues is "yes", are the Defendants potentially liable on a class-wide basis?</w:t>
      </w:r>
    </w:p>
    <w:p>
      <w:pPr>
        <w:numPr>
          <w:numId w:val="8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answer to G(b) is "yes", can damages be assessed on an aggregate basis?</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"yes":</w:t>
      </w:r>
    </w:p>
    <w:p>
      <w:pPr>
        <w:numPr>
          <w:numId w:val="8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 aggregate damages be assessed in whole or part on the basis of statistical evidence, including statistical evidence based on random sampling?</w:t>
      </w:r>
    </w:p>
    <w:p>
      <w:pPr>
        <w:numPr>
          <w:numId w:val="8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quantum of aggregate damages owed to the Class?</w:t>
      </w:r>
    </w:p>
    <w:p>
      <w:pPr>
        <w:numPr>
          <w:numId w:val="8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method of procedure for distributing the aggregate damages award to the Class?</w:t>
      </w:r>
    </w:p>
    <w:p>
      <w:pPr>
        <w:numPr>
          <w:numId w:val="8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Class entitled to an award of aggravated or punitive damages based upon the Defendants' conduct? If "yes",</w:t>
      </w:r>
    </w:p>
    <w:p>
      <w:pPr>
        <w:numPr>
          <w:numId w:val="8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Can the award of aggravated or punitive damages be determined on an aggregate basis?</w:t>
      </w:r>
    </w:p>
    <w:p>
      <w:pPr>
        <w:numPr>
          <w:numId w:val="8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is the appropriate method of procedure for distributing any aggregate aggravated or punitive damages to the Class Members?</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66" style="position:absolute;z-index:2518671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03"/>
          <w:headerReference w:type="default" r:id="rId404"/>
          <w:footerReference w:type="even" r:id="rId405"/>
          <w:footerReference w:type="default" r:id="rId406"/>
          <w:headerReference w:type="first" r:id="rId407"/>
          <w:footerReference w:type="first" r:id="rId40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09" w:history="1">
        <w:r>
          <w:rPr>
            <w:rFonts w:ascii="arial" w:eastAsia="arial" w:hAnsi="arial" w:cs="arial"/>
            <w:b/>
            <w:bCs/>
            <w:i/>
            <w:color w:val="0077CC"/>
            <w:kern w:val="32"/>
            <w:sz w:val="28"/>
            <w:szCs w:val="32"/>
            <w:u w:val="single"/>
            <w:shd w:val="clear" w:color="auto" w:fill="FFFFFF"/>
            <w:lang w:val="en-US" w:eastAsia="en-US" w:bidi="ar-SA"/>
          </w:rPr>
          <w:t>Dunne v. Sharma, [2014] B.C.J. No. 1255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18-22, 25 and 27,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M121959, M132351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1255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1106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Tara Michelle Angela Aherne Dunne, Plaintiff, and Pavamvir Parry Sharma, Defendant And between Tara Michelle Angela Aherne Dunne, Plaintiff, and Matthew James Seymour and Susan Elizabeth Tellier,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67" style="position:absolute;z-index:251666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1" w:name="Keywords_7"/>
      <w:bookmarkEnd w:id="51"/>
      <w:r>
        <w:rPr>
          <w:rFonts w:ascii="arial" w:eastAsia="arial" w:hAnsi="arial" w:cs="arial"/>
          <w:b/>
          <w:color w:val="000000"/>
          <w:sz w:val="20"/>
          <w:lang w:val="en-US" w:eastAsia="en-US" w:bidi="ar-SA"/>
        </w:rPr>
        <w:t>Damages — Physical and psychological injuries — Physical injuries — Body injuries — Back and spine — Neck — Soft tissue — Head injuries — Headaches — Psychological injuries — Emotional and mental distress — Depression — Considerations impacting on award — Pre-existing injury — Action by 25-year-old plaintiff for damages for personal injuries suffered in two motor vehicle accidents allowed — In both accidents, plaintiff's vehicle rear-ended while stopped — Plaintiff largely recovered from two previous accidents when first subject accident occurred — Accidents resulted in soft tissue injures that impacted plaintiff's ability to perform job, caused pain and suffering and had discernible psychological impact — Injuries indivisible as between defendants — Non-pecuniary damages of $110,000, $42,500 for past diminished earning capacity, $275,000 for loss of future income earning capacity, $70,000 for cost of future care, and $6,465 for special damages were awarded.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Cost of future care — Loss of earning capacity — Special damages — Pre-trial pecuniary loss — Expenses and expenditures — Therapy or rehabilitation — Transportation — Action by 25-year-old plaintiff for damages for personal injuries suffered in two motor vehicle accidents allowed — In both accidents, plaintiff's vehicle rear-ended while stopped — Plaintiff largely recovered from two previous accidents when first subject accident occurred — Accidents resulted in soft tissue injures that impacted plaintiff's ability to perform job, caused pain and suffering and had discernible psychological impact — Injuries indivisible as between defendants — Non-pecuniary damages of $110,000, $42,500 for past diminished earning capacity, $275,000 for loss of future income earning capacity, $70,000 for cost of future care, and $6,465 for special damages were awarded.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2" w:name="Case Summary_7"/>
            <w:bookmarkEnd w:id="5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25-year-old plaintiff for damages for personal injuries suffered in two motor vehicle accidents. In both accidents, which occurred in 2008 and 2010, the plaintiff's vehicle was rear-ended while stopped. Liability was admitted. The plaintiff had been in two previous accidents in 2006 and 2007, which were settled prior to the subject accidents, and a fifth accident in 2013. The plaintiff had worked in a clerical role since 2010 after quitting work in the restaurant industry due to her injuries. At trial she was off work in anticipation of the birth of her first child. After the accident in 2008, the plaintiff experienced back and neck pain, headaches and anxiety. She attended physical therapy. After the accident in 2010, the plaintiff's neck and back pain flared up. She attended physical therapy and rehabilitation therapy with a trainer. Her anxiety symptoms continued into 2012 but she declined to take medication because of her brother's experience with medications. At trial, she continued to experience ongoing anxiety when in a vehicle, low back pain on a frequent basis as well as neck pain and headaches on a weekly basis. Her family doctor had diagnosed her with chronic pain syndrome. A rehabilitation specialist diagnosed the plaintiff with myofascial pain, thoracic outlet syndrome, exacerbation of post-traumatic stress and anxiety and mechanical back pain. His prognosis for further improvement was poor. The defendants' medical expert suggested the plaintiff sustained a very mild soft tissue injury in each of the subject accidents, which resulted in an aggravation of pre-existing symptoms in her neck. The defendants' psychiatrist diagnosed the plaintiff with generalized anxiety disorder, depression, post-traumatic stress disorder, driving phobia, and chronic pain.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3" w:name="Holdings of Court_6"/>
            <w:bookmarkEnd w:id="53"/>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first accident resulted in soft tissue injures that impacted the plaintiff's ability to perform her job, caused her pain and suffering and had a discernible psychological impact. The effects of the second accident were similar and, to some extent, cumulative. The injuries suffered by the plaintiff were indivisible as between the defendants. At the time of the first accident, the plaintiff was mostly recovered from the two prior accidents. There was a reasonable basis to believe the plaintiff would never be fully symptom free. Non-pecuniary damages of $110,000 were awarded. The plaintiff had not failed to mitigate her damages by declining anti-depressant medication. Her ability to earn was adversely impacted by her injuries. She was entitled to $42,500 for past diminished earning capacity. The plaintiff had practical limitations that would prevent her from working 40 hours per week, but she would be able to work 32 hours per week. While it was reasonably possible the plaintiff would have continued in the restaurant industry, there was no assurance she would have continued in that vocation or would have attained a full-time management position. She was awarded $275,000 for loss of future income earning capacity and $70,000 for cost of future care. The plaintiff's expenses for therapy and travel costs were reasonably incurred. Special damages of $6,465 were awarded.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54" w:name="Counsel_7"/>
      <w:bookmarkEnd w:id="5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68" style="position:absolute;z-index:2517176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both actions: B.R. Findlay and M.A. Sandor.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both actions: S.N. Baldwin.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55" w:name="Judgment_7"/>
      <w:bookmarkEnd w:id="55"/>
      <w:r>
        <w:pict>
          <v:line id="_x0000_s1069" style="position:absolute;z-index:2517688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r>
        <w:rPr>
          <w:rFonts w:ascii="arial" w:eastAsia="arial" w:hAnsi="arial" w:cs="arial"/>
          <w:sz w:val="20"/>
          <w:lang w:val="en-US" w:eastAsia="en-US" w:bidi="ar-SA"/>
        </w:rPr>
        <w:cr/>
      </w:r>
    </w:p>
    <w:p>
      <w:pPr>
        <w:spacing w:line="260" w:lineRule="atLeast"/>
        <w:rPr>
          <w:rFonts w:ascii="arial" w:eastAsia="arial" w:hAnsi="arial" w:cs="arial"/>
          <w:sz w:val="20"/>
          <w:lang w:val="en-US" w:eastAsia="en-US" w:bidi="ar-SA"/>
        </w:rPr>
      </w:pPr>
      <w:r>
        <w:pict>
          <v:shape id="_x0000_i1070" type="#_x0000_t75" style="width:432.06pt;height:270.04pt">
            <v:imagedata r:id="rId410" o:title=""/>
          </v:shape>
        </w:pict>
      </w:r>
      <w:r>
        <w:rPr>
          <w:rFonts w:ascii="arial" w:eastAsia="arial" w:hAnsi="arial" w:cs="arial"/>
          <w:sz w:val="20"/>
          <w:lang w:val="en-US" w:eastAsia="en-US" w:bidi="ar-SA"/>
        </w:rPr>
        <w:t xml:space="preserve">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56" w:name="J.W. WILLIAMS J."/>
            <w:bookmarkEnd w:id="56"/>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Tara Dunne brings these actions to recover damages she says result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respective defendants in two separate motor-vehicle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Dunne is now married; she is also known by her spouse's surname, Warmaden. I will refer to her in these reasons by her former name.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Factual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Ms. Dunne had, at the time of trial, been involved in a total of five different motor-vehicle accidents. Two of those predated the matters at bar - one occurred in June 2006, the other in April 2007. By the time of the first accident that these proceedings are concerned with, she had settled her claims arising from those.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collisions which are the subject of the present litigation are the following:</w:t>
      </w:r>
      <w:r>
        <w:rPr>
          <w:rFonts w:ascii="arial" w:eastAsia="arial" w:hAnsi="arial" w:cs="arial"/>
          <w:sz w:val="20"/>
          <w:lang w:val="en-US" w:eastAsia="en-US" w:bidi="ar-SA"/>
        </w:rPr>
        <w:cr/>
      </w:r>
    </w:p>
    <w:p>
      <w:pPr>
        <w:numPr>
          <w:numId w:val="4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January 10, 2008, the plaintiff was stopped at a red light in Cloverdale when she was struck from the rear by an automobile. That vehicle was driven by the defendant Sharma.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February 24, 2010, the plaintiff was stopped at a red light in Surrey. Again, her vehicle was struck, this time by an automobile driven by the defendant Seymour.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defendants admit liability in respect of each of these incidents.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well, to complete the history, the plaintiff was involved in another automobile accident in January 2013, subsequent to the second of the subject motor-vehicle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Issues and 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This case requires the Court to determine the nature and extent of the injuries that the plaintiff sustained in the two subject motor-vehicle accidents and to decide the appropriate quantum of damages to which she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the submission of the plaintiff, the accidents and their injuries resulted in her suffering from chronic myofascial pain, pain in her neck, upper and lower back and hips, thoracic outlet syndrome and significant psychological injury, namely a severe generalized anxiety disorder, depression and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 says these injuries and conditions have impacted and will continue to impact upon all facets of her life, including her marital relations, her employment and her future parenting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these actions, the plaintiff seeks to recover non-pecuniary damages, past wage loss, loss of future income earning capacity, cost of future care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concede that the plaintiff sustained some injuries in the two motor-vehicle accidents. However, the position they take with respect to the extent of the injuries and the damages for which compensation is to be awarded differs quite dramatically from the position of the plaintiff. The defendants agree that there should be an award for general damages, but do not accept that the plaintiff has established an entitlement to recover under any of the other heads of damages, except for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An important issue to be addressed in this matter is with respect to the plaintiff's condition at the time of the first accident. It will be recalled that she had been involved in two previous accidents and that injuries resulted from those. Conceptually, this case raises the issue of whether the plaintiff's claim is to be viewed as a "thin skull" matter or whether it is a "crumbling skull" situation. That entails an examination of her condition at the time of 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second issue to be considered is that of divisibility.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propose to begin by setting out in some detail the testimony of the plaintiff: her description of her background, the accidents and the injuries and their effects on her. I will also discuss the evidence of other witnesses she called - her husband, her mother and two employment related witnesses. Reference will be made to the expert evidence, with a focus on the portions that seem most relevant. After having done that, I will state in a summary way my findings of the injuries and the effect they have had on the plaintiff. While I may not make specific mention of all the testimony and all the reports that have been tendered, I have examined and considered the entire body of evidence in the process of arriving at the conclusions that I have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Following that, each of the heads of damage under which the plaintiff brings her claims will be discussed and dealt with.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to the plaintiff, her husband, her mother and two employment related witnesses testified at trial. As well, there were a number of expert opinions tendered in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 personal 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the time of trial, the plaintiff was 25 years of age; she was born March 13, 1987. As well, she was seven months' pregnant. Because of discomfort that she was experiencing with her pregnancy, although she had not yet started her maternity leave, she was taking time off work from her current employment with Westcoast Cylinders; she has been there since July 2010. Her job responsibility consists of administrative duties, dealing with accounts and some customer service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is a high-school graduate. The evidence discloses that she was a fit and active youth, participating in a number of sports during her time at school, including basketball, volleyball, floor hockey and competitive cheerleading. She was socially outgoing and, after leaving high school, she continued to be active and enjoyed good health. Generally speaking, she was a healthy, content and well-adjusted young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When she was in high school, Ms. Dunne began to work part-time in the hospitality industry. Her first employment in that field was at a restaurant, Joey's, where she started out in May 2003 performing hostess duties and bussing tables. She remained there for a total of five years, including a time after her graduation from high school in 2005. Although she did not work full-time hours, she worked a fairly substantial part-time shift. She left that job in early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After Joey's, the plaintiff found employment with Cactus Club restaurant. She was there from April 2008 until July 2009 when she took some time off to prepare for her wedding in July 2009. Ultimately, she chose not to return to Cactus Club, electing instead to pursue work outside of the restaurant industry. After taking some time to consider her options, she returned to the workforce in early 2010 when she took employment with a hair studio. She was there for a number of months, but then left and subsequently sought work placement through a personnel agency which matched her with the job at her current employer, Westcoast Cylinders. After working there for a period of time and filling a temporary vacancy, she was hired by the company as an employee. As at the date of trial, she remained employed there, although she was off work in anticipation of the birth of her first child. As best I can tell, the work situation at that location is a positive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Also by way of background, I will make brief mention of the two motor-vehicle accidents which preceded the incidents which are subject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first, on June 13, 2006, was an intersection collision. The plaintiff described herself as stiff and shaken up by the event. She subsequently saw the doctor, complaining of neck, back and wrist pain. In accordance with her doctor's suggestion, she took time off work, attended physiotherapy and took anti-inflammatory medication. By the fall of 2006, her condition was improving. She was resuming her physical activities and receiving some massage therapy. By the spring of 2007, prior to the second non subject motor-vehicle accident, she says that she was experiencing occasional neck pain but was at substantially her pre-accident activity level. She settled the claim on the basis that she felt that she was essentially recovered.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second accident prior to those at bar occurred on April 11, 2007. The plaintiff was a passenger in a vehicle which struck a parked car. She describes striking her head on the window and striking her shoulder. As a consequence, she attended at hospital. She describes experiencing serious headache, together with neck and shoulder stiffness. She saw her family doctor who recommended physiotherapy and time off work. As a consequence of the accident, she experienced some emotional symptoms, namely feeling distress when she was riding as a passenger in a car. She attended upon a psychologist for counselling in that regard; she found that to be effective and considered the situation resolved. As for physical injuries, by August/September 2007, she felt that her physical injuries were fairly well resolved. Although she had occasional intermittent neck pain and low back discomfort, she had largely returned to her normal activity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She settled her claim in respect of that accident in September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the fall of 2007, the plaintiff sustained a stress fracture of her foot. She attributes that condition to wearing high heeled shoes. She wore an air cast for a period of time; by early January 2008, she had resumed wearing high heels.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first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On January 10, 2008, the plaintiff was on her way to work at Joey's. She was stopped at a red light when her vehicle was struck from behind. She describes the force as "pretty hard". She said her body moved and was propelled forward. She was shaken up and panicked by the experience. She described pulling over; although the other vehicle did not stop, she was able to get the licence plate number. She was quite upset and called her mother, then drove home. Later in the day, she went to work but, because of pain and discomfort, left part way through her shift.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As a consequence of the accident, the plaintiff saw her doctor on January 14. She complained of headache, neck and back pain and described experiencing anxiety. The doctor recommended that she take some time off work, that she see a physiotherapist and that she take anti-inflammatory medication. In fact, she took a little time off work from her hostessing duties but then returned to a reduced schedule.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physical discomfort continued. The plaintiff says that a few weeks after the accident, she was experiencing significant back pain, neck pain and had difficulty lifting even light objects.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Because of that and the reduction of her work schedule, she stepped down from her assignment as front door manager at the restaurant. She said that was emotionally distressing for her and that her self-confidence was damaged. As well, the general pain persisted, including back pain, neck pain, headache and she also reports that she was nervous while travelling in an automobile. She was unable to do the usual physical activities that she was accustomed to, including jogging and fitness. Ultimately, as a result of the impact the injuries had upon her performance at work and the associated consequences, she elected to quit her job in March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One month later, in April, the plaintiff was hired by Cactus Club restaurant. Her aspiration was to get into management. However, she was required to work her way through a series of other positions before she could be considered for promotion.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She says that because she was continuing to experience neck and back pain, she was unable to work full-time. As well, she describes that she began to have pain in her left hip and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Between July and October 2008, the plaintiff embarked upon a course of physical therapy at Back in Motion. That consisted of traction, ultrasound, exercise and massage. She said that afforded her some relief but the symptoms continued.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She described her situation in the latter part of 2008 and over the winter as experiencing emotional difficulty in that she was anxious when she was in an automobile. As well, she said that she continued to have pain in her low and mid back, neck and shoulder pain and some accompanying headache. She said that because of these conditions, her physical and social activity was quite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Through the spring of 2009, she found the same condition substantially continued. She said that the neck and back pain she was experiencing made household chores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the spring of 2009, the plaintiff went through a course of physical treatment at Karp Rehabilitation. That involved stretching, strength training and cardio training. Her wedding was scheduled for July of that year, and she was very much hoping to be in a better state for that occasion. However, she claims that although her physical condition seemed to be improved, there was no long term relief from the discomfort.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wedding was in July 2009. She described it as being a happy occasion but that she was not content with how she looked. She said that because of her physical condition, she had to wear flat shoes; because of her back discomfort, it was decided that there would be no receiving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plaintiff had taken some time off for her wedding. Following that, she intended to return to Cactus Club but recognized that performing serving duties was problematic for her. In discussion with the employer, she came to realize that there were no realistic management prospects available to her and so she quit the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Dunne remained out of the workforce for the balance of 2009; she said that she was assessing what was available and wanted to make the right decision as to what she should do going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January 2010, the plaintiff commenced employment at Megahair. That was a full-time job which she expected to be less physically demanding. Nevertheless, she experienced continuing back pain, occasional hip pain, and neck pain sometimes accompanied by headache.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second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 February 24, 2010, the plaintiff was driving to work. Her vehicle was rear-ended at a stop light. She describes being jolted forward by the force of the impact. She exchanged information with the other driver; she said that she then "fell apart" emotionally. She said she felt nauseous but nevertheless went on to work. However, she was only able to remain there briefly and then went to see her doctor. She was having neck pain, headache and her lower back pain had flared up. The doctor recommended that she take some time off work, and that she seek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plaintiff made arrangements to work part-time because of that situation. She also attended at the Canadian Back Institute in March 2010 for a program of therapy. That included massage, ultrasound, and exercises. She described that as having provided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May 2010, Ms. Dunne quit her job at Megahair. As I understand the evidence, the principal reason for that was not related to the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July 2010, she began her employment at Westcoast Cylinders, as described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By July 2010, the plaintiff was continuing to experience the same pain and discomfort symptoms, and in fact she testified that they were growing worse. She saw her doctor in this regard; he recommended that she consider leaving her job. Instead, she arranged to have her hours modified.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Between August 2011 and October 2011, the plaintiff completed a course of rehabilitation with a trainer at Fitlife. That consisted of two or three sessions per week. She testified that the program made her feel stronger and more fit. As a consequence, she elected to continue to use the services of a personal trainer and indicates that support is useful in terms of tailoring a program suited to her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mentioned earlier, in October 2011, her employment status changed in that she was hired directly by Westcoast Cylinders; the employment agency was no longer a factor in the arrangement.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January 2012, the plaintiff went to see her doctor. She explained that she was having ongoing pain and anxiety and that she was feeling overwhelmed at work, not able to cope. She found herself tearful and frustrated because of that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Ms. Dunne has declined to take medication for anxiety or depression. She states that the reasons for that decision include that she has observed an adverse experience in a family member and as well a concern with becoming reliant upon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order to make her time at work less problematic, and particularly in light of her pregnancy, she took a number of measures, including the use of a sitball and a kneeling pad type chair. She finds she has to change her position frequently. As well, she arranged to work a reduced shift and as of February 9, 2013, she began a personal leave. In terms of accommodations for her discomfort, she advises that she uses a special lumbar pillow and that affords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employment situation with Westcoast Cylinders appears to be a positive one. The evidence is that the company arranged for the plaintiff to attend a course of training at BCIT. The plaintiff testified that she had some difficulties in the course because of the problems she has sitting and being comfortable. Nevertheless, the course was successfully completed.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With respect to her work situation going forward, Ms. Dunne indicates that she is interested in pursuing a career in the field of operations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plaintiff says and the evidence indicates that her relationship with her husband has been adversely affected; she says that is because of the injuries she sustained and the psychological fallout that accompanied those injuries. In the summer of 2012, there were serious difficulties in the marriage. The parties separated for approximately one month. They subsequently arranged to get back together and have taken counselling that appears to have been helpful. Nevertheless, there remain matters that will have to be worked through and resolved. That experience, the difficulty in the marriage, was obviously very troubling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Physically, the plaintiff is not able to participate in some of the activities that are important to herself and her husband as a couple. Such activities include active outdoor pursuits, which I conclude is a significant part of her husband's recreational interest, and long automobile trips. As well, it is evident that their intimate relations have been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Insofar as household chores are concerned, the plaintiff describes her ability to bend, lift, stretch, and carry as much reduced. She describes herself as a very particular housekeeper and so these limitations have proven frustrating to both herself and her spouse.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evidence discloses that physical functional testing has been conducted upon the plaintiff. While those results indicate an ability to perform specific tests and exercises, the point Ms. Dunne makes is that, when many usual and ordinary physical activities are done in the course of everyday life, the discomfort and the limitations from the injuries are often more impactful than the report would seem to predict.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 says as well that her social life with her peers has been affected. She finds herself less able to join her friends and enjoy their usual activities. That is in part, it would seem, a function of the fact that her mood is quite often down - in the same way that her relations with her husband have been affected.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With respect to the issue of parenting, an imminent reality for the plaintiff, she testified as to her concern regarding her ability to be a full, hands-on involved parent. She worries that her limitations will adversely impact her ability to be a fun and active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 factor of some complication is the plaintiff's husband's career path. He is employed in the marine industry. As at the date of trial, he was employed by BC Ferries and, as I understand, had a reasonably manageable work schedule. However, his aspiration is to find other work in that field, more responsible work. The plaintiff anticipates this will likely mean that he will be away from home for multi-day periods. The plaintiff expressed doubt as to her ability to manage parenting responsibilities and household duties on her own in such a situation without extra help.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To summarize, Ms. Dunne's current situation, as at the time of trial, is that she experiences low back pain on a frequent basis. She reports that on occasion, usually in the order of a few times per week, she has neck pain and associated headaches. She testified that when her low back pain is severe, it sometimes radiates into her mid and upper back. In addition to the physical discomfort, she says that she has ongoing anxiety while travelling in an automobile. She feels that her injuries have left her meaningfully disadvantaged in terms of pursuing the career she most wanted to have, in restaurant management, and she believes that her general capacity in the employment field has been diminished. She is concerned and worried that her injuries are having a deleterious effect upon her marriage. She also testified that she feels that she needs help in her home, she needs help with respect to guided physical training and she needs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plaintiff's husband testified as to his observations of her. The thrust of his evidence is supportive of her testimony as to the discomfort and particularly her anxiety when she is travelling in an automobile. His evidence is that her problems, her mood and her disposition, have been a real source of difficulty and conflict between them. He testified with respect to how her limitations have affected the allocation of household responsibilities, imposing a substantially greater load upon him. He also spoke to the way in which her limitations have impacted the scope of what they do together as a couple.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Dunne's mother testified. She described her observations of the plaintiff's apparent discomfort and how it appears to her that events have impacted the plaintiff psychologically. She describes the plaintiff's unhappiness that she was unable to continue in the restaurant industry and mentioned the observations she has made concerning the plaintiff's difficulty while travelling in an automobile.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Jesse Cera was a witness called by the plaintiff. He is the general manager of Joey's restaurant in Coquitlam. He has worked with the plaintiff both as a co-worker in earlier years and then later as her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He described the range of compensation available to persons who are performing management tasks in the industry. He explained that the salary range is in the order $40,000 to $45,000 per year for persons in mid-management; assistant general managers can typically expect to earn $60,000 to $70,000 per year and a general manager can reasonably aspire to earn a salary of $100,000 or sometimes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Cera described the demands that restaurant management imposes, including long hours, and a great deal of 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Cera testified that in his observation, the plaintiff displayed qualities that typically enable people to succeed in the industry: she was a hard worker and had a good attitude; she was considered a good employee and was recognized as having initiative. During her time at Joey's, she had taken responsible roles in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addition, Mr. Cera testified that their company has a culture of promoting from within and promoting women into positions of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Finally, Mr. Cera testified as to his observations in 2008, namely that the plaintiff appeared to be in pain. In his view, she seemed to be struggling to cope with her duties. Her work performance was not satisfactory and she did not seem upbeat and cheerful as she had previously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Another witness called by the plaintiff was Terry Volpatti. He is the accountant and office manager at Westcoast Cylinders and is the plaintiff's supervisor there. He spoke to his observations of her time at the company. In his view, it appeared that she was having difficulty making herself physically comfortable at the workplace. Generally, he described her as being a well-regarded employee.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tendered two reports of Dr. Toews. He is the plaintiff's family physician. His reports were dated November 2008 and July 2012. He also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His evidence is that in the summer of 2011, he recommended to the plaintiff a reduction of her hours. Also, in early 2012, he diagnosed the plaintiff as having reactive depression. He did not prescribe anti-depressant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In July 2012, Dr. Toews diagnosed the plaintiff's condition as one of chronic pain syndrome. His prognosis for a full recovery was optimistic, although he testified that his opinion was formed without the benefit of the more intensive investigations and opinions of two other witnesses, Dr. Koo and Dr. Weiss. In light of the information contained in their reports, his view as to her prospects for full recovery was more restrained and guarded.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Koo is a specialist in physical medicine and rehabilitation. He conducted three assessments of the plaintiff and prepared a total of four reports. For the most part, I concluded that the work he had done was precise and thorough and that his opinions were well-based upon careful investigation. His opinion, as expressed in his report of October 22, 2012, is that the two motor-vehicle accidents at bar resulted in the following injuries to the plaintiff:</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on chronic cervical soft tissue injury, with myofascial pain of the trapzezius, scalene and paraspinal muscles more pronounced on the left, and left peri-scapular muscles including levator scapula, rhomboids and teres major, radiating to mid back;</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Cervicogenic headaches;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Posttraumatic thoracic outlet syndrome with intermittent numbness and tingling, more pronounced on the left;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Acute on chronic soft tissue injury of the thoracolumbar paraspinal muscles, with mechanical low back pain more pronounced on the left;</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Lateral thigh pain originating from iliotibial band tightness;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Exacerbation of posttraumatic stress and anxiety with hypervigilance and panic symptoms;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Deconditioning, weight gain and loss of normal cervical and hip adduction range of motion;</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Hypermobility syndrome (pre-existing); and</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Adjustment reaction.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With respect to the effect of the two prior motor-vehicle accidents, that is the plaintiff's condition immediately before the subject accidents, his evidence is that the earlier accidents rendered the plaintiff susceptible to a more serious injury and that their effect contributed to the protracted nature of her recovery from the subject accidents. He also expressed the opinion that, if the two subject accidents had not occurred, the plaintiff would likely have continued to enjoy gradual improvement from the prior accidents and that her circumstances would be markedly different. In his opinion, prior to the first of the subject motor-vehicle accidents, the plaintiff was in the order of 70% recovered from the previous accidents. His opinion is that, but for the subject accidents, her recovery may have plateaued or it may have gone on to a full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He testified that where successive whiplash injuries are incurred, the effects are often cumulative. The consequence is that persons with unresolved injuries are more likely to have protracted or permanent injury from subsequent insults.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Dr. Koo's opinion, the prognosis for further improvement is poor. He opines that she is likely to have intermittent mechanical neck and back pain aggravated by daily postural demands and so her present condition may be permanent. He notes that the plaintiff continues to have pain and activity limitations which are related to the soft tissue injuries and myofascial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Koo observes that the demands of young motherhood can also have an exacerbating effect upon pain. In that regard, he recommends that consideration be given to providing support respecting household chores and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Ganesan, a psychiatrist, examined the plaintiff and prepared a report which was tendered by the plaintiff. He also testified at trial. His evidence was generally supportive of the plaintiff's position that she experienced pain, anxiety and depression symptoms as a consequence of these accidents and that these are factors that will have some impact in her ongoing future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evidence of Janet Hunt, an occupational therapist, is before the Court. She assessed the plaintiff on two occasions, providing reports respecting functional/work capacity and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Ms. Hunt's conclusion is that the plaintiff, by reason of her present condition, is not suited to work in the restaurant industry. As well, she considers the plaintiff is not well-suited to a full-time clerical job, such as she has at Westcoast Cylinders. In the witness' opinion, the plaintiff is better suited to a reduced schedule, which she defines as up to 33 hours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Additionally, this witness recommends some housekeeping assistance to be provided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Dr. Wallace is a psychological and vocational rehabilitation consultant. He conducted an examination of the plaintiff and provided a report dealing with a number of elements, including the plaintiff's vocational aptitudes, capabilities and limitations in the context of available avenues for her and her prospects. He was not called to be cross-examined.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Grypma is an orthopedic surgeon. He conducted an examination and assessment of the plaintiff and prepared a report at the request of the defendants. The essence of his conclusion is that the plaintiff sustained a very mild soft tissue injury in each of the subject accidents, and that resulted in an aggravation of pre-existing symptoms in her neck. Generally, he seems inclined to attribute her neck symptoms and back symptoms to deconditioning and inactivity, and opines that these are unlikely to be consequences of the motor-vehicle accidents. He observed that her subjective complaints are not supported by objective findings. He offers the observation that she would benefit from regular home exercise and can see no reason why she would not be able to return to full duties at work and resume her leisure activities. In short, he finds very little of any substance arising from his investigations. His conclusions are quite markedly at odds with those of Dr. Koo.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Also before the Court is the evidence of Dr. Weiss. She is a psychiatrist who examined the plaintiff at the request of the defendants. Her report is filed and she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It is apparent that Dr. Weiss was quite thorough in her investigation. It is also evident that she was favourably impressed by the plaintiff; she concluded that Ms. Dunne was a stoic and determined individual.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her report, Dr. Weiss has provided her diagnosis: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 (psychiatric disorders) after the accident: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 (GAD)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Depression (MDD)</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 traumatic stress disorder (PTSD)</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Panic attacks which do not meet the criteria for panic disorder (5 attacks/2 years secondary to re-experiencing the accident)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Chronic pain</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Driving phobia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II (personality disorders, developmental delay): None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III (medical conditions): Neck and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IV (stressors): Severe</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Death of four family members</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MVAs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Axis V: (functioning): 60</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 CONDITION: Two years following her last accident, Tara has learned to live with chronic pain. She no longer takes medication, even when the pain is about a 4/10. At noted by the OT, she minimizes her symptoms and her numerical rating of her pain was quite a bit lower than the actual impairment she suffers. Despite her stoic attitude, she is still constantly worried, fearful of the consequences of pain on the pregnancy, has a damaged sense of self worth, is hyper vigilant, fearful of driving, and has multiple symptoms of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with respect to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plaintiff has described the effects and impacts of the two subject motor-vehicle accidents upon her. Her description includes the discomfort she suffered and that she says she continues to suffer as well as the measures she has taken to find relief and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a matter such as this, where her complaints are really not easily amenable to objective verification, the court is obliged to take considerable care in examining all of the evidence in order to be satisfied that the plaintiff's reports of injury and discomfort are credible. That said, I do not understand it to be the case that there should be a presumption that such claims are without merit.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well, in this case, there are two other considerations that mandate a careful and critical assessment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first of these is that, in each of the accidents, the collisions were of the low velocity type - there was minimal material damage caused. The second factor is that some of the injuries that the plaintiff says she incurred are not physical but rather psychological.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Dealing first with the low velocity and minimal material damage aspect, I note that the defendants have tendered a report prepared by an engineer with expertise in the field of accident reconstruction. The essence of his opinion is that in each of the subject collisions, the velocity change experience by the plaintiff's vehicle was probably less than about 12 km. per hour. The photographs contained in his report also demonstrate that the damage done to the cars by the collision was quite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I appreciate that to have to been the case and I accept that common sense might generally dictate that a minor collision would not be expected to result in significant injuries. However, there is simply no basis upon which I am able to extrapolate the information concerning the velocity of the collision to a conclusion that the plaintiff's injuries must therefore necessarily be of a certain type and degree. As has been judicially observed in a multitude of cases, the court cannot conclude that because the impact of the collision was relatively minor, then any resulting injuries must necessarily be minor as well. Justice Thackeray noted in </w:t>
      </w:r>
      <w:r>
        <w:rPr>
          <w:rFonts w:ascii="arial" w:eastAsia="arial" w:hAnsi="arial" w:cs="arial"/>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38 A.C.W.S. (3d) 924</w:t>
        </w:r>
      </w:hyperlink>
      <w:r>
        <w:rPr>
          <w:rFonts w:ascii="arial" w:eastAsia="arial" w:hAnsi="arial" w:cs="arial"/>
          <w:color w:val="000000"/>
          <w:sz w:val="20"/>
          <w:lang w:val="en-US" w:eastAsia="en-US" w:bidi="ar-SA"/>
        </w:rPr>
        <w:t xml:space="preserve"> (S.C.):</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Significant injuries can be caused by the most casual of slips and falls. Conversely, accidents causing extensive property damage may leave those involved unscathed. The presence and extent of injuries are to be determined on the basis of evidence given in court. Objectivity is thus preserved and the public does not have to concern itself with extraneous philosophies that some would impose on the judicial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magnitude of the collision is one factor the court will take into account, but it will be considered in the totality of the evidence. Generally, its effect with respect to determination of resultant injuries will not be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As for the issue of psychological injuries, it is recognized that such claims, where there is no tangible, objective support to confirm the condition, and where the condition continues past what one might expect to be a sensible or reasonable recovery, have to be carefully scrutinized.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62 A.C.W.S. (3d) 288</w:t>
        </w:r>
      </w:hyperlink>
      <w:r>
        <w:rPr>
          <w:rFonts w:ascii="arial" w:eastAsia="arial" w:hAnsi="arial" w:cs="arial"/>
          <w:color w:val="000000"/>
          <w:sz w:val="20"/>
          <w:lang w:val="en-US" w:eastAsia="en-US" w:bidi="ar-SA"/>
        </w:rPr>
        <w:t xml:space="preserve"> (C.A.), Justice Lambert discussed the conceptual approach to assessing such a claim. Without treating the matter too simplistically, it seems to me that the considerations a trier of fact must take into account include these:</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pain or discomfort or unusual condition real? Is the plaintiff actually experiencing it?</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the condition must be genuinely related to the defendant's wrongful act, not driven by any improper motivation of the plaintiff, such as seeking sympathy or care for care's sake, or to gain compensation.</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claim will not be compensable if the plaintiff could overcome the condition by exertion of his or her own resources - willpower and determination. The court must be satisfied that the plaintiff genuinely seeks to overcome the condition.</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Expert medical or psychological opinion evidence relevant to the issue should be carefully scrutinized and considered by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That summarization is neither elegant nor, I am sure, perfectly comprehensive. However, it attempts to capture the court's task: recognizing that psychological injuries can result from the tortfeasor's conduct, and because such injury is usually not verifiable by the usual objective means, the court must examine all of the circumstances and all of the evidence, with care, to ensure that such claims are honest and real. The task is complicated as well because of the difficulty with respect to predictions and prognosis in such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With those observations made, I turn now to my assessment of the injuries that the plaintiff incurred in these two accidents and the effects that they have had upon her life and her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principal evidence is that of the plaintiff. She is the one who has experienced these events and she is uniquely able to describe them. Of course, other witnesses and other evidence are to be considered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found the plaintiff to be an essentially truthful and reliable witness. Her description of the pain and discomfort she experienced has not been meaningfully cast in doubt. Of course, given the magnitude of the documentary trail that cases of this nature usually generate, it is not surprising that points of inconsistency can be found. In the present matter, there were examples of that phenomenon. I will cite one:</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testified at trial that, after the second subject motor-vehicle accident, she pulled her vehicle over not once but twice, once to speak with her husband by telephone. Defence counsel observes that in her statement to ICBC, the plaintiff did not make mention of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With respect, and taking that example, I see nothing of real importance in that discrepancy. Nor did I find other such contradictions to be meaningfully relevant to my assessment of the plaintiff as a witness. Ms. Dunne's descriptions and her testimony were reasonably well supported by the evidence of other witnesses that were called.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matter of describing in perfectly accurate detail such matters will inevitably be difficult. Recollections are not always perfect. If there was any reason to question the plaintiff's reliability, it would be on the basis that her view of matters may be, to some extent, coloured by a sense of frustration at her plight.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Based upon all of the evidence, I make the following conclusions:</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first subject motor-vehicle accident, her condition (as it relates to injuries from her two prior motor-vehicle accidents) was that she was largely recovered. I find that she was experiencing relatively minor and infrequent symptoms of those injuries, namely some neck pain and back pain. In other words, those injuries had not fully resolved. It is however, in my view, telling that she had settled both of those claims.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 related vein, I accept the evidence (specifically the evidence of Dr. Koo) that, at the time of the first subject motor-vehicle accident, her path of recovery from the two prior motor-vehicle accidents was on track for a continuing and gradual improvement. Her full recovery was a reasonably likely possibility.</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motor-vehicle accident resulted in soft tissue injuries. Those injuries impacted her ability to perform her job. They caused her pain and suffering and interfered with her ability to engage in her usual recreational activities. They also had a discernible psychological impact upon her. Although she pursued rehabilitation programs that were recommended and available for her, the discomfort persisted.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effects of the second motor-vehicle accident were similar and, to some extent, cumulative.</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terms of the physical injuries that the plaintiff sustained in the course of the two subject motor-vehicle accidents, I generally accept the evidence of Dr. Koo.</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psychological dimension to the fallout that the plaintiff incurred. She experienced, and continues to experience, although in a diminishing way, real anxiety and an actual distress reaction while travelling in an automobile. The evidence of other witnesses confirms that she was a difficult passenger. The proposition is logical and I have no reason to disbelieve it.</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another aspect as well: that is a feeling of reduced competence and confidence which resulted in the plaintiff's decision to leave her job at Joey's. She subsequently experienced some difficulty in finding an acceptable vocational track. In my view, there is some connection between the consequences of the injury and those circumstances.</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specifics and scale of the psychological aspect of her difficulties, I generally accept the evidence of Dr. Weiss. Her findings are set out earlier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plaintiff's damage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Before dealing with the individual heads under which the damage claims are advanced, there are certain preliminary matters to be addressed.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They involve the notion of causation, the matter of the divisibility and indivisibility of injuries and the thin skull/crumbling skull issue that I mentioned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 basic rule is that a defendant is liable for any injuries caused or contributed to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test for causation, other than in special circumstances not present here, is the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Even though there may be multiple causes of the injury, as long as the defendant's act is a cause of the damage, then the defendant is fully liable for that damage. If the plaintiff has multiple injuries which are divisible and the court can determine which tort caused which injury, the respective tortfeasors are only responsible for the injury they caused: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24-25. On the other hand, if the plaintiff's injuries are indivisible, any and all defendants who caused or contributed to the injuries will be fully liable for them: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assessing damages, the starting point is the plaintiff's original position, i.e. before the defendant's tortious act. The defendant is not obliged to put the plaintiff in a position that is better than that original position, and is not required to compensate the plaintiff for damages that he would have suffered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The "crumbling skull" principle is engaged where, at the time of the event, the plaintiff had a symptomatic pre-existing condition or a pre-existing condition and there was a measurable risk that there would have been a loss in any event. That factor is considered in the damage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"thin skull" rule is based on the notion that a tortfeasor takes his victim as he finds him, and that includes weaknesses or propensities to unusual manifestations of harm or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summarized the two principles at para. 35: "[t]he defendant is liable for the injuries caused, even if they are extreme, but need not compensate the plaintiff for any debilitating effects of the pre-existing condition which the plaintiff would have experienced anyways".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More recently, the British Columbia Court of Appeal explained the relationship between divisible/indivisible injuries and the thin/crumbling skull principles in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 xml:space="preserve"> at para. 43: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the injury is indivisible, then the plaintiff is entitled to be compensated for the loss flowing from the indivisible injury. However, if the plaintiff has a pre-existing condition and there was a measurable risk that the condition would have resulted in a loss anyway, then that pre-existing risk of loss is taken into account in assessing the damages flowing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Applied to the case at bar, it is my conclusion that the injuries that the plaintiff suffered and for which she seeks compensation in these actions are indivisible as between the defendants. The Court is asked to decide what compensation she should be awarded for a constellation of difficulties she says were caused by these two motor-vehicle accidents. While I might, I suppose, make some minor allocation on a temporal basis, particularly with respect to the injuries and effects she experienced after the first and before the second collision, the more sensible and logical approach is to recognize that the conditions which are to be addressed are substantially indivisible - the nature of the injuries are similar and the consequences of the second are a continuation and an overlay of the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To attempt to separate or divide the plaintiff's injuries would be largely an exercise in frustration and futility. Accordingly, I conclude that each of the defendants is liable for the damages which the plaintiff has proven; there will be no division.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With respect to the thin skull/crumbling skull issue, I find that, at the time of the first subject motor-vehicle accident, the plaintiff was, for the most part, recovered from the injuries which she sustained in the two prior accidents. She was experiencing occasional episodes of back and neck discomfort but I am satisfied that the likelihood is that she would have continued on a course of effectively full or substantial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 find no reasonable basis to conclude that, but for the motor-vehicle accidents at issue, she would have experienced the injuries and ongoing difficulties that she did. That observation applies to both physical and psychological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 plaintiff is entitled to receive an award of damages under this head as compensation for the pain, suffering, loss of enjoyment of life and loss of amenities resulting from the tortfeasor's negligent conduct. Determination of an appropriate award will necessarily take into account the injuries and the effect they have had on the particular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 number of factors, described as a non-exhaustive list of matters to be considered, was spelled out:</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Giang v. Clayton, </w:t>
      </w:r>
      <w:hyperlink r:id="rId41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There are three observations to be made. The first is that the amount of non-pecuniary damages is a one-time award. It must take into account both the effects which have been suffered to date of trial and it must also, where circumstances warrant, have a prospective dimension: it must reflect an assessment of what the future will likely hold and provide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Secondly, the award of damages must be fair to both the plaintiff and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Finally, there is the matter of referring to other awards made by other courts in circumstances that have similarities to the case at bar. While that exercise can be useful, it is generally true that the specifics of any particular case will be unique, and so, while the process of comparison can be of assistance, it is by no means a mechanism of calculating a proper award by comparative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Turning to the matter at hand, the plaintiff's position is that the pain, suffering and damage to her ability to enjoy her life has been of a high order. In the plaintiff's submission, this effect goes back to when she was 19 years old, the time of the first accident. The plaintiff says that she was an active and happy person, working at a job she loved and with good reason for optimism as to her future in that vocation. Her lot seemed bright.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 plaintiff says that as a consequence of the accidents, she was left with chronic pain in her neck and back and frequent headache. That has impacted upon her ability to enjoy recreational activities. There has been a corresponding emotional effect in that, as a consequence of these accidents, in addition to chronic pain, she suffers from anxiety, Post Traumatic Stress Disorder (PTSD) and depression. Those effects have had other implications, including marital difficulties, and a persistent state of anxiety while travelling in an automobile. In short, she says that her ability to enjoy life has been substantially damaged. She is concerned that these conditions will adversely and meaningfully impact her ability to play a full parental role with her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To summarize, she says that the effects of these accidents have been significant and multi-faceted; she says that her prognosis is not good and that she will likely continue to experience chronic pain and the emotional adversity that she is presently facing. In all the circumstances, she contends that an appropriate award is in the order of $135,000.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She supports her position by reference to a number of case authorities, reflecting a quantum of damage awards ranging from a low of $90,000 to a high of $200,000.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accept that the plaintiff is entitled to an award of non-pecuniary damages, but take issue with respect to the nature and extent of the injuries and their effect, and, therefore, the quantum of a fit award. They say that in similar cases of chronic soft-tissue injuries with a psychological overlay, the authorities establish a range of between $45,000 and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In considering the appropriate quantum of damages in this case, I have taken into account the ongoing discomforts that have resulted from the plaintiff's soft-tissue injuries, and I accept that there is a reasonable basis to believe that she will not ever be fully symptom free. I do believe that, with diligent attention to exercise and lifestyle management, she will be largely able to keep that situation at a fairly low level and its episodic occurrence infrequent and intermittent. The evidence satisfies me that the trend is very much a matter of diminishing acuity.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 accept that the discomfort has impacted other areas of the plaintiff's life, including her marital relationship and her ability to be socially comfortable and content. It is reasonable to expect that her injuries and ongoing affects will have an impact upon her parental role.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There is as well the psychological dimension of the plaintiff's injuries. As noted, I generally accept the findings and conclusions of Dr. Weiss, although, frankly, knowing what I do of the plaintiff's character and approach to life, I expect that her resilience and life skill assets will enable her to deal with her future and her lot more competently than might be predicted.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 have examined each of the authorities to which I have been referred by counsel. I do not propose to cite and discuss each for the purpose of these reasons. Some are less relevant than others. To reiterate a point made earlier, none of them is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Three of the cases to which I have been referred are, in my view, particularly useful and relevant to the assessment of an appropriate award of non-pecuniary damages in the present case: </w:t>
      </w:r>
      <w:r>
        <w:rPr>
          <w:rFonts w:ascii="arial" w:eastAsia="arial" w:hAnsi="arial" w:cs="arial"/>
          <w:i/>
          <w:color w:val="000000"/>
          <w:sz w:val="20"/>
          <w:lang w:val="en-US" w:eastAsia="en-US" w:bidi="ar-SA"/>
        </w:rPr>
        <w:t>Olson v. Ironside</w:t>
      </w:r>
      <w:r>
        <w:rPr>
          <w:rFonts w:ascii="arial" w:eastAsia="arial" w:hAnsi="arial" w:cs="arial"/>
          <w:color w:val="000000"/>
          <w:sz w:val="20"/>
          <w:lang w:val="en-US" w:eastAsia="en-US" w:bidi="ar-SA"/>
        </w:rPr>
        <w:t xml:space="preserve">, </w:t>
      </w:r>
      <w:hyperlink r:id="rId415" w:history="1">
        <w:r>
          <w:rPr>
            <w:rFonts w:ascii="arial" w:eastAsia="arial" w:hAnsi="arial" w:cs="arial"/>
            <w:i/>
            <w:color w:val="0077CC"/>
            <w:sz w:val="20"/>
            <w:u w:val="single"/>
            <w:shd w:val="clear" w:color="auto" w:fill="FFFFFF"/>
            <w:lang w:val="en-US" w:eastAsia="en-US" w:bidi="ar-SA"/>
          </w:rPr>
          <w:t>2012 BCSC 546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Murphy v. Jagerhofer</w:t>
      </w:r>
      <w:r>
        <w:rPr>
          <w:rFonts w:ascii="arial" w:eastAsia="arial" w:hAnsi="arial" w:cs="arial"/>
          <w:color w:val="000000"/>
          <w:sz w:val="20"/>
          <w:lang w:val="en-US" w:eastAsia="en-US" w:bidi="ar-SA"/>
        </w:rPr>
        <w:t xml:space="preserve">, </w:t>
      </w:r>
      <w:hyperlink r:id="rId416" w:history="1">
        <w:r>
          <w:rPr>
            <w:rFonts w:ascii="arial" w:eastAsia="arial" w:hAnsi="arial" w:cs="arial"/>
            <w:i/>
            <w:color w:val="0077CC"/>
            <w:sz w:val="20"/>
            <w:u w:val="single"/>
            <w:shd w:val="clear" w:color="auto" w:fill="FFFFFF"/>
            <w:lang w:val="en-US" w:eastAsia="en-US" w:bidi="ar-SA"/>
          </w:rPr>
          <w:t>2009 BCSC 335</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Shapiro v. Dailey</w:t>
      </w:r>
      <w:r>
        <w:rPr>
          <w:rFonts w:ascii="arial" w:eastAsia="arial" w:hAnsi="arial" w:cs="arial"/>
          <w:color w:val="000000"/>
          <w:sz w:val="20"/>
          <w:lang w:val="en-US" w:eastAsia="en-US" w:bidi="ar-SA"/>
        </w:rPr>
        <w:t xml:space="preserve">, </w:t>
      </w:r>
      <w:hyperlink r:id="rId417" w:history="1">
        <w:r>
          <w:rPr>
            <w:rFonts w:ascii="arial" w:eastAsia="arial" w:hAnsi="arial" w:cs="arial"/>
            <w:i/>
            <w:color w:val="0077CC"/>
            <w:sz w:val="20"/>
            <w:u w:val="single"/>
            <w:shd w:val="clear" w:color="auto" w:fill="FFFFFF"/>
            <w:lang w:val="en-US" w:eastAsia="en-US" w:bidi="ar-SA"/>
          </w:rPr>
          <w:t>2010 BCSC 770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Taking all of the circumstances into account, and having regard to the authorities relied upon by counsel, it is my view that the plaintiff should recover the sum of $110,000 to compensate her for her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 note that the defendants contend that the plaintiff has failed to mitigate her losses, particularly the discomfort she alleges she suffered, by refusing to act reasonably. The law is clear that a plaintiff in a personal injury action has a positive obligation to act reasonably in mitigating her losses. This is premised on the proposition that the defendant should not be held liable for damages which the plaintiff could have reasonably avoided. In determining the issue of mitigation, the defendant has the onus to establish on a balance of probabilities that the plaintiff has failed to act reasonably and, as well, to establish the extent to which the damages would have been lessened had the plaintiff so 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Specifically, it is alleged that her decision that she would not take anti-depressant medication and did not avail herself of counselling in order to treat her pain, depression and anxiety was unreasonable; the defendants say that if she had done so, her condition could have been expected to be less difficult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While there is some basis in the evidence to conclude that anti-depressant medications were an available method of treatment for the anxiety and psychological difficulties the plaintiff was experiencing, I am unable to find that such a course of treatment was recommended for her in such a way that failing to do so was an unreasonable decision which undermined her recovery process. In so deciding, I take into account that the plaintiff has provided a viable and sensible explanation for her decision, namely that she had observed firsthand the experience of her brother with respect to such medications, and that informed her view. Her pregnancy was also a consideration in her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In short, I am unable to conclude, on a balance of probabilities, that the plaintiff acted unreasonably in this regard. Indeed, it seems to me that, generally speaking, she was quite appropriately diligent in following courses of conduct that were recommended for her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There will be no reduction of damages to which she would otherwise be entitled because of a failure to mitigate her loss by acting unreasonably.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The plaintiff claims damages arising from her contention that, between the time of the first accident and the date of trial, her earnings were less because of the effects of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xml:space="preserve">  Properly speaking, the claim is characterized as compensation for a diminished earning capacity for that period. In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the Court said, at para. 30, "[t]hus, in my view, a claim for what is often described as 'past loss of income' is actually a claim for loss of earning capacity; that is, a claim for the loss of the value of the work that the injured plaintiff would have performed but was unable to perform because of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As detailed earlier, at the time of the motor-vehicle accident in January 2008, the plaintiff was working at Joey's. Her evidence is that her ability to perform was adversely affected by the effects of her injuries and that eventually, in April 2008, the frustration of the matter caused her to decide to leave that job. She resigned. She then took employment at a similar restaurant operation, Cactus Club. In both situations, she says that she very much aspired to advance in the industry, to a more senior management role. Again, at Cactus Club, she encountered difficulties because of physical limitations and also the fact that there was no available opportunity for her to progress to a management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Similar to the Joey's situation, she elected to resign from Cactus Club. After taking some time to consider her course of action, and in that interval having her wedding, the plaintiff took a job at Megahair. That did not turn out well; the reasons were more complex; if the effect of the motor-vehicle accident injuries was a factor, it was minor. Finally, she took a job at Westcoast Cylinders. That in fact has turned out to be a fairly positive situation. The plaintiff seems to be well-regarded there and the indications are that there is scope for advancement and greater job responsibility.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Of course, the evidence also establishes that her ability to be there in an uninterrupted and full-time capacity has been limited by issues attributable to her injuries from the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Determining the proper award is essentially a function of comparing actual earnings over the relevant time span to a reasonable estimate of what the plaintiff could have and should have earned, but for the accidents. Depending on the circumstances, the determination of an appropriate award may be amenable to calculation or, as in this case, it is quite significantly a matter of judgment and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In the plaintiff's submission, the range for an appropriate award of damages under this head is somewhere between a low of $22,000 and a high of $63,000. She says the court should properly award the sum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The defendants say that the plaintiff continued with part-time employment following the first and second subject motor-vehicle accidents and that, in fact, she increased her employment earnings thereafter. In the circumstances, they contend there is no past loss of income to be compensated.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My conclusion is that the plaintiff's ability to earn was adversely impacted by the actions of the defendants. That seems clear beyond argument. The more difficult issue is the quantification.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My view of the matter is informed by the conclusion that her track record prior to the first subject motor-vehicle accident was essentially something less than a full-time, 40 hour per week, pattern of employment at Joey's. The restaurant industry is one where the norm is flexibility and a tendency to a largely part-time labour force. The assumption contained within the plaintiff's position, of a fairly substantial increasing rate of earning, is a possibility, but by no means an assured or even likely outcome.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Relevant as well is that some of the reasons for her particular earning pattern are due to personal choices, such as time off for her wedding and her decision to reflect upon her ongoing career path.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Finally, the job she took at Westcoast Cylinders has turned out to be a reasonably worthwhile situation, considering that the plaintiff's job skills and qualifications are not specialized and are, in fact, fairly modest.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Taking all of that into account, I find the plaintiff is entitled to an award under this head of damages in the amount of $42,500.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The plaintiff seeks an award of damages to compensate her for the loss of her future earning capacity that she says was a consequence of these accidents.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Conceptually, an individual's capacity to earn an income is viewed as a capital asset. As award for future loss of earning capacity is thus compensation for a pecuniary loss. The authorities make clear that determination of the award is an assessment, not a calculation. It entails comparing what was the likely future of the plaintiff if the accident had not occurred and the likely future of the plaintiff after the accident has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xml:space="preserve">  Madam Justice Dardi has provided a helpful explanation of the relevant principles in Cruz v. Rahsid, </w:t>
      </w:r>
      <w:hyperlink r:id="rId418" w:history="1">
        <w:r>
          <w:rPr>
            <w:rFonts w:ascii="arial" w:eastAsia="arial" w:hAnsi="arial" w:cs="arial"/>
            <w:i/>
            <w:color w:val="0077CC"/>
            <w:sz w:val="20"/>
            <w:u w:val="single"/>
            <w:shd w:val="clear" w:color="auto" w:fill="FFFFFF"/>
            <w:lang w:val="en-US" w:eastAsia="en-US" w:bidi="ar-SA"/>
          </w:rPr>
          <w:t>2013 BCSC 1530</w:t>
        </w:r>
      </w:hyperlink>
      <w:r>
        <w:rPr>
          <w:rFonts w:ascii="arial" w:eastAsia="arial" w:hAnsi="arial" w:cs="arial"/>
          <w:color w:val="000000"/>
          <w:sz w:val="20"/>
          <w:lang w:val="en-US" w:eastAsia="en-US" w:bidi="ar-SA"/>
        </w:rPr>
        <w:t>. That part of her decision says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The legal principle that governs the assessment for loss of earning capacity is that, insofar as is possible, the plaintiff should be put in the position he or she would have been in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 It is well-settled that an award for future loss of earning capacity represents compensation for a pecuniary loss: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Compensation must be made for the loss of earning capacity and not for the loss of earnings: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w:t>
      </w:r>
      <w:hyperlink r:id="rId256" w:history="1">
        <w:r>
          <w:rPr>
            <w:rFonts w:ascii="arial" w:eastAsia="arial" w:hAnsi="arial" w:cs="arial"/>
            <w:i/>
            <w:color w:val="0077CC"/>
            <w:sz w:val="20"/>
            <w:u w:val="single"/>
            <w:shd w:val="clear" w:color="auto" w:fill="FFFFFF"/>
            <w:lang w:val="en-US" w:eastAsia="en-US" w:bidi="ar-SA"/>
          </w:rPr>
          <w:t>2011 BCSC 944</w:t>
        </w:r>
      </w:hyperlink>
      <w:r>
        <w:rPr>
          <w:rFonts w:ascii="arial" w:eastAsia="arial" w:hAnsi="arial" w:cs="arial"/>
          <w:color w:val="000000"/>
          <w:sz w:val="20"/>
          <w:lang w:val="en-US" w:eastAsia="en-US" w:bidi="ar-SA"/>
        </w:rPr>
        <w:t xml:space="preserve"> at para. 188.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[99] The recent jurisprudence of the Court of Appeal has affirmed that the plaintiff must demonstrate both impairment to his or her earning capacity and that there is a real and substantial possibility that the diminishment in earning capacity will result in a pecuniary loss. If the plaintiff discharges that requirement, he or she may prove the quantification of that loss of earning capacity either on an earnings approach or a "capital asset" approach as described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 </w:t>
      </w:r>
      <w:r>
        <w:rPr>
          <w:rFonts w:ascii="arial" w:eastAsia="arial" w:hAnsi="arial" w:cs="arial"/>
          <w:i/>
          <w:color w:val="000000"/>
          <w:sz w:val="20"/>
          <w:lang w:val="en-US" w:eastAsia="en-US" w:bidi="ar-SA"/>
        </w:rPr>
        <w:t>Morgan v. Galbraith</w:t>
      </w:r>
      <w:r>
        <w:rPr>
          <w:rFonts w:ascii="arial" w:eastAsia="arial" w:hAnsi="arial" w:cs="arial"/>
          <w:color w:val="000000"/>
          <w:sz w:val="20"/>
          <w:lang w:val="en-US" w:eastAsia="en-US" w:bidi="ar-SA"/>
        </w:rPr>
        <w:t xml:space="preserve">, </w:t>
      </w:r>
      <w:hyperlink r:id="rId420" w:history="1">
        <w:r>
          <w:rPr>
            <w:rFonts w:ascii="arial" w:eastAsia="arial" w:hAnsi="arial" w:cs="arial"/>
            <w:i/>
            <w:color w:val="0077CC"/>
            <w:sz w:val="20"/>
            <w:u w:val="single"/>
            <w:shd w:val="clear" w:color="auto" w:fill="FFFFFF"/>
            <w:lang w:val="en-US" w:eastAsia="en-US" w:bidi="ar-SA"/>
          </w:rPr>
          <w:t>2013 BCCA 305</w:t>
        </w:r>
      </w:hyperlink>
      <w:r>
        <w:rPr>
          <w:rFonts w:ascii="arial" w:eastAsia="arial" w:hAnsi="arial" w:cs="arial"/>
          <w:color w:val="000000"/>
          <w:sz w:val="20"/>
          <w:lang w:val="en-US" w:eastAsia="en-US" w:bidi="ar-SA"/>
        </w:rPr>
        <w:t xml:space="preserve"> at para. 53. Regardless of the approach, the court must endeavour to quantify the financial harm accruing to the plaintiff over the course of his or her working career: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at para. 19; </w:t>
      </w:r>
      <w:r>
        <w:rPr>
          <w:rFonts w:ascii="arial" w:eastAsia="arial" w:hAnsi="arial" w:cs="arial"/>
          <w:i/>
          <w:color w:val="000000"/>
          <w:sz w:val="20"/>
          <w:lang w:val="en-US" w:eastAsia="en-US" w:bidi="ar-SA"/>
        </w:rPr>
        <w:t>X. v. Y</w:t>
      </w:r>
      <w:r>
        <w:rPr>
          <w:rFonts w:ascii="arial" w:eastAsia="arial" w:hAnsi="arial" w:cs="arial"/>
          <w:color w:val="000000"/>
          <w:sz w:val="20"/>
          <w:lang w:val="en-US" w:eastAsia="en-US" w:bidi="ar-SA"/>
        </w:rPr>
        <w:t xml:space="preserve"> at para. 183. The authorities establish that an inability to perform an occupation that is not a realistic alternative occupation is not proof of an income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As enumerated by the court in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at para. 41, aff'd </w:t>
      </w:r>
      <w:hyperlink r:id="rId42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 the principles which inform the assessment of loss of earning capacity include the following:</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standard of proof in relation to hypothetical or future events is simple probability, not the balance of probabilities: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 Hypothetical events are to be given weight according to their relative likelihood: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make allowances for the possibility that the assumptions upon which an award is based may prove to be wrong: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79 (S.C.), aff'd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Evidence which supports a contingency must show a "realistic as opposed to a speculative possibility": </w:t>
      </w:r>
      <w:r>
        <w:rPr>
          <w:rFonts w:ascii="arial" w:eastAsia="arial" w:hAnsi="arial" w:cs="arial"/>
          <w:i/>
          <w:color w:val="000000"/>
          <w:sz w:val="20"/>
          <w:lang w:val="en-US" w:eastAsia="en-US" w:bidi="ar-SA"/>
        </w:rPr>
        <w:t>Graham v.Rourke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(1990), 75 O.R. (2d) 622</w:t>
        </w:r>
      </w:hyperlink>
      <w:r>
        <w:rPr>
          <w:rFonts w:ascii="arial" w:eastAsia="arial" w:hAnsi="arial" w:cs="arial"/>
          <w:color w:val="000000"/>
          <w:sz w:val="20"/>
          <w:lang w:val="en-US" w:eastAsia="en-US" w:bidi="ar-SA"/>
        </w:rPr>
        <w:t xml:space="preserve"> at 636 (C.A.).</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must assess damages for loss of earning capacity, rather than calculating those damages with mathematical precision: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at para. 43. The assessment is based on the evidence, taking into account all positive and negative contingencies.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In the matter at bar, the plaintiff's evidence is that she was on course to follow a career in the hospitality industry: she aspired to progress and advance to the ranks of restaurant management.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She had established something of a vocational trajectory: she had worked in the introductory ranks, as a server and a hostess and related assignments, and had done some supervisory work before she left Joey's.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accept that she enjoyed the work and hoped to continue. The evidence discloses that she had demonstrated some aptitude and that she established some personal credibility, at least with Joey's.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also accept that her decision to drop out of that career path was substantially because the effects of her injuries hampered her ability to do the work with the competence and confidence that was necessary to enable her to be well-regarded and subject to consideration for advancement.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In the assessment of this aspect of her claim, I proceed from the premise that the plaintiff is able to perform the duties of the type she presently has at Westcoast Cylinders, although that is not to confine the analysis to that particular job. Those duties are consistent with and compatible with her stated vocational aspiration of operations management. The evidence discloses that she is well-regarded and that the employer is apparently pleased with her. There is every reason to expect that she will be able to hold that job or one like it for so long as she wants, and to the extent it can be done within the demands of her parental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I say that with one caveat. I will accept for the purpose of this analysis that the plaintiff has practical limitations that will prevent her from working 40 hours per week, but that she will be able to work 32 hours per week, assuming her other priorities and obligations permit. The limitation of which I speak is with respect to the pain and discomfort that she experiences while at work. That observation generally applies with respect to other employment avenues that she might follow, although there is some reasonable basis to expect and be hopeful that limitation will, as time proceeds, be 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The analysis necessary to assess the value of the loss requires considering the situation comparatively. Have the effects of the motor-vehicle accidents prevented her from pursuing any vocational career - one which she was otherwise capable of pursuing - in which she would have enjoyed a remuneration track, such that the effect of the injuries has limited her capacity to do that, with a resulting diminishment of her ability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Put otherwise, the question is this: Is there real and substantial possibility that the diminishment of her working capacity and abilities will result in pecuniary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this case, the plaintiff says that, if it is accepted that she has reached her maximum medical recovery, and her current level of functioning is likely permanent, then it is reasonable to conclude she will likely have a residual earning capacity of approximately $30,000 per year. The plaintiff says that, but for the motor-vehicle accidents, it is likely that she would have continued to advance in her career in the restaurant industry. She says she had the talent, drive and determination to succeed. In her submission, mid-level managers earn between $40,000 to $45,000 per year and general managers of such restaurants are able to earn in excess of $100,000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Those premises are considered in the calculation which was provided by the labour economist Mr. Carson. Using these numbers, his conclusion yields a range of between $262,500 to $1,837,500. The median is $787,560.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In the submission of the plaintiff, the range of an appropriate award is between $350,000 and $1,000,000.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The defendants say that the evidence does not support that the plaintiff will suffer a pecuniary loss as a result of the accident. They say it is incumbent upon the plaintiff to demonstrate "a substantial possibility that lost capacity will result in pecuniary loss". In the submission of the defendants, the evidence does not establish a real and substantial possibility that the plaintiff will work less than she ever otherwise would have because of injuries from the accidents, and accordingly, they say the plaintiff is not entitled to damages for 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In my view, there is some reasonable possibility that the plaintiff would have continued to work in the restaurant industry. However, to deal with the specific issue, it is necessary to factor into the assessment a number of real world considerations. Among them are the following:</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assurance that the plaintiff would have continued in that vocation. Her decision to have a family, which she has started and hopes to expand, would seem to derogate from the proposition that she would have a full-time management career in that industry.</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assurance that the plaintiff would succeed in attaining a full-time management position. The fact is, a great many men and woman are engaged in that industry; the evidence and common sense support the conclusion that only a few carry on and find those managerial positions. It is also relevant, in my view, that the rank and file of the industry is quite significantly populated by young persons. Again, with respect, that to my mind detracts from the likelihood of the career advancement that the plaintiff's argument relies upon.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 plaintiff's most optimistic scenario requires the Court to consider and weigh the likelihood that she would have pursued and achieved a full-time management role in the restaurant industry as a long-term career, while at the same time having and raising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Obviously there is no scientific way of making that determination, but the task at hand involves examining possibilities, considering whether those are real and substantial, and factoring in, as best one can, the value of the contingencies.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While I accept there is some possibility that the plaintiff would have been able to pursue such a career path in the restaurant industry, I am convinced that the likelihood of that outcome would not be great.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I have examined the information that is contained in the evidence of Mr. Carson and of Gordon Wallace, the vocational assessor. In a case such as this, with the plaintiff's limited workplace history and the general nature of her vocational qualifications and aspirations, all of that must be taken into account. Her age is a factor as well. I also consider it relevant that the plaintiff has not generally demonstrated a keen inclination to pursue post-secondary education or training, although she did enroll for a course at BCIT at the behest of her current employer. My sense is that was a quite specific and situational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All of these many factors and considerations tend to make more difficult the task of quantifying the value of the diminishment of the capital asset.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In the final analysis, it is my conclusion that the plaintiff is entitled to an award of damages under this head, but I am unable to accept that its quantum is in the range that the plaintiff argues.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In my view, a fit and proper award of damages under this head is in the amount of $275,000.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The plaintiff seeks an award of damages under this head. In her submission, there are a number of elements of future care which the evidence establishes to be reasonably necessary to promote her mental and physical health. Those include treatment, both psychological and physical, support with respect to housekeeping and child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plaintiff sets out a number of one-time expenses, including physiotherapy, personal training, occupational therapy costs, equipment and vocational counselling. As well, she claims compensation for a number of ongoing costs, including three sessions per year with a personal trainer, for her lifetime, and massage therapy on the same basis. She also seeks damages to compensate the cost of counselling including couples counselling, housekeeping assistance for her lifetime and child care assistance for five years. The total sum she claims under this head is $75,233. (In fact, I believe there was an arithmetic error in the calculation of that sum, and that the correct total is $72,933). The plaintiff notes that her claim does not include additional housekeeping and child care that would be necessary if her husband is away for extended periods of time, nor does it reflect the risk she could become a single 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total, taking all contingencies into consideration, the plaintiff submits that the appropriate range for cost of future care is between $80,000 and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defendants say that there should be no award made under this head. They say that the plaintiff has extended benefits through her husband's employment which will cover a number of the expenses; they say that whether the plaintiff will actually incur the expenses is a matter that should be informed by the limited nature of the special damages that she has incurred; and they say that the Court should consider whether there are less expensive methods for providing the recommended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Additionally, in a broader conceptual sense, the defendants say that the types of damages which were intended to be awarded for cost of future care were not intended to compensate plaintiffs with injuries such as this plaintiff has, but rather were intended to compensate those who suffered from catastrophic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the Court, in dealing with the matter of such awards, said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purpose of the award for costs of future care is to restore, as best as possible with a monetary award, the injured person to the position he would have been in had the accident not occurred.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The award is "based on what is reasonably necessary on the medical evidence to promote the mental and physical health of the plaintiff: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(B.C.S.C.) and adopted in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w:t>
      </w:r>
      <w:hyperlink r:id="rId429" w:history="1">
        <w:r>
          <w:rPr>
            <w:rFonts w:ascii="arial" w:eastAsia="arial" w:hAnsi="arial" w:cs="arial"/>
            <w:i/>
            <w:color w:val="0077CC"/>
            <w:sz w:val="20"/>
            <w:u w:val="single"/>
            <w:shd w:val="clear" w:color="auto" w:fill="FFFFFF"/>
            <w:lang w:val="en-US" w:eastAsia="en-US" w:bidi="ar-SA"/>
          </w:rPr>
          <w:t>2008 BCCA 420</w:t>
        </w:r>
      </w:hyperlink>
      <w:r>
        <w:rPr>
          <w:rFonts w:ascii="arial" w:eastAsia="arial" w:hAnsi="arial" w:cs="arial"/>
          <w:color w:val="000000"/>
          <w:sz w:val="20"/>
          <w:lang w:val="en-US" w:eastAsia="en-US" w:bidi="ar-SA"/>
        </w:rPr>
        <w:t xml:space="preserve"> at para. 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In my view, applying that standard, the plaintiff has established a basis upon which some award should be made in respect of future care costs. That said, I have difficulty accepting the extent of some of those. It seems to me that some of the claims tend to be more in the nature of "would be nice to have", as opposed to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While I would not say that any specific element of the future care claim is clearly not "reasonably necessary on the evidence to promote the mental and physical health of the plaintiff", I am not convinced that the extents and durations are actually and realistically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In the result, the award will be less than the sum claimed. In so ruling, I am confident that the plaintiff is best situated to decide how that future care will be managed, and I am also confident that the award will be adequate in providing that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It is not, in my view, the role of the court to micromanage the manner in which the plaintiff's future care will proceed, nor it is anything that a court can do with any precision. Accepting that there will be a number of care elements required by the plaintiff as a consequence of the effects of the defendants' actions and taking into account the contingencies which apply, it is my finding that a fit and proper award for the cost of future care is $70,000.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There is a dispute by the parties with respect to this claim. The defendants accept that the plaintiff is entitled to recover the cost of physiotherapy, massage therapy and fitness expenses that she seeks. It appears to me that one of the principal basis upon which exception is taken is with respect to claims for travel costs and tolls. The defence says that the Court should assess whether "it is comfortable with the accuracy of the mileage on the basis that the plaintiff moved several times" and further, the defence submits "that it would be reasonable for these trips to be combined with other errands or that these trips such as driving to the gym would have been taken regardless".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Upon reflection, it is my view that the expenses were reasonably incurred and that the plaintiff should be entitled to recover special damages in the amount $6,464.76.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In the result, I find that the plaintiff has sustained injuries resulting from the two subject motor-vehicle accidents and she is entitled to be compensated. The award of damages are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4601"/>
        <w:gridCol w:w="480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Non-pecuniary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$110,000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Past wage loss: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$42,500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Loss of future earning capacity:</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$275,000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Cost of future care:</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$70,000</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Special damages:</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u w:val="single"/>
                <w:lang w:val="en-US" w:eastAsia="en-US" w:bidi="ar-SA"/>
              </w:rPr>
              <w:t>$6,464.76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$503,964.76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In the absence of there being considerations of which I am unaware, the plaintiff shall recover her costs of this action. If necessary, the parties are at liberty to make arrangements through the New Westminster Supreme Court Scheduling to provide further submissions on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1" style="position:absolute;z-index:2518200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30"/>
          <w:headerReference w:type="default" r:id="rId431"/>
          <w:footerReference w:type="even" r:id="rId432"/>
          <w:footerReference w:type="default" r:id="rId433"/>
          <w:headerReference w:type="first" r:id="rId434"/>
          <w:footerReference w:type="first" r:id="rId43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36" w:history="1">
        <w:r>
          <w:rPr>
            <w:rFonts w:ascii="arial" w:eastAsia="arial" w:hAnsi="arial" w:cs="arial"/>
            <w:b/>
            <w:bCs/>
            <w:i/>
            <w:color w:val="0077CC"/>
            <w:kern w:val="32"/>
            <w:sz w:val="28"/>
            <w:szCs w:val="32"/>
            <w:u w:val="single"/>
            <w:shd w:val="clear" w:color="auto" w:fill="FFFFFF"/>
            <w:lang w:val="en-US" w:eastAsia="en-US" w:bidi="ar-SA"/>
          </w:rPr>
          <w:t>Filsinger v. Insurance Corp. of British Columbia, [2009] B.C.J. No. 331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E. Rice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27-31,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25,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M054072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331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2009 BCSC 232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71 C.C.L.I. (4th) 31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37" w:history="1">
        <w:r>
          <w:rPr>
            <w:rFonts w:ascii="arial" w:eastAsia="arial" w:hAnsi="arial" w:cs="arial"/>
            <w:i/>
            <w:color w:val="0077CC"/>
            <w:sz w:val="20"/>
            <w:u w:val="single"/>
            <w:shd w:val="clear" w:color="auto" w:fill="FFFFFF"/>
            <w:lang w:val="en-US" w:eastAsia="en-US" w:bidi="ar-SA"/>
          </w:rPr>
          <w:t>2009 CarswellBC 442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Brian Filsinger, Plaintiff, and Insurance Corporation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2" style="position:absolute;z-index:251667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57" w:name="Keywords_8"/>
      <w:bookmarkEnd w:id="57"/>
      <w:r>
        <w:rPr>
          <w:rFonts w:ascii="arial" w:eastAsia="arial" w:hAnsi="arial" w:cs="arial"/>
          <w:b/>
          <w:color w:val="000000"/>
          <w:sz w:val="20"/>
          <w:lang w:val="en-US" w:eastAsia="en-US" w:bidi="ar-SA"/>
        </w:rPr>
        <w:t>Damages — Physical and psychological injuries — Physical injuries — Body injuries — Back and spine — Arm injuries — Action by plaintiff for damages arising from hit-and-run accident allowed — Plaintiff did not suffer pre-existing shoulder injury — Plaintiff suffered pre-existing back condition and damages reduced by 20 per cent — Awarded non-pecuniary damages of $52,000, consisting of $20,000 for shoulder injury and $40,000 for back injury reduced by 20 per cent — Entitled to full recovery of past income loss immediately following accident and partial recovery for 2006-2007, totaling $47,486 — Awarded $50,000 for modest loss of earning capacity — Entitled to special damages in amount to be determined — Awarded $10,000 in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Cost of future care — Loss of earning capacity — Special damages — Past loss of income — Employment income — Non-pecuniary loss — Action by plaintiff for damages arising from hit-and-run accident allowed — Plaintiff did not suffer pre-existing shoulder injury — Plaintiff suffered pre-existing back condition and damages reduced by 20 per cent — Awarded non-pecuniary damages of $52,000, consisting of $20,000 for shoulder injury and $40,000 for back injury reduced by 20 per cent — Entitled to full recovery of past income loss immediately following accident and partial recovery for 2006-2007, totaling $47,486 — Awarded $50,000 for modest loss of earning capacity — Entitled to special damages in amount to be determined — Awarded $10,000 in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Liability — Civil actions — Causation — Action by plaintiff for damages arising from hit-and-run accident allowed — Plaintiff was credible witness and on balance of probabilities accident occurred as plaintiff described — Defendant was 100 per cent liable for accident — Plaintiff met onus to make reasonable effort to find driver.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Insurance law — Automobile insurance — Compulsory government schemes — Claims against parties unknown — Action for damages for personal injury allowed — Plaintiff claimed that he was knocked off his bicycle by a hit-and-run driver — He met with police the same day, gave a statement and handed over a mirror which he believed came from the vehicle that struck him — He also published two newspaper advertisements — Plaintiff established that the accident occurred substantially as he described such that the unidentified driver was wholly at fault — His efforts to locate the driver were not exceptional, but satisfied the onus on him to make a reasonable effort.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58" w:name="Case Summary_8"/>
            <w:bookmarkEnd w:id="58"/>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plaintiff for damages arising from a hit-and-run accident. The plaintiff alleged that he was knocked off his bicycle by a hit-and-run driver. There were no witnesses to the accident and the plaintiff reported the accident to the RCMP when he arrived home. The next day, the plaintiff was examined by his physician and reported the accident to ICBC. As a result of the accident, the plaintiff experienced injuries to his left hip, both ankles, lower back and right shoulder He required surgery for his shoulder injury. At the time of the accident, the plaintiff was employed as a school custodian, but was off work recovering from knee surgery. He returned to work two or three weeks after the accident, but due to a steady increase in pain in his back and shoulder over the next 18 months, he quit work and had not been able to return to work since then. The plaintiff had pre-existing asymptomatic degenerative changes in his shoulder prior to the accident, but the opinion of the plaintiff's medical experts was that the accident was the precipitating factor and led to the plaintiff's ongoing problems and surgery. The plaintiff also had a pre-existing lower back condition. While the plaintiff's injuries had mostly resolved by the time of trial, he continued to experience mild residual discomfort in his shoulder and his back continued to cause him considerable discomfort. The plaintiff was unable to engage in the rigorous physical activities he previously enjoyed, was unable to perform household chores or sit for more than an hour or two at a time. His wife testified that he was a different person and their social life had been adversely affected.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59" w:name="Holdings of Court_7"/>
            <w:bookmarkEnd w:id="59"/>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 credible witness and on a balance of probabilities, the accident occurred substantially as the plaintiff described. The defendant was 100 per cent liable for the accident. The plaintiff met the onus to make a reasonable effort to find the driver. There was sufficient evidence to conclude that the plaintiff did not suffer from a pre-existing shoulder injury. However, the evidence established that the plaintiff suffered from an unresolved pre-existing back condition and his damages for the injury to his back should be reduced by 20 per cent. An appropriate award for non-pecuniary damages was $52,000, consisting of $20,000 for the shoulder injury and $40,000 for the back injury which was reduced by 20 per cent. The plaintiff was entitled to full recovery of past income loss from the date of the accident until 2005 and partial recovery for past income lost for 2006 and 2007 for a total of $47,486 given that the evidence did not establish that there was no other work that the plaintiff could do. The plaintiff had proven some modest loss of earning capacity as a result of the accident and was awarded damages for loss of future earning capacity in the sum of $50,000. The plaintiff was entitled to special damages in an amount to be agreed to by counsel. Plaintiff awarded $10,000 in costs of future care to cover medicare and other aids.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0" w:name="Legislation Cited_4"/>
      <w:bookmarkEnd w:id="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3" style="position:absolute;z-index:2517186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Insurance (Vehicle) Act, RSBC 1996, CHAPTER 236, s. 24, s. 24(5)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1" w:name="Counsel_8"/>
      <w:bookmarkEnd w:id="61"/>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4" style="position:absolute;z-index:2517698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J. Craig Moulton.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Richard Molstad.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2" w:name="Judgment_8"/>
      <w:bookmarkEnd w:id="62"/>
      <w:r>
        <w:pict>
          <v:line id="_x0000_s1075" style="position:absolute;z-index:2518210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63" w:name="E. RICE J."/>
            <w:bookmarkEnd w:id="63"/>
            <w:r>
              <w:rPr>
                <w:rFonts w:ascii="arial" w:eastAsia="arial" w:hAnsi="arial" w:cs="arial"/>
                <w:b/>
                <w:color w:val="000000"/>
                <w:sz w:val="30"/>
                <w:lang w:val="en-US" w:eastAsia="en-US" w:bidi="ar-SA"/>
              </w:rPr>
              <w:t>E. RICE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Mr. Filsinger commenced this action as a result of an accident on October 20, 2003, in Surrey, British Columbia. The plaintiff says he was knocked off his bicycle by a hit-and-run driver who was 100% at fault. He claims that the accident caused him injuries to his left hip, both ankles, lower back, and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right shoulder eventually required surgery, and that injury seems to have healed, or virtually so. The back injury has become chronic. The plaintiff returned to his job as a school custodian for two or three weeks after the accident, but over the next 18 months, there was a steady increase in the pain in his back as well as his right shoulder such that, in June 2005, he had to quit work again. He has not, he says, been able to return to work since then.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these injuries, the plaintiff seeks non-pecuniary damages, special damages, and damages for loss of income, loss of earning capacity and 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 Insurance Corporation of British Columbia ("ICBC") is the nominal defendant pursuant to s. 24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236</w:t>
      </w:r>
      <w:r>
        <w:rPr>
          <w:rFonts w:ascii="arial" w:eastAsia="arial" w:hAnsi="arial" w:cs="arial"/>
          <w:color w:val="000000"/>
          <w:sz w:val="20"/>
          <w:lang w:val="en-US" w:eastAsia="en-US" w:bidi="ar-SA"/>
        </w:rPr>
        <w:t xml:space="preserve">. If the Court finds that there was a hit-and-run driver who caused or contributed to the plaintiff's injuries, the plaintiff relies on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s. 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It was in the evening of October 20, 2003. The plaintiff was riding his bicycle eastbound on 24th Avenue in Surrey, B.C. after nightfall along the curb lane on the south side of the road just east of 152nd Street. He was wearing reflective clothing and had a flashlight attached to the back of his helmet, and also a light on the front of his bike. Shortly before the accident he heard the noise of a vehicle coming to a "screeching halt" behind him at a red light. Looking back, the plaintiff noticed a small white car behind him. Approximately two blocks further on, he says that suddenly the same small white car proceeded to pass him on the left. As the vehicle passed, its outside, passenger side mirror hit his hip, knocking him off his bicycle onto the grass.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Looking up from the ground after the collision, the plaintiff saw the same small white car leaving the scene. He then noticed nearby on the ground a white car mirror, which he presumed to belong to the vehicle he had just seen. He picked it up and took it with him. There was no other witness to the accident who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rode his bicycle home, on the way stopping at the local RCMP sub-station in South Surrey to give a statement. No one was there to accommodate him, so he rode home. There, he says, he telephoned a friend for advice, Dan Gibbons, a sergeant with the RCMP. Mr. Gibbons, he says, advised him to report the matter to the RCMP. He did so by telephone when he got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RCMP responded by sending out a Constable Williams to the plaintiff's home. Constable Williams met with the plaintiff and took down details of the incident. With one exception, the details were basically the same as the plaintiff's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Constable Williams testified that he could not recall receiving any mirror from the plaintiff, nor could he find any record of it at his office. Elyse Filsinger, the plaintiff's daughter, however, testified that she was present and saw her father give a car mirror to the Constable.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next day, the plaintiff's family physician, Dr. Anderson, examined the plaintiff at his office. The injuries, according to Dr. Anderson's records, are consistent with the plaintiff's evidence. They indicate that the plaintiff had abrasions on his left ankle, a sore neck and a sore right ankle, headache and a contusion on his left hip. That same day, he reported the accident to ICBC, and eight days later he also provided a written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the time of the accident, the plaintiff was on sick leave recovering from knee surgery. He returned to work on November 17. The return was on a graduated basis for two weeks, after which he resumed working full time. Over the months that followed, he had intermittent absences, although according to him, never for more than a week at a time. In June 2005 he stayed away from work due to low back pain, and also shoulder pain. He never returned to work after that. His employment with the Surrey School District was terminated in March 2008, when his unpaid medical leave of absence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defendant rightly submits that the onus is on the plaintiff to prove on the balance of probabilities the facts both as to liability and as to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submits that the major issue of the case is the plaintiff's credibility, and that the plaintiff was not credible as a witness. He was vague, they say, in his testimony, and seemed to have difficulty recalling facts which should have been clear in his mind.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obvious that some care must be taken in drawing conclusions of fact based only on the uncorroborated testimony of the plaintiff. In </w:t>
      </w:r>
      <w:r>
        <w:rPr>
          <w:rFonts w:ascii="arial" w:eastAsia="arial" w:hAnsi="arial" w:cs="arial"/>
          <w:b/>
          <w:i/>
          <w:color w:val="000000"/>
          <w:sz w:val="20"/>
          <w:lang w:val="en-US" w:eastAsia="en-US" w:bidi="ar-SA"/>
        </w:rPr>
        <w:t>Gibson v. Insurance Corporation of British Columbia</w:t>
      </w:r>
      <w:r>
        <w:rPr>
          <w:rFonts w:ascii="arial" w:eastAsia="arial" w:hAnsi="arial" w:cs="arial"/>
          <w:color w:val="000000"/>
          <w:sz w:val="20"/>
          <w:lang w:val="en-US" w:eastAsia="en-US" w:bidi="ar-SA"/>
        </w:rPr>
        <w:t xml:space="preserve">, </w:t>
      </w:r>
      <w:hyperlink r:id="rId438" w:history="1">
        <w:r>
          <w:rPr>
            <w:rFonts w:ascii="arial" w:eastAsia="arial" w:hAnsi="arial" w:cs="arial"/>
            <w:i/>
            <w:color w:val="0077CC"/>
            <w:sz w:val="20"/>
            <w:u w:val="single"/>
            <w:shd w:val="clear" w:color="auto" w:fill="FFFFFF"/>
            <w:lang w:val="en-US" w:eastAsia="en-US" w:bidi="ar-SA"/>
          </w:rPr>
          <w:t>[1997] B.C.J. No. 2728</w:t>
        </w:r>
      </w:hyperlink>
      <w:r>
        <w:rPr>
          <w:rFonts w:ascii="arial" w:eastAsia="arial" w:hAnsi="arial" w:cs="arial"/>
          <w:color w:val="000000"/>
          <w:sz w:val="20"/>
          <w:lang w:val="en-US" w:eastAsia="en-US" w:bidi="ar-SA"/>
        </w:rPr>
        <w:t xml:space="preserve">, a case also concerning an action brought under the hit-and-run provisions of the </w:t>
      </w:r>
      <w:r>
        <w:rPr>
          <w:rFonts w:ascii="arial" w:eastAsia="arial" w:hAnsi="arial" w:cs="arial"/>
          <w:b/>
          <w:i/>
          <w:color w:val="000000"/>
          <w:sz w:val="20"/>
          <w:lang w:val="en-US" w:eastAsia="en-US" w:bidi="ar-SA"/>
        </w:rPr>
        <w:t>Insurance (Motor Vehicle) Act</w:t>
      </w:r>
      <w:r>
        <w:rPr>
          <w:rFonts w:ascii="arial" w:eastAsia="arial" w:hAnsi="arial" w:cs="arial"/>
          <w:color w:val="000000"/>
          <w:sz w:val="20"/>
          <w:lang w:val="en-US" w:eastAsia="en-US" w:bidi="ar-SA"/>
        </w:rPr>
        <w:t>, Errico J. discussed the authorities on assessment of credibility: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There is a helpful discussion on assessment of credibility in these circumstances by Trainor J. in </w:t>
      </w:r>
      <w:r>
        <w:rPr>
          <w:rFonts w:ascii="arial" w:eastAsia="arial" w:hAnsi="arial" w:cs="arial"/>
          <w:i/>
          <w:color w:val="000000"/>
          <w:sz w:val="20"/>
          <w:lang w:val="en-US" w:eastAsia="en-US" w:bidi="ar-SA"/>
        </w:rPr>
        <w:t>Vanderbyl v. Insurance Corp. of British Columbia</w:t>
      </w:r>
      <w:r>
        <w:rPr>
          <w:rFonts w:ascii="arial" w:eastAsia="arial" w:hAnsi="arial" w:cs="arial"/>
          <w:color w:val="000000"/>
          <w:sz w:val="20"/>
          <w:lang w:val="en-US" w:eastAsia="en-US" w:bidi="ar-SA"/>
        </w:rPr>
        <w:t xml:space="preserve"> </w:t>
      </w:r>
      <w:hyperlink r:id="rId439" w:history="1">
        <w:r>
          <w:rPr>
            <w:rFonts w:ascii="arial" w:eastAsia="arial" w:hAnsi="arial" w:cs="arial"/>
            <w:i/>
            <w:color w:val="0077CC"/>
            <w:sz w:val="20"/>
            <w:u w:val="single"/>
            <w:shd w:val="clear" w:color="auto" w:fill="FFFFFF"/>
            <w:lang w:val="en-US" w:eastAsia="en-US" w:bidi="ar-SA"/>
          </w:rPr>
          <w:t>(1993), 79 B.C.L.R. (2d) 156</w:t>
        </w:r>
      </w:hyperlink>
      <w:r>
        <w:rPr>
          <w:rFonts w:ascii="arial" w:eastAsia="arial" w:hAnsi="arial" w:cs="arial"/>
          <w:color w:val="000000"/>
          <w:sz w:val="20"/>
          <w:lang w:val="en-US" w:eastAsia="en-US" w:bidi="ar-SA"/>
        </w:rPr>
        <w:t xml:space="preserve"> (S.C.). At p. 161, Trainor J. referred to the decisions of the British Columbia Court of Appeal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w:t>
      </w:r>
      <w:hyperlink r:id="rId440" w:history="1">
        <w:r>
          <w:rPr>
            <w:rFonts w:ascii="arial" w:eastAsia="arial" w:hAnsi="arial" w:cs="arial"/>
            <w:i/>
            <w:color w:val="0077CC"/>
            <w:sz w:val="20"/>
            <w:u w:val="single"/>
            <w:shd w:val="clear" w:color="auto" w:fill="FFFFFF"/>
            <w:lang w:val="en-US" w:eastAsia="en-US" w:bidi="ar-SA"/>
          </w:rPr>
          <w:t>(1951), 4 W.W.R. (N.S.) 171</w:t>
        </w:r>
      </w:hyperlink>
      <w:r>
        <w:rPr>
          <w:rFonts w:ascii="arial" w:eastAsia="arial" w:hAnsi="arial" w:cs="arial"/>
          <w:color w:val="000000"/>
          <w:sz w:val="20"/>
          <w:lang w:val="en-US" w:eastAsia="en-US" w:bidi="ar-SA"/>
        </w:rPr>
        <w:t xml:space="preserve"> (B.C.C.A.) and </w:t>
      </w:r>
      <w:r>
        <w:rPr>
          <w:rFonts w:ascii="arial" w:eastAsia="arial" w:hAnsi="arial" w:cs="arial"/>
          <w:i/>
          <w:color w:val="000000"/>
          <w:sz w:val="20"/>
          <w:lang w:val="en-US" w:eastAsia="en-US" w:bidi="ar-SA"/>
        </w:rPr>
        <w:t>Brethour v. Law Society (British Columbia)</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(1950), 1 W.W.R. (N.S.) 34</w:t>
        </w:r>
      </w:hyperlink>
      <w:r>
        <w:rPr>
          <w:rFonts w:ascii="arial" w:eastAsia="arial" w:hAnsi="arial" w:cs="arial"/>
          <w:color w:val="000000"/>
          <w:sz w:val="20"/>
          <w:lang w:val="en-US" w:eastAsia="en-US" w:bidi="ar-SA"/>
        </w:rPr>
        <w:t xml:space="preserve"> (B.C. C.A.) in the following terms: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In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xml:space="preserve"> O'Halloran J.A. said at p. 356:</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But the validity of evidence does not depend in the final analysis on the circumstance that it remains uncontradicted, or the circumstance that the Judge may have remarked favourably or unfavourably on the evidence or the demeanour of a witness; these things are elements in testing the evidence but they are subject to whether the evidence is consistent with the probabilities affecting the case as a whole and shown to be in existence at the time; and cf. Brethour v. Law Society of B.C., </w:t>
      </w:r>
      <w:hyperlink r:id="rId441" w:history="1">
        <w:r>
          <w:rPr>
            <w:rFonts w:ascii="arial" w:eastAsia="arial" w:hAnsi="arial" w:cs="arial"/>
            <w:i/>
            <w:color w:val="0077CC"/>
            <w:sz w:val="20"/>
            <w:u w:val="single"/>
            <w:shd w:val="clear" w:color="auto" w:fill="FFFFFF"/>
            <w:lang w:val="en-US" w:eastAsia="en-US" w:bidi="ar-SA"/>
          </w:rPr>
          <w:t>[1951] 2 D.L.R. 138</w:t>
        </w:r>
      </w:hyperlink>
      <w:r>
        <w:rPr>
          <w:rFonts w:ascii="arial" w:eastAsia="arial" w:hAnsi="arial" w:cs="arial"/>
          <w:color w:val="000000"/>
          <w:sz w:val="20"/>
          <w:lang w:val="en-US" w:eastAsia="en-US" w:bidi="ar-SA"/>
        </w:rPr>
        <w:t xml:space="preserve"> at pp. 141- 2.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 In the </w:t>
      </w:r>
      <w:r>
        <w:rPr>
          <w:rFonts w:ascii="arial" w:eastAsia="arial" w:hAnsi="arial" w:cs="arial"/>
          <w:i/>
          <w:color w:val="000000"/>
          <w:sz w:val="20"/>
          <w:lang w:val="en-US" w:eastAsia="en-US" w:bidi="ar-SA"/>
        </w:rPr>
        <w:t>Brethour</w:t>
      </w:r>
      <w:r>
        <w:rPr>
          <w:rFonts w:ascii="arial" w:eastAsia="arial" w:hAnsi="arial" w:cs="arial"/>
          <w:color w:val="000000"/>
          <w:sz w:val="20"/>
          <w:lang w:val="en-US" w:eastAsia="en-US" w:bidi="ar-SA"/>
        </w:rPr>
        <w:t xml:space="preserve"> case [</w:t>
      </w:r>
      <w:r>
        <w:rPr>
          <w:rFonts w:ascii="arial" w:eastAsia="arial" w:hAnsi="arial" w:cs="arial"/>
          <w:i/>
          <w:color w:val="000000"/>
          <w:sz w:val="20"/>
          <w:lang w:val="en-US" w:eastAsia="en-US" w:bidi="ar-SA"/>
        </w:rPr>
        <w:t>Brethour v. Law Society (British Columbia</w:t>
      </w:r>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1950, 1 W.W.R. (N.S.) 34</w:t>
        </w:r>
      </w:hyperlink>
      <w:r>
        <w:rPr>
          <w:rFonts w:ascii="arial" w:eastAsia="arial" w:hAnsi="arial" w:cs="arial"/>
          <w:color w:val="000000"/>
          <w:sz w:val="20"/>
          <w:lang w:val="en-US" w:eastAsia="en-US" w:bidi="ar-SA"/>
        </w:rPr>
        <w:t xml:space="preserve">, </w:t>
      </w:r>
      <w:hyperlink r:id="rId441" w:history="1">
        <w:r>
          <w:rPr>
            <w:rFonts w:ascii="arial" w:eastAsia="arial" w:hAnsi="arial" w:cs="arial"/>
            <w:i/>
            <w:color w:val="0077CC"/>
            <w:sz w:val="20"/>
            <w:u w:val="single"/>
            <w:shd w:val="clear" w:color="auto" w:fill="FFFFFF"/>
            <w:lang w:val="en-US" w:eastAsia="en-US" w:bidi="ar-SA"/>
          </w:rPr>
          <w:t>[1951] 2 D.L.R. 138</w:t>
        </w:r>
      </w:hyperlink>
      <w:r>
        <w:rPr>
          <w:rFonts w:ascii="arial" w:eastAsia="arial" w:hAnsi="arial" w:cs="arial"/>
          <w:color w:val="000000"/>
          <w:sz w:val="20"/>
          <w:lang w:val="en-US" w:eastAsia="en-US" w:bidi="ar-SA"/>
        </w:rPr>
        <w:t xml:space="preserve"> (B.C.C.A.)], O'Halloran J.A. said at pp. 141-42 [D.L.R.]:</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The credibility of interested witnesses, particularly in cases of conflict of evidence, must reasonably be subjected to an examination of the consistency of their stories with the probabilities that surround the currently existing conditions. In short, the real test of the truth of a story of a witness in such a case must be its harmony with the preponderance of the probabilities which a practical and informed person would readily recognize as reasonable in that place and under those conditions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was not perfectly accurate in his testimony. He was economical in his candour in reporting his education. Overall, however, I believe that his evidence is credible. There was consistency in his testimony at trial and his previous statements. He testified in a straightforward manner. Dr. Leith, one of the doctors called by the defence as an expert, commented that the plaintiff "presented as a forthright individual with no signs of exaggerated pain behaviour". The testimony of the plaintiff's daughter was also credible based on the way that she testified and on the consistency of her evidence with her father's.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a balance of probabilities, I find that the accident occurred substantially as the plaintiff has described. This means that I find the defendant 100% liable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REASONABLE EFFORTS TO IDENTIFY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defendant challenges whether the plaintiff took reasonable steps pursuant to s. 24(5)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 xml:space="preserve"> to identify the owner and operator of the hit-and-run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defendant submits that the plaintiff decided not to co-operate and did not take the opportunity to investigate and identify the driver. The defendant refers to </w:t>
      </w:r>
      <w:r>
        <w:rPr>
          <w:rFonts w:ascii="arial" w:eastAsia="arial" w:hAnsi="arial" w:cs="arial"/>
          <w:b/>
          <w:i/>
          <w:color w:val="000000"/>
          <w:sz w:val="20"/>
          <w:lang w:val="en-US" w:eastAsia="en-US" w:bidi="ar-SA"/>
        </w:rPr>
        <w:t>Tessier v. Vancouver (City)</w:t>
      </w:r>
      <w:r>
        <w:rPr>
          <w:rFonts w:ascii="arial" w:eastAsia="arial" w:hAnsi="arial" w:cs="arial"/>
          <w:color w:val="000000"/>
          <w:sz w:val="20"/>
          <w:lang w:val="en-US" w:eastAsia="en-US" w:bidi="ar-SA"/>
        </w:rPr>
        <w:t xml:space="preserve"> (2002), 48 C.C.L.I. (3d) 273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The leading case in the area is </w:t>
      </w:r>
      <w:r>
        <w:rPr>
          <w:rFonts w:ascii="arial" w:eastAsia="arial" w:hAnsi="arial" w:cs="arial"/>
          <w:b/>
          <w:i/>
          <w:color w:val="000000"/>
          <w:sz w:val="20"/>
          <w:lang w:val="en-US" w:eastAsia="en-US" w:bidi="ar-SA"/>
        </w:rPr>
        <w:t>Leggett v. ICBC</w:t>
      </w:r>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(1992), 96 D.L.R. (4th) 123</w:t>
        </w:r>
      </w:hyperlink>
      <w:r>
        <w:rPr>
          <w:rFonts w:ascii="arial" w:eastAsia="arial" w:hAnsi="arial" w:cs="arial"/>
          <w:color w:val="000000"/>
          <w:sz w:val="20"/>
          <w:lang w:val="en-US" w:eastAsia="en-US" w:bidi="ar-SA"/>
        </w:rPr>
        <w:t xml:space="preserve">, </w:t>
      </w:r>
      <w:hyperlink r:id="rId442" w:history="1">
        <w:r>
          <w:rPr>
            <w:rFonts w:ascii="arial" w:eastAsia="arial" w:hAnsi="arial" w:cs="arial"/>
            <w:i/>
            <w:color w:val="0077CC"/>
            <w:sz w:val="20"/>
            <w:u w:val="single"/>
            <w:shd w:val="clear" w:color="auto" w:fill="FFFFFF"/>
            <w:lang w:val="en-US" w:eastAsia="en-US" w:bidi="ar-SA"/>
          </w:rPr>
          <w:t>72 B.C.L.R. (2d) 201</w:t>
        </w:r>
      </w:hyperlink>
      <w:r>
        <w:rPr>
          <w:rFonts w:ascii="arial" w:eastAsia="arial" w:hAnsi="arial" w:cs="arial"/>
          <w:color w:val="000000"/>
          <w:sz w:val="20"/>
          <w:lang w:val="en-US" w:eastAsia="en-US" w:bidi="ar-SA"/>
        </w:rPr>
        <w:t xml:space="preserve"> (C.A.), leave to appeal to S.C.C. ref'd, </w:t>
      </w:r>
      <w:hyperlink r:id="rId443" w:history="1">
        <w:r>
          <w:rPr>
            <w:rFonts w:ascii="arial" w:eastAsia="arial" w:hAnsi="arial" w:cs="arial"/>
            <w:i/>
            <w:color w:val="0077CC"/>
            <w:sz w:val="20"/>
            <w:u w:val="single"/>
            <w:shd w:val="clear" w:color="auto" w:fill="FFFFFF"/>
            <w:lang w:val="en-US" w:eastAsia="en-US" w:bidi="ar-SA"/>
          </w:rPr>
          <w:t>[1992] S.C.C.A. No. 558</w:t>
        </w:r>
      </w:hyperlink>
      <w:r>
        <w:rPr>
          <w:rFonts w:ascii="arial" w:eastAsia="arial" w:hAnsi="arial" w:cs="arial"/>
          <w:color w:val="000000"/>
          <w:sz w:val="20"/>
          <w:lang w:val="en-US" w:eastAsia="en-US" w:bidi="ar-SA"/>
        </w:rPr>
        <w:t xml:space="preserve">, where the British Columbia Court of Appeal made it clear that ICBC's exposure to liability is limited to claims brought by those who could not ascertain the identify of the parties responsible, and not to parties who had the opportunity to identify the offending vehicle but chose not to do so. In </w:t>
      </w:r>
      <w:r>
        <w:rPr>
          <w:rFonts w:ascii="arial" w:eastAsia="arial" w:hAnsi="arial" w:cs="arial"/>
          <w:b/>
          <w:i/>
          <w:color w:val="000000"/>
          <w:sz w:val="20"/>
          <w:lang w:val="en-US" w:eastAsia="en-US" w:bidi="ar-SA"/>
        </w:rPr>
        <w:t>Leggett</w:t>
      </w:r>
      <w:r>
        <w:rPr>
          <w:rFonts w:ascii="arial" w:eastAsia="arial" w:hAnsi="arial" w:cs="arial"/>
          <w:color w:val="000000"/>
          <w:sz w:val="20"/>
          <w:lang w:val="en-US" w:eastAsia="en-US" w:bidi="ar-SA"/>
        </w:rPr>
        <w:t xml:space="preserve">, unlike the case at bar, the plaintiff had spoken to the unidentified driver who had stopped at the scene of the accident. However, the plaintiff in </w:t>
      </w:r>
      <w:r>
        <w:rPr>
          <w:rFonts w:ascii="arial" w:eastAsia="arial" w:hAnsi="arial" w:cs="arial"/>
          <w:b/>
          <w:i/>
          <w:color w:val="000000"/>
          <w:sz w:val="20"/>
          <w:lang w:val="en-US" w:eastAsia="en-US" w:bidi="ar-SA"/>
        </w:rPr>
        <w:t>Leggett</w:t>
      </w:r>
      <w:r>
        <w:rPr>
          <w:rFonts w:ascii="arial" w:eastAsia="arial" w:hAnsi="arial" w:cs="arial"/>
          <w:color w:val="000000"/>
          <w:sz w:val="20"/>
          <w:lang w:val="en-US" w:eastAsia="en-US" w:bidi="ar-SA"/>
        </w:rPr>
        <w:t xml:space="preserve"> chose not to obtain particulars of the unidentified party, believing at the time that he had not suffered any injury. The court found that because the plaintiff failed to make all reasonable efforts to determine the identity of the persons responsible, he could have no claim against the insurer.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Daniels v. Insurance Corporation of British Columbia</w:t>
      </w:r>
      <w:r>
        <w:rPr>
          <w:rFonts w:ascii="arial" w:eastAsia="arial" w:hAnsi="arial" w:cs="arial"/>
          <w:color w:val="000000"/>
          <w:sz w:val="20"/>
          <w:lang w:val="en-US" w:eastAsia="en-US" w:bidi="ar-SA"/>
        </w:rPr>
        <w:t xml:space="preserve"> </w:t>
      </w:r>
      <w:hyperlink r:id="rId444" w:history="1">
        <w:r>
          <w:rPr>
            <w:rFonts w:ascii="arial" w:eastAsia="arial" w:hAnsi="arial" w:cs="arial"/>
            <w:i/>
            <w:color w:val="0077CC"/>
            <w:sz w:val="20"/>
            <w:u w:val="single"/>
            <w:shd w:val="clear" w:color="auto" w:fill="FFFFFF"/>
            <w:lang w:val="en-US" w:eastAsia="en-US" w:bidi="ar-SA"/>
          </w:rPr>
          <w:t>(1985), 14 C.C.L.I. 172</w:t>
        </w:r>
      </w:hyperlink>
      <w:r>
        <w:rPr>
          <w:rFonts w:ascii="arial" w:eastAsia="arial" w:hAnsi="arial" w:cs="arial"/>
          <w:color w:val="000000"/>
          <w:sz w:val="20"/>
          <w:lang w:val="en-US" w:eastAsia="en-US" w:bidi="ar-SA"/>
        </w:rPr>
        <w:t xml:space="preserve"> (B.C.S.C.), the plaintiff was injured while riding his bicycle. He testified that he had been riding at night with red reflective devices, and that he recalled hearing an automobile approach, but had no further memory until he awoke in hospital. The defendant submitted in that case that the plaintiff had failed to establish that an unidentified motorist had been negligent in the collision. The court held, at 175: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that a citizen having been involved in an accident, a citizen not trained in investigative procedures (if he reports the accident), he can properly expect the police authorities to carry out the necessary, reasonable investigation contemplated by Section 23 of the </w:t>
      </w:r>
      <w:r>
        <w:rPr>
          <w:rFonts w:ascii="arial" w:eastAsia="arial" w:hAnsi="arial" w:cs="arial"/>
          <w:color w:val="000000"/>
          <w:sz w:val="20"/>
          <w:u w:val="single"/>
          <w:lang w:val="en-US" w:eastAsia="en-US" w:bidi="ar-SA"/>
        </w:rPr>
        <w:t>Insurance Act.</w:t>
      </w:r>
      <w:r>
        <w:rPr>
          <w:rFonts w:ascii="arial" w:eastAsia="arial" w:hAnsi="arial" w:cs="arial"/>
          <w:color w:val="000000"/>
          <w:sz w:val="20"/>
          <w:lang w:val="en-US" w:eastAsia="en-US" w:bidi="ar-SA"/>
        </w:rPr>
        <w:t xml:space="preserve"> Therefore, I find that the </w:t>
      </w:r>
      <w:r>
        <w:rPr>
          <w:rFonts w:ascii="arial" w:eastAsia="arial" w:hAnsi="arial" w:cs="arial"/>
          <w:color w:val="000000"/>
          <w:sz w:val="20"/>
          <w:u w:val="single"/>
          <w:lang w:val="en-US" w:eastAsia="en-US" w:bidi="ar-SA"/>
        </w:rPr>
        <w:t>Act</w:t>
      </w:r>
      <w:r>
        <w:rPr>
          <w:rFonts w:ascii="arial" w:eastAsia="arial" w:hAnsi="arial" w:cs="arial"/>
          <w:color w:val="000000"/>
          <w:sz w:val="20"/>
          <w:lang w:val="en-US" w:eastAsia="en-US" w:bidi="ar-SA"/>
        </w:rPr>
        <w:t xml:space="preserve"> has been complied with by this particular plaintiff and the action is properly brought.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Other cases of interest cited to me were </w:t>
      </w:r>
      <w:r>
        <w:rPr>
          <w:rFonts w:ascii="arial" w:eastAsia="arial" w:hAnsi="arial" w:cs="arial"/>
          <w:b/>
          <w:i/>
          <w:color w:val="000000"/>
          <w:sz w:val="20"/>
          <w:lang w:val="en-US" w:eastAsia="en-US" w:bidi="ar-SA"/>
        </w:rPr>
        <w:t>Hocaluk v. Insurance Corporation of British Columbia</w:t>
      </w:r>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2007 BCSC 170</w:t>
        </w:r>
      </w:hyperlink>
      <w:r>
        <w:rPr>
          <w:rFonts w:ascii="arial" w:eastAsia="arial" w:hAnsi="arial" w:cs="arial"/>
          <w:color w:val="000000"/>
          <w:sz w:val="20"/>
          <w:lang w:val="en-US" w:eastAsia="en-US" w:bidi="ar-SA"/>
        </w:rPr>
        <w:t xml:space="preserve">, </w:t>
      </w:r>
      <w:hyperlink r:id="rId445" w:history="1">
        <w:r>
          <w:rPr>
            <w:rFonts w:ascii="arial" w:eastAsia="arial" w:hAnsi="arial" w:cs="arial"/>
            <w:i/>
            <w:color w:val="0077CC"/>
            <w:sz w:val="20"/>
            <w:u w:val="single"/>
            <w:shd w:val="clear" w:color="auto" w:fill="FFFFFF"/>
            <w:lang w:val="en-US" w:eastAsia="en-US" w:bidi="ar-SA"/>
          </w:rPr>
          <w:t>69 B.C.L.R. (4th) 360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Ball v. Insurance Corporation of British Columbia</w:t>
      </w:r>
      <w:r>
        <w:rPr>
          <w:rFonts w:ascii="arial" w:eastAsia="arial" w:hAnsi="arial" w:cs="arial"/>
          <w:color w:val="000000"/>
          <w:sz w:val="20"/>
          <w:lang w:val="en-US" w:eastAsia="en-US" w:bidi="ar-SA"/>
        </w:rPr>
        <w:t xml:space="preserve"> </w:t>
      </w:r>
      <w:hyperlink r:id="rId446" w:history="1">
        <w:r>
          <w:rPr>
            <w:rFonts w:ascii="arial" w:eastAsia="arial" w:hAnsi="arial" w:cs="arial"/>
            <w:i/>
            <w:color w:val="0077CC"/>
            <w:sz w:val="20"/>
            <w:u w:val="single"/>
            <w:shd w:val="clear" w:color="auto" w:fill="FFFFFF"/>
            <w:lang w:val="en-US" w:eastAsia="en-US" w:bidi="ar-SA"/>
          </w:rPr>
          <w:t>(1996), 37 C.C.L.I. (2d) 246</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Slezak v. Insurance Corporation of British Columbia</w:t>
      </w:r>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2003 BCSC 1679</w:t>
        </w:r>
      </w:hyperlink>
      <w:r>
        <w:rPr>
          <w:rFonts w:ascii="arial" w:eastAsia="arial" w:hAnsi="arial" w:cs="arial"/>
          <w:color w:val="000000"/>
          <w:sz w:val="20"/>
          <w:lang w:val="en-US" w:eastAsia="en-US" w:bidi="ar-SA"/>
        </w:rPr>
        <w:t xml:space="preserve">, </w:t>
      </w:r>
      <w:hyperlink r:id="rId447" w:history="1">
        <w:r>
          <w:rPr>
            <w:rFonts w:ascii="arial" w:eastAsia="arial" w:hAnsi="arial" w:cs="arial"/>
            <w:i/>
            <w:color w:val="0077CC"/>
            <w:sz w:val="20"/>
            <w:u w:val="single"/>
            <w:shd w:val="clear" w:color="auto" w:fill="FFFFFF"/>
            <w:lang w:val="en-US" w:eastAsia="en-US" w:bidi="ar-SA"/>
          </w:rPr>
          <w:t>5 C.C.L.I. (4th) 230</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While I would not describe the plaintiff's efforts to locate the other driver as exceptional, on a balance of probabilities I find that he met the legal onus upon him to make a reasonable effort to find the driver. He contacted his friend in the RCMP immediately, he met with the police the same evening and gave a statement and handed over a piece of evidence. He published two newspaper advertisements many months after the fact, probably on the advice of his lawyer. I note, however, that in his interviews with ICBC after the accident, he was not told that he had to do anything to find the other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INJURIES/CAUSATION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plaintiff's evidence is that at the time of the accident his main worry was over his right knee which had been surgically repaired two months before this accident. Otherwise, there were only bruises and scrapes. The right shoulder and lower back difficulties were not bothering him at that time very much, if at all. He did not mention either on October 28, 2003, when he attended at ICBC to report the accident. His first mention of the low back symptoms was on October 30, 2003, when he saw his physician, Dr. Anderson, who referred him for physiotherapy. The plaintiff's first documented report of right shoulder symptoms was December 3, 2003, after he had been back to work for two weeks.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does not go so far as to deny that the accident caused or contributed to the plaintiff's injuries. The concern is as to the extent. The issue is whether this is a "thin skull" or a "crumbling skull" situation. Both address the circumstances of a pre-existing condition, and its effect upon the accident victim. The law is that the defendant need not compensate the plaintiff for any debilitating effects of a pre-existing condition if the plaintiff would have experienced them regardless of the accident: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35, </w:t>
      </w:r>
      <w:hyperlink r:id="rId22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The court requires "a measurable risk" or "a real or substantial possibility and not speculation" that the pre-existing condition would have manifested in the future regardless of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measurable risk need not be proven on a balance of probabilities, but given weight according to the probability of its occurrence: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injury is deemed "thin skull" when there is a pre-existing condition that is not active or symptomatic at the time of the accident, and that was unlikely to become active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 "crumbling skull" injury is also one where there is a pre-existing condition, but one which is active or likely to become active. If the injury is proven to be of a thin skull nature, then the defendant is liable for all the plaintiff's injuries resulting from the accident. If it is of a crumbling skull nature, then the plaintiff is liable only to the extent that the accident caused an aggravation to the existing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Several experts examined the plaintiff regarding his shoulder and back injuries, including: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Anderson, family physician;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Andrew Travlos, specialist in Physical and Rehabilitation Medicine;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A. Smit, orthopaedic surgeon;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R.S. Baruni, specialist in Physical and Rehabilitation Medicine;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S. Helper, Physician in Rehabilitation Medicine;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C. Watt, specialist in Occupational and Sports Medicine;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J. Leith, specialist in orthopaedic medicine.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Treating the plaintiff for his injuries were the following medical practitioners: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Mark Frobb, Physician, Acupuncturist and chronic pain doctor;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 M. Vipond, Chiropractor;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Pedro Sem, Kinesiologist;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White Rock Orthopaedic &amp; Sports Physiotherapy Clinic.</w:t>
      </w:r>
    </w:p>
    <w:p>
      <w:pPr>
        <w:numPr>
          <w:numId w:val="1"/>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testified that he had never had any prior shoulder problems other than a minor complaint in 2002 when he was being treated by Dr. Frobb for back problems. He had never before been off work as a result of shoulder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Both the plaintiff and his wife testified that the right shoulder pain began approximately 10 days to two weeks after the accident. Initially it was a shooting pain which the plaintiff felt when he rolled over in bed on his right side. He testified that he thought it was only a bruise (which explains why he did not mention it to his doctor). When he returned to work November 17, 2003, it was from that point that he began to suffer his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An MRI scan conducted on May 9, 2004 showed a partial rotator cuff tear. The plaintiff was treated with corticosteroid injections, which gave temporary relief but no lasting improvement. The plaintiff reported to Dr. Smit, his orthopaedic surgeon, that he had no overhead range of movement, that he was having trouble sleeping, and could not exercise at the gym as he had, because of the pain. He underwent surgery for an acromioplasty and repair of the rotator cuff on July 12, 2005. The surgery was without complications, and following approximately six months of rehabilitation, including physiotherapy, the plaintiff's shoulder pain was nearly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Dr. Smit in his medical legal report of July 24, 2008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patient developed right shoulder pain, due to rotator cuff tendinopathy with a small tear and impingement. This became more pronounced after he tried to return to work ... the patient had been absolutely symptom-free, and had been able to work without limitations due to his shoulder function. It is much more likely than not that the fall onto the right shoulder caused inflammation, possibly a small tear, in the rotator cuff leading to progressive swelling and ongoing aggravation.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Smit advised that the plaintiff had pre-existing asymptomatic degenerative changes in his shoulder prior to this motor vehicle accident. The plaintiff's scans revealed a hooked acromion, which in general represents progressive degenerative changes. However, it was Dr. Smit's opinion that the motor vehicle accident was the precipitating factor that led to his ongoing problems and surgery. Dr. Smit acknowledged that the patient could have required surgical intervention in any event at some point in the future; however, the accident "more likely than not" made the need for surgical intervention arise much earlier. He also opined that the plaintiff might never have required surgical intervention but for the accident, as many individuals develop degenerative changes in the rotator cuff without ever requiring surgery to repair them. The doctor did not express any percentage of chance as to that,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Under cross-examination, Dr. Smit confirmed his position that it was more likely than not that the shoulder problems were a direct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Baruni, who examined the plaintiff on January 26, 2007, was of the opinion that the plaintiff had suffered, as a result of the motor vehicle accident, a right shoulder rotator cuff tear on a background of pre-existing calcific tendinitis.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Dr. Baruni emphasised the fact that the plaintiff had neck soreness in the immediate period following the accident and opined that the neck soreness was most likely referred pain from his right shoulder injury which he sustained in the accident. He noted that following the surgery the plaintiff has had "complete resolution of shoulder symptomatology and no residual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Dr. Watt, an occupational and sports medicine physician, stated in his medical legal report of October 5, 2007 that it was his opinion that the accident of October 20, 2003 directly caused the plaintiff's right shoulder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Watt indicated that the plaintiff denied any pre-existing shoulder problems and he had not found anything in the documentary evidence to contradict this. In court, Dr. Watt admitted on cross-examination that he had reviewed Dr. Frobb's records made a year prior to the accident and acknowledged that there had been some complaints of shoulder soreness. However, this did not change Dr. Watt's opinion that the shoulder injury was related directly to the accident as the plaintiff had been symptom-free for at least a year prior to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Helper, a physiatrist, treated the plaintiff predominantly for his ongoing low back pain. Dr. Helper's brief opinion on the issue of the shoulder was that the plaintiff had a pre-existing right rotator cuff tendinopathy that was aggravated by the motor vehicle accident of October 20,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defendant argues that the evidence of the orthopaedic specialist, Dr. Leith, who is an expert in diagnosing and treating shoulder injuries in particular, should be preferred over the plaintiff's specialists. Dr. Leith conducted an intensive review of the plaintiff's pre-accident medical history and concluded that the right shoulder symptoms were due to the plaintiff's work, and unrelated to the alleged accident. He testified to the effect that the shoulder injury could not be related to the motor vehicle accident, although he acknowledged that the plaintiff had a "vulnerable shoulder" prior to the accident. His view seemed to be that the shoulder injury occurred independently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Leith refused to acknowledge that the period of time between the accident and the plaintiff's return to work would have provided a sedentary period for the plaintiff when little use of the shoulder would have taken place. In effect, he found that the injury from the accident had healed before the plaintiff suffered the pain that he encountered at work. The calcific tendinitis described was typical of repetitive use and wear and tear pre-dating the accident. The delay in onset of symptoms for some six weeks would tend to rule out shoulder injury arising from the accident, which ought to have been evident within 48 hours if an injury had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Leith's view notwithstanding, I find that the evidence is sufficient for me to conclude that there was no active pre-existing shoulder injury when the accident occurred. Rather, the plaintiff had a latent vulnerability in his shoulder which was activated by the accident. With the surgery both the injury resulting from the accident and his pre-existing vulnerability were largely resolved with the removal of the acromion.</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Lower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plaintiff has a history of lower back pain. He was off work for a work-related accident from January 2001 until June 2001, with a brief attempt at returning to work during that period. At that time he was diagnosed with acute lumbar strain which was treated conservatively with chiropractory and acupuncture. X-rays of the lumbar spine taken in June 2001 show "typical age-related degenerative changes". The records of Dr. Frobb show that the plaintiff attended for intermittent treatment until approximately a year before the accident. In his final notation, on October 10, 2002, Dr. Frobb recorded that the plaintiff's back had become essentially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medical experts do not appear to disagree that the plaintiff's current back complaints were caused or at least aggravated by the accident. They dispute the lengthy duration of the pain and the prognosis, however.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plaintiff initially reported back pain to Dr. Anderson on October 31, 2003, and again on November 6, 2003. He underwent chiropractic and physiotherapy treatments. He had CT scans taken on May 14, 2004 and June 8, 2005, as well as an MRI on September 2, 2005. The results, which were essentially the same in all three scans, revealed degenerative changes, including disk narrowing and bulging, as well as spondylosis and facet joint arthropathy. The plaintiff says that the low back pain continued and progressively worsened upon his return to work until finally in June 2005 he was forced to leave work due to the combination of the low back and shoulder pain. The plaintiff says that now there is a "compression" pushing down on his back and that walking, standing and even sitting for any length of time significantly increases the pain. He has attempted numerous treatment modalities, including physiotherapy, medication, chiropractic treatment, injections, exercise and acupuncture, all apparently to no avail. He says that he is unable to return to his previous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his report of February 28, 2007, Dr. Anderson stated that the plaintiff has chronic low back pain aggravated by certain postures and positions which makes it difficult for the plaintiff to carry out the duties of a custodian.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Dr. Travlos, in his report of January 9, 2006, noted that, based on the reports of Dr. Frobb, the plaintiff's back problems in 2001-2002 appeared to have substantially resolved, but that he was at some risk of again aggravating his back, given the longevity of his symptoms. It was his opinion that the plaintiff's back pain was mechanical in origin, not myofascial (chronic). He stated that in the absence of the bicycle accident, it was possible that the low back pain would flare up again spontaneously, but that it was unlikely that would develop but for the accident. He did not think that the accident aggravated the underlying degenerative process pre-dating the accident, but instead had rendered it symptomatic. In his opinion, the low back pain was a direct result of the bicycle accident. Dr. Travlos did not expect that there would be any significant improvement afterwards, given that the plaintiff, at the time of the report, had been in pain for more than two years, and had tried several treatment methods without success. He recommended a work conditioning program, but noted that the plaintiff has been left with limitations in his functioning and would likely remain unable to carry out the more strenuous duties of 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Dr. Baruni was of the opinion that the persistent low back related impairments were partially chronic pain and partially right-sided lumbar facet joint irritation that had not yet been specifically or adequately treated.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Dr. Baruni further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suspect that Mr. Filsinger's degenerative changes in his back will probably be accelerated and made worse as a result of the said accident, specifically as a consequence of injury to one or more of the zygapophyseal (facet) joints.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Dr. Helper, in his medical legal report of March 18, 2008, diagnosed the plaintiff's low back problem as being a right L3/4 and L4/5 facet joint arthrosis. He was of the opinion that the accident was the cause of the current chronic low back pain. He noted that the plaintiff has been consistent in describing the nature and distribution of his pain symptoms both at the time of the previous injury and currently, and that his description of his current symptoms was different from that of his earlier symptoms. This suggested that his current injury is not the same as his previous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Helper opined: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it is true that most patients do recover from mechanical back pain following motor vehicle accidents once the duration of symptoms has passed six months the prognosis for recovery drops off dramatically. At that point in time the patient has only a 5% chance of spontaneous resolution of his symptoms. As well, the fact that Mr. Filsinger has undergone the same treatments for this period of back pain as he had in 2001, without the same benefit, suggests that a continuation along the same course of management will not lead to resolution any time soon.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Watt, the occupational and sports medicine physician, stated in his medical legal report that the plaintiff's pre-existing low back pain impairment had stabilized and any impact on his day-to-day activities was minimal. However, he said also that the mechanism of the injury, the way he was thrown from his bike, landing hard on his shoulder and side, was consistent with an aggravation of a pre-existing low back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Watt was of the opinion that the plaintiff had not yet reached maximum improvement, and that there were potentially correctable factors that might be amenable to further treatment. However, "even with optimum management the plaintiff is likely to remain worse off than if the accident had never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Watt goes on to state: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Regardless, the accident has, in my opinion permanently altered for the worse the natural history of progression of this condition. If the accident had not occurred, the nature of his pre-accident low back impairment is such that he probably would have experienced very gradually increasing symptoms (pain and stiffness) over the next 10-20 years that would have gradually affected first his tolerance of and then ultimately his ability to perform certain work and non-work activities. The accident has probably accelerated this course of steady decline. As a result, he is more likely to experience a more rapid onset of increasing symptoms and disability. He will probably find himself unable to perform certain activities years sooner than had the accident not occurred. He will also probably experience more extensive functional restrictions as time goes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contends that the failure of the plaintiff to mention his serious injuries until some several days after the accident is significant. The defendant submits that the complaints of pain amount to reconstruction. It is not credible, the defendant contends, that the plaintiff would not report the injuries to Dr. Anderson, Dr. Smit or his physiotherapist until December 2003, and then describe them as arising after he returned to work in mid-November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defence expert, Dr. Leith examined the plaintiff approximately 2-1/2 years post-accident. Dr. Leith found tenderness over the right L4-5/S1 region and diagnosed mechanical low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Leith stated that, in his opinion, the plaintiff sustained a "minor aggravation" of his pre-existing low back condition as a result of the MVA. He reviewed the plaintiff's records and stated that the records established a history of pre-existing low back injury and mechanical symptoms. He pointed out that the onset of back pain was not present immediately after the MVA and was first documented 11 days after the MVA. The symptoms were minor. He stated that "at most, the MVA aggravated the pre-existing lumbosacral condition with minor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 evidence for the plaintiff depends largely on Dr. Frobb's report of October 10, 2002 in which it is stated that the plaintiff was asymptomatic at the time of the accident. Dr. Travlos stated that the accident rendered a pre-existing, painless condition symptomatic. However, Drs. Leith, Baruni and Watt characterized the injury as a pre-existing condition aggravated by the accident. They say that the plaintiff's low back pain had already caused the plaintiff to be off work for the better part of six months two years before the accident, and the underlying degenerative changes that had caused the previous back problems to become active had not resolved at the time of the accident, even if the plaintiff was symptom-free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Dr. Watt was of the opinion that if the accident had not occurred the plaintiff would have experienced gradually increasing symptoms of pain and stiffness over the next ten to twenty years. The accident only accelerated this process. Dr. Leith, by contrast, was of the opinion that the accident caused a merely minor aggravation of a pre-existing condition. This condition put the plaintiff at increased risk of developing lower back pain compared to the normal population, but the aggravation due to the accident has not altered the natural progression of the problem over the long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With respect to the plaintiff's shoulder injury, in my view the thin skull doctrine that applies. As was stated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at para. 34, the rule applies even if the inherent vulnerability was unexpectedly severe. There was, in this case, a latent vulnerability in the shoulder condition due to the shoulder acromion. The plaintiff had some trouble with it, but there is no evidence that he had taken time off work or was in any way disabled as a result. Had the accident not occurred, the acromion might never have affected the plaintiff or resulted in any necessity for surgery. The defendant is wholly liable for the plaintiff's shoulder injury, which I might add, with the surgery in 2005, has largely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find that the plaintiff's pre-existing low back condition was either inherent in the plaintiff or a result of his work-related accident in January 2001. The symptoms may have been quiescent at the time of the accident, but on a balance of probabilities I find they were bound to manifest at some time in the future. They had not been resolved. I consider Dr. Watts' prognosis - that the plaintiff would have had as much as twenty years of gradually increasing pain and stiffness - to be too optimistic. The plaintiff had a physically demanding job and enjoyed challenging physical activities such as skiing and marathon-running. His back condition had already manifested itself severely enough to force him off work for several months on the occasion of a prior injury. I conclude that the plaintiff's damages must be adjusted to reflect the unresolved pre-existing condition. A reduction of 20% on that account seems to me to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defendant submits that the only injuries sustained were minor soft tissue injuries plus various scrapes and abrasions, and a very mild low back strain which was not disabling and which resolved within a few months. Therefore, the defendant submits the non-pecuniary damages should be assessed at between $5,000 and $10,000, citing </w:t>
      </w:r>
      <w:r>
        <w:rPr>
          <w:rFonts w:ascii="arial" w:eastAsia="arial" w:hAnsi="arial" w:cs="arial"/>
          <w:b/>
          <w:i/>
          <w:color w:val="000000"/>
          <w:sz w:val="20"/>
          <w:lang w:val="en-US" w:eastAsia="en-US" w:bidi="ar-SA"/>
        </w:rPr>
        <w:t>King v. Buccini</w:t>
      </w:r>
      <w:r>
        <w:rPr>
          <w:rFonts w:ascii="arial" w:eastAsia="arial" w:hAnsi="arial" w:cs="arial"/>
          <w:color w:val="000000"/>
          <w:sz w:val="20"/>
          <w:lang w:val="en-US" w:eastAsia="en-US" w:bidi="ar-SA"/>
        </w:rPr>
        <w:t xml:space="preserve">, </w:t>
      </w:r>
      <w:hyperlink r:id="rId448" w:history="1">
        <w:r>
          <w:rPr>
            <w:rFonts w:ascii="arial" w:eastAsia="arial" w:hAnsi="arial" w:cs="arial"/>
            <w:i/>
            <w:color w:val="0077CC"/>
            <w:sz w:val="20"/>
            <w:u w:val="single"/>
            <w:shd w:val="clear" w:color="auto" w:fill="FFFFFF"/>
            <w:lang w:val="en-US" w:eastAsia="en-US" w:bidi="ar-SA"/>
          </w:rPr>
          <w:t>2006 BCSC 1587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Bingham v. Palmantier</w:t>
      </w:r>
      <w:r>
        <w:rPr>
          <w:rFonts w:ascii="arial" w:eastAsia="arial" w:hAnsi="arial" w:cs="arial"/>
          <w:color w:val="000000"/>
          <w:sz w:val="20"/>
          <w:lang w:val="en-US" w:eastAsia="en-US" w:bidi="ar-SA"/>
        </w:rPr>
        <w:t xml:space="preserve">, </w:t>
      </w:r>
      <w:hyperlink r:id="rId449" w:history="1">
        <w:r>
          <w:rPr>
            <w:rFonts w:ascii="arial" w:eastAsia="arial" w:hAnsi="arial" w:cs="arial"/>
            <w:i/>
            <w:color w:val="0077CC"/>
            <w:sz w:val="20"/>
            <w:u w:val="single"/>
            <w:shd w:val="clear" w:color="auto" w:fill="FFFFFF"/>
            <w:lang w:val="en-US" w:eastAsia="en-US" w:bidi="ar-SA"/>
          </w:rPr>
          <w:t>2003 BCSC 1927</w:t>
        </w:r>
      </w:hyperlink>
      <w:r>
        <w:rPr>
          <w:rFonts w:ascii="arial" w:eastAsia="arial" w:hAnsi="arial" w:cs="arial"/>
          <w:color w:val="000000"/>
          <w:sz w:val="20"/>
          <w:lang w:val="en-US" w:eastAsia="en-US" w:bidi="ar-SA"/>
        </w:rPr>
        <w:t xml:space="preserve">. Alternatively, the defendant argues that, if there was an injury to the right shoulder which required surgery in July 2005, that injury healed virtually completely by December 2005, and therefore the non-pecuniary damages should range between $40,000 and $50,000, citing </w:t>
      </w:r>
      <w:r>
        <w:rPr>
          <w:rFonts w:ascii="arial" w:eastAsia="arial" w:hAnsi="arial" w:cs="arial"/>
          <w:b/>
          <w:i/>
          <w:color w:val="000000"/>
          <w:sz w:val="20"/>
          <w:lang w:val="en-US" w:eastAsia="en-US" w:bidi="ar-SA"/>
        </w:rPr>
        <w:t>Heyes v. Lanphier</w:t>
      </w:r>
      <w:r>
        <w:rPr>
          <w:rFonts w:ascii="arial" w:eastAsia="arial" w:hAnsi="arial" w:cs="arial"/>
          <w:color w:val="000000"/>
          <w:sz w:val="20"/>
          <w:lang w:val="en-US" w:eastAsia="en-US" w:bidi="ar-SA"/>
        </w:rPr>
        <w:t xml:space="preserve">, </w:t>
      </w:r>
      <w:hyperlink r:id="rId450" w:history="1">
        <w:r>
          <w:rPr>
            <w:rFonts w:ascii="arial" w:eastAsia="arial" w:hAnsi="arial" w:cs="arial"/>
            <w:i/>
            <w:color w:val="0077CC"/>
            <w:sz w:val="20"/>
            <w:u w:val="single"/>
            <w:shd w:val="clear" w:color="auto" w:fill="FFFFFF"/>
            <w:lang w:val="en-US" w:eastAsia="en-US" w:bidi="ar-SA"/>
          </w:rPr>
          <w:t>2003 BCSC 1126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 defendant contends, further in the alternative, that if it is found that the injuries included not only the shoulder injury but also ongoing low back symptoms, it is not disabling him from work but is similar to his pre-accident low back symptoms that troubled him in 2001 and years following, and therefore damages should range from $50,000 to $60,000, citing </w:t>
      </w:r>
      <w:r>
        <w:rPr>
          <w:rFonts w:ascii="arial" w:eastAsia="arial" w:hAnsi="arial" w:cs="arial"/>
          <w:b/>
          <w:i/>
          <w:color w:val="000000"/>
          <w:sz w:val="20"/>
          <w:lang w:val="en-US" w:eastAsia="en-US" w:bidi="ar-SA"/>
        </w:rPr>
        <w:t>Fazio v. Catchpole</w:t>
      </w:r>
      <w:r>
        <w:rPr>
          <w:rFonts w:ascii="arial" w:eastAsia="arial" w:hAnsi="arial" w:cs="arial"/>
          <w:color w:val="000000"/>
          <w:sz w:val="20"/>
          <w:lang w:val="en-US" w:eastAsia="en-US" w:bidi="ar-SA"/>
        </w:rPr>
        <w:t xml:space="preserve">, </w:t>
      </w:r>
      <w:hyperlink r:id="rId451" w:history="1">
        <w:r>
          <w:rPr>
            <w:rFonts w:ascii="arial" w:eastAsia="arial" w:hAnsi="arial" w:cs="arial"/>
            <w:i/>
            <w:color w:val="0077CC"/>
            <w:sz w:val="20"/>
            <w:u w:val="single"/>
            <w:shd w:val="clear" w:color="auto" w:fill="FFFFFF"/>
            <w:lang w:val="en-US" w:eastAsia="en-US" w:bidi="ar-SA"/>
          </w:rPr>
          <w:t>2007 BCSC 776</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Tardiff v. Toews</w:t>
      </w:r>
      <w:r>
        <w:rPr>
          <w:rFonts w:ascii="arial" w:eastAsia="arial" w:hAnsi="arial" w:cs="arial"/>
          <w:color w:val="000000"/>
          <w:sz w:val="20"/>
          <w:lang w:val="en-US" w:eastAsia="en-US" w:bidi="ar-SA"/>
        </w:rPr>
        <w:t xml:space="preserve">, </w:t>
      </w:r>
      <w:hyperlink r:id="rId452" w:history="1">
        <w:r>
          <w:rPr>
            <w:rFonts w:ascii="arial" w:eastAsia="arial" w:hAnsi="arial" w:cs="arial"/>
            <w:i/>
            <w:color w:val="0077CC"/>
            <w:sz w:val="20"/>
            <w:u w:val="single"/>
            <w:shd w:val="clear" w:color="auto" w:fill="FFFFFF"/>
            <w:lang w:val="en-US" w:eastAsia="en-US" w:bidi="ar-SA"/>
          </w:rPr>
          <w:t>2004 BCSC 1009</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plaintiff submits that an award of $100,000 is appropriate. In support, the plaintiff relies on several cases. One is </w:t>
      </w:r>
      <w:r>
        <w:rPr>
          <w:rFonts w:ascii="arial" w:eastAsia="arial" w:hAnsi="arial" w:cs="arial"/>
          <w:b/>
          <w:i/>
          <w:color w:val="000000"/>
          <w:sz w:val="20"/>
          <w:lang w:val="en-US" w:eastAsia="en-US" w:bidi="ar-SA"/>
        </w:rPr>
        <w:t>Love v. Pai</w:t>
      </w:r>
      <w:r>
        <w:rPr>
          <w:rFonts w:ascii="arial" w:eastAsia="arial" w:hAnsi="arial" w:cs="arial"/>
          <w:color w:val="000000"/>
          <w:sz w:val="20"/>
          <w:lang w:val="en-US" w:eastAsia="en-US" w:bidi="ar-SA"/>
        </w:rPr>
        <w:t xml:space="preserve">, </w:t>
      </w:r>
      <w:hyperlink r:id="rId453" w:history="1">
        <w:r>
          <w:rPr>
            <w:rFonts w:ascii="arial" w:eastAsia="arial" w:hAnsi="arial" w:cs="arial"/>
            <w:i/>
            <w:color w:val="0077CC"/>
            <w:sz w:val="20"/>
            <w:u w:val="single"/>
            <w:shd w:val="clear" w:color="auto" w:fill="FFFFFF"/>
            <w:lang w:val="en-US" w:eastAsia="en-US" w:bidi="ar-SA"/>
          </w:rPr>
          <w:t>2003 BCSC 900</w:t>
        </w:r>
      </w:hyperlink>
      <w:r>
        <w:rPr>
          <w:rFonts w:ascii="arial" w:eastAsia="arial" w:hAnsi="arial" w:cs="arial"/>
          <w:color w:val="000000"/>
          <w:sz w:val="20"/>
          <w:lang w:val="en-US" w:eastAsia="en-US" w:bidi="ar-SA"/>
        </w:rPr>
        <w:t>. The plaintiff in that case was a medical doctor who suffered "a typical whiplash injury". He had received some physiotherapy and did not miss any work following the MVA. He continued to play ice hockey one day per week. Approximately 3-1/2 years following the motor vehicle accident, the plaintiff had to undergo neck surgery for a herniated disc at the C-6/7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defence in </w:t>
      </w:r>
      <w:r>
        <w:rPr>
          <w:rFonts w:ascii="arial" w:eastAsia="arial" w:hAnsi="arial" w:cs="arial"/>
          <w:b/>
          <w:i/>
          <w:color w:val="000000"/>
          <w:sz w:val="20"/>
          <w:lang w:val="en-US" w:eastAsia="en-US" w:bidi="ar-SA"/>
        </w:rPr>
        <w:t>Love v. Pai</w:t>
      </w:r>
      <w:r>
        <w:rPr>
          <w:rFonts w:ascii="arial" w:eastAsia="arial" w:hAnsi="arial" w:cs="arial"/>
          <w:color w:val="000000"/>
          <w:sz w:val="20"/>
          <w:lang w:val="en-US" w:eastAsia="en-US" w:bidi="ar-SA"/>
        </w:rPr>
        <w:t xml:space="preserve"> argued that the surgery was not caused as a result of the motor vehicle accident. The court found that the plaintiff had suffered injury as a result of the motor vehicle accident and this injury caused him significant and progressive pain and disability which severely encroached on his enjoyment of life and on his ability to work pain-free. The court assessed the issue of the extent of a pre-existing condition and found that while the plaintiff had a number of complaints prior to the motor vehicle accident, they were in the normal range for someone who was intensely involved in fitness. These complaints included leg, back and shoulder complaints for which the plaintiff received treatment, but did not prevent the plaintiff from continuing to work or interfere in his family life or his athletic pursuits. In accepting that the motor vehicle accident led to the surgery and ongoing chronic pain, the court awarded $100,000.00 for pain and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Foran v. Nguyen</w:t>
      </w:r>
      <w:r>
        <w:rPr>
          <w:rFonts w:ascii="arial" w:eastAsia="arial" w:hAnsi="arial" w:cs="arial"/>
          <w:color w:val="000000"/>
          <w:sz w:val="20"/>
          <w:lang w:val="en-US" w:eastAsia="en-US" w:bidi="ar-SA"/>
        </w:rPr>
        <w:t xml:space="preserve">, </w:t>
      </w:r>
      <w:hyperlink r:id="rId454" w:history="1">
        <w:r>
          <w:rPr>
            <w:rFonts w:ascii="arial" w:eastAsia="arial" w:hAnsi="arial" w:cs="arial"/>
            <w:i/>
            <w:color w:val="0077CC"/>
            <w:sz w:val="20"/>
            <w:u w:val="single"/>
            <w:shd w:val="clear" w:color="auto" w:fill="FFFFFF"/>
            <w:lang w:val="en-US" w:eastAsia="en-US" w:bidi="ar-SA"/>
          </w:rPr>
          <w:t>2006 BCSC 605</w:t>
        </w:r>
      </w:hyperlink>
      <w:r>
        <w:rPr>
          <w:rFonts w:ascii="arial" w:eastAsia="arial" w:hAnsi="arial" w:cs="arial"/>
          <w:color w:val="000000"/>
          <w:sz w:val="20"/>
          <w:lang w:val="en-US" w:eastAsia="en-US" w:bidi="ar-SA"/>
        </w:rPr>
        <w:t>, Madam Justice Sinclair-Prowse awarded $90,000.00 for general damages to a plaintiff who suffered soft tissue injuries to her neck. In this case, the plaintiff experienced some improvement in the first 6-12 months post-MVA, but the improvement plateaued. In addition to the neck pain, the plaintiff also suffered ongoing headaches. The court also found that the plaintiff suffered some emotional problems as a result of the injuries she suffered in the collision. The defendants in that case argued that the plaintiff's injuries were resolved within several months as the plaintiff did not see her doctor for her injuries for a 15-month period. The court found this reasonable as the plaintiff stated she did not feel that the doctors could do any more for her injuries and thus did not attend at their offices for a lengthy period of time. Moreover, the plaintiff had maintained her exercises during this period. In assessing general damages for pain and suffering at $90,000.00, the court considered that the plaintiff had suffered multiple soft tissue injuries with ongoing pain in varying degrees of severity and that it was probable that she would experience chronic neck pain, as well as chronic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Dawson v. Gee</w:t>
      </w:r>
      <w:r>
        <w:rPr>
          <w:rFonts w:ascii="arial" w:eastAsia="arial" w:hAnsi="arial" w:cs="arial"/>
          <w:color w:val="000000"/>
          <w:sz w:val="20"/>
          <w:lang w:val="en-US" w:eastAsia="en-US" w:bidi="ar-SA"/>
        </w:rPr>
        <w:t xml:space="preserve">, </w:t>
      </w:r>
      <w:hyperlink r:id="rId455" w:history="1">
        <w:r>
          <w:rPr>
            <w:rFonts w:ascii="arial" w:eastAsia="arial" w:hAnsi="arial" w:cs="arial"/>
            <w:i/>
            <w:color w:val="0077CC"/>
            <w:sz w:val="20"/>
            <w:u w:val="single"/>
            <w:shd w:val="clear" w:color="auto" w:fill="FFFFFF"/>
            <w:lang w:val="en-US" w:eastAsia="en-US" w:bidi="ar-SA"/>
          </w:rPr>
          <w:t>2000 BCSC 147</w:t>
        </w:r>
      </w:hyperlink>
      <w:r>
        <w:rPr>
          <w:rFonts w:ascii="arial" w:eastAsia="arial" w:hAnsi="arial" w:cs="arial"/>
          <w:color w:val="000000"/>
          <w:sz w:val="20"/>
          <w:lang w:val="en-US" w:eastAsia="en-US" w:bidi="ar-SA"/>
        </w:rPr>
        <w:t xml:space="preserve">, Madam Justice Satanove awarded $98,000 in general damages for pain and suffering to the plaintiff whom she described as a "medical enigma" in that most experts could not explain a reason for the ongoing pain. She had suffered soft tissue injuries to her neck, jaw, shoulder, arm and low back. The learned judge cited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in finding that the plaintiff did not have to show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only that it contributed materially to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Dycke v. Nanaimo Paving and Seal Coating Ltd.</w:t>
      </w:r>
      <w:r>
        <w:rPr>
          <w:rFonts w:ascii="arial" w:eastAsia="arial" w:hAnsi="arial" w:cs="arial"/>
          <w:color w:val="000000"/>
          <w:sz w:val="20"/>
          <w:lang w:val="en-US" w:eastAsia="en-US" w:bidi="ar-SA"/>
        </w:rPr>
        <w:t xml:space="preserve">, </w:t>
      </w:r>
      <w:hyperlink r:id="rId456" w:history="1">
        <w:r>
          <w:rPr>
            <w:rFonts w:ascii="arial" w:eastAsia="arial" w:hAnsi="arial" w:cs="arial"/>
            <w:i/>
            <w:color w:val="0077CC"/>
            <w:sz w:val="20"/>
            <w:u w:val="single"/>
            <w:shd w:val="clear" w:color="auto" w:fill="FFFFFF"/>
            <w:lang w:val="en-US" w:eastAsia="en-US" w:bidi="ar-SA"/>
          </w:rPr>
          <w:t>2007 BCSC 455</w:t>
        </w:r>
      </w:hyperlink>
      <w:r>
        <w:rPr>
          <w:rFonts w:ascii="arial" w:eastAsia="arial" w:hAnsi="arial" w:cs="arial"/>
          <w:color w:val="000000"/>
          <w:sz w:val="20"/>
          <w:lang w:val="en-US" w:eastAsia="en-US" w:bidi="ar-SA"/>
        </w:rPr>
        <w:t>, Mr. Justice Warren awarded general damages for pain and suffering at $125,000.00. The plaintiff was in a motor vehicle accident in which the force of the collision was relatively minor, and initially it was thought to be a typical whiplash injury, but when the symptoms did not improve, she was referred to a specialist who performed surgery which was unsuccessful. The specialist provided the opinion that the plaintiff's degenerative disc disease, which was causing referred shoulder pain, while not caused by the motor vehicle accident, had been rendered symptomatic by the motor vehicle accident enough to establish liability. The learned judge found that the injury had caused a significant impact on her social life and her enjoyment of life generally. There was no past income loss claimed as the plaintiff had kept on working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the case at bar, the plaintiff suffered a shoulder injury which resulted in surgery. He now has some mild residual discomfort, but has mostly made a full recovery. His back, however, continues to give him considerable trouble. He states that he cannot sit for more than an hour or two at a time, that he has difficulty carrying out household chores, that he cannot drive for more than an hour or bike for more than a mile, let alone engage in the rigorous physical activities - water skiing, snow skiing and marathon running - he enjoyed before the accident. According to his wife, the plaintiff is a different person than he was. Their social life has been adversely affected. Much the same was confirmed by two lay witnesses, a friend, Mr. Dan Gibbons, and a co-worker, Mr. Lloyd Lubberts.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conclude that an appropriate award for non-pecuniary damages is $52,000. That is calculated by setting a gross amount of $60,000, allocating $40,000 to the lower back injury but then subtracting from that $40,000 20% to reflect the contingency mentioned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LOSS OF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Mr. Filsinger worked as a custodian after the accident on a full-time basis, with intermittent sick leaves, from December 2003 to June 17, 2005. From June 24, 2005 to June 23, 2006 he was on partially-paid sick leave. From June 24, 2006 to March 25, 2008 he was on an unpaid medical leave of absence. Past income losses were calculated by PETA Consultants Ltd. at $112,175.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has testified that he has been completely unable to return to work as a result of his low back pain injury or to obtain other work that he can manage. He acknowledged that he has had good recovery from his right shoulder injury. The plaintiff advises that he tried and was unsuccessful in obtaining the opportunity to do "light duty" jobs at his former occupation. This was somewhat confirmed by the witness, Mr. Lubberts. The plaintiff's physician, Dr. Anderson, had encouraged the plaintiff to pursue a vocation with less physical lifting and bending.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plaintiff was assessed by Dr. Watt, a specialist in occupational medicine, at the request of his own counsel in October 2007. A Functional Capacity Evaluation was conducted. Dr. Watt concluded at that time that the plaintiff was capable of returning to work as a custodian based on his demonstrated physical abilities, yet the plaintiff, as at the date of the trial one year later, had not made any attempt to return to work as a custodian.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defendant submits that the plaintiff has made minimal efforts to locate employment. His first meaningful attempts were not until the summer of 2008, shortly before trial, by speaking with a vocational counsellor retained by the plaintiff's lawyer. The defendant submits that the plaintiff has demonstrated a repeated pattern of not seeking employment for almost three years, and has failed to mitigate his damages. If there is a paid period of wage loss, the defendant says it should be limited to the period to January 2006 when Dr. Travlos indicated that the plaintiff should be able to return to work, or at the latest, October 2007, when Dr. Watt said essentially the same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 accept that the plaintiff lost income due to his incapacity after the bicycle accident, and in my view he is entitled to full compensation for wage loss from the date of the injury until the end of December 2005, when he recovered from his shoulder injury, and partial loss of income from January 2006 to October 2007, when Dr. Watt advised that the plaintiff could return to work. The expert evidence submitted by the plaintiff indicates a functional capacity to continue work as a custodian. I have some difficulty accepting the plaintiff's evidence that he was not able to arrange with his employer some minimum accommodation that would have been adequate both in terms of his capacity and the needs of the employer. It does not appear to me that the plaintiff worked hard enough to achieve any such 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Watts' evidence was that the plaintiff perceives himself to be more disabled than he actually is. The evidence does not satisfy me that there was no other work available to him that he could manage. He appeared to me to be an intelligent, reasonably capable person with the ability to do a broad range of work. While it is true that he made some inquiries, they were not extensive. With respect to his existing custodian job, he asked Mr. Ellis, his shop steward, to make inquiries for him about a less demanding job schedule. It seems that Mr. Ellis exercised no more than casual attention to the matter. Mr. Ellis testified that he could not recall details of his efforts but that he could confirm that the employer was unlikely to accept any reduced load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the final analysis, I find the plaintiff entitled to $18,156 for past income losses during the years 2004 and 2005, and partial loss for the period from the beginning of January 2006 to the end of September 2007. The plaintiff's consultants provided figures showing the plaintiff's income loss as $34,278 for 2006 and $32,509 for 2007. The plaintiff is entitled to 50% of $34,278 plus $24,382, the latter figure representing the plaintiff's lost income for the first nine months of 2007, or $29,330, for a total award of $47,486.00.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IMPAIRED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principles applied by the courts in determining lost future earning capacity are set out in </w:t>
      </w:r>
      <w:r>
        <w:rPr>
          <w:rFonts w:ascii="arial" w:eastAsia="arial" w:hAnsi="arial" w:cs="arial"/>
          <w:b/>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84 B.C.L.R. (3d) 158</w:t>
        </w:r>
      </w:hyperlink>
      <w:r>
        <w:rPr>
          <w:rFonts w:ascii="arial" w:eastAsia="arial" w:hAnsi="arial" w:cs="arial"/>
          <w:color w:val="000000"/>
          <w:sz w:val="20"/>
          <w:lang w:val="en-US" w:eastAsia="en-US" w:bidi="ar-SA"/>
        </w:rPr>
        <w:t>, at paras. 8-11: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The most basic of those principles is that a plaintiff is entitled to be put into the position he would have been in but for the accident so far as money can do that. An award for loss of earning capacity is based on the recognition that a plaintiff's capacity to earn income is an asset which has been taken away: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hyperlink r:id="rId99" w:history="1">
        <w:r>
          <w:rPr>
            <w:rFonts w:ascii="arial" w:eastAsia="arial" w:hAnsi="arial" w:cs="arial"/>
            <w:i/>
            <w:color w:val="0077CC"/>
            <w:sz w:val="20"/>
            <w:u w:val="single"/>
            <w:shd w:val="clear" w:color="auto" w:fill="FFFFFF"/>
            <w:lang w:val="en-US" w:eastAsia="en-US" w:bidi="ar-SA"/>
          </w:rPr>
          <w:t>(1999), 65 B.C.L.R. (3d) 155</w:t>
        </w:r>
      </w:hyperlink>
      <w:r>
        <w:rPr>
          <w:rFonts w:ascii="arial" w:eastAsia="arial" w:hAnsi="arial" w:cs="arial"/>
          <w:color w:val="000000"/>
          <w:sz w:val="20"/>
          <w:lang w:val="en-US" w:eastAsia="en-US" w:bidi="ar-SA"/>
        </w:rPr>
        <w:t>. Where a plaintiff's permanent injury limits him in his capacity to perform certain activities and consequently impairs his income earning capacity, he is entitled to compensation. What is being compensated is not lost projected future earnings but the loss or impairment of earning capacity as a capital asset. In some cases, projections from past earnings may be a useful factor to consider in valuing the loss but past earnings are not the only factor to consider.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Because damage awards are made as lump sums, an award for loss of future earning capacity must deal to some extent with the unknowable. The standard of proof to be applied when evaluating hypothetical events that may affect an award is simple probability, not the balance of probabilities: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Possibilities and probabilities, chances, opportunities, and risks must all be considered, so long as they are a real and substantial possibility and not mere speculation. These possibilities are to be given weight according to the percentage chance they would have happened or will happen.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trial judge's task is to assess the loss on a judgmental basis, taking into consideration all the relevant factors arising from the evidence: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457" w:history="1">
        <w:r>
          <w:rPr>
            <w:rFonts w:ascii="arial" w:eastAsia="arial" w:hAnsi="arial" w:cs="arial"/>
            <w:i/>
            <w:color w:val="0077CC"/>
            <w:sz w:val="20"/>
            <w:u w:val="single"/>
            <w:shd w:val="clear" w:color="auto" w:fill="FFFFFF"/>
            <w:lang w:val="en-US" w:eastAsia="en-US" w:bidi="ar-SA"/>
          </w:rPr>
          <w:t>[1994] B.C.J. No. 2128</w:t>
        </w:r>
      </w:hyperlink>
      <w:r>
        <w:rPr>
          <w:rFonts w:ascii="arial" w:eastAsia="arial" w:hAnsi="arial" w:cs="arial"/>
          <w:color w:val="000000"/>
          <w:sz w:val="20"/>
          <w:lang w:val="en-US" w:eastAsia="en-US" w:bidi="ar-SA"/>
        </w:rPr>
        <w:t xml:space="preserve"> (September 20, 1994), Doc. Vancouver B905414 (B.C.S.C.) at para. 121, </w:t>
      </w:r>
      <w:r>
        <w:rPr>
          <w:rFonts w:ascii="arial" w:eastAsia="arial" w:hAnsi="arial" w:cs="arial"/>
          <w:i/>
          <w:color w:val="000000"/>
          <w:sz w:val="20"/>
          <w:lang w:val="en-US" w:eastAsia="en-US" w:bidi="ar-SA"/>
        </w:rPr>
        <w:t>Mazzuca v. Alexakis</w:t>
      </w:r>
      <w:r>
        <w:rPr>
          <w:rFonts w:ascii="arial" w:eastAsia="arial" w:hAnsi="arial" w:cs="arial"/>
          <w:color w:val="000000"/>
          <w:sz w:val="20"/>
          <w:lang w:val="en-US" w:eastAsia="en-US" w:bidi="ar-SA"/>
        </w:rPr>
        <w:t xml:space="preserve"> </w:t>
      </w:r>
      <w:hyperlink r:id="rId458" w:history="1">
        <w:r>
          <w:rPr>
            <w:rFonts w:ascii="arial" w:eastAsia="arial" w:hAnsi="arial" w:cs="arial"/>
            <w:i/>
            <w:color w:val="0077CC"/>
            <w:sz w:val="20"/>
            <w:u w:val="single"/>
            <w:shd w:val="clear" w:color="auto" w:fill="FFFFFF"/>
            <w:lang w:val="en-US" w:eastAsia="en-US" w:bidi="ar-SA"/>
          </w:rPr>
          <w:t>[1997] B.C.J. No. 2178</w:t>
        </w:r>
      </w:hyperlink>
      <w:r>
        <w:rPr>
          <w:rFonts w:ascii="arial" w:eastAsia="arial" w:hAnsi="arial" w:cs="arial"/>
          <w:color w:val="000000"/>
          <w:sz w:val="20"/>
          <w:lang w:val="en-US" w:eastAsia="en-US" w:bidi="ar-SA"/>
        </w:rPr>
        <w:t xml:space="preserve"> (September 24, 1997), Doc. Vancouver CA019456 (B.C.C.A.). Guidance as to what factors may be relevant can be found in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para. 31;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per Finch J. They include:</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from earning income from all types of employment;</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him, had he not been injured; and</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himself as a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The task of the court is to assess damages, not to calculate them according to some mathematical formula: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Once impairment of a plaintiff's earning capacity as a capital asset has been established, that impairment must be valued. The valuation may involve a comparison of the likely future of the plaintiff if the accident had not happened with the plaintiff's likely future after the accident has happened. As a starting point, a trial judge may determine the present value of the difference between the amounts earned under those two scenarios. But if this is done, it is not to be the end of the inquiry: </w:t>
      </w:r>
      <w:r>
        <w:rPr>
          <w:rFonts w:ascii="arial" w:eastAsia="arial" w:hAnsi="arial" w:cs="arial"/>
          <w:i/>
          <w:color w:val="000000"/>
          <w:sz w:val="20"/>
          <w:lang w:val="en-US" w:eastAsia="en-US" w:bidi="ar-SA"/>
        </w:rPr>
        <w:t>Ryder (Guardian ad litem of) v. Jubbal</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(March 6, 1995), Doc. CA018742, CA018743 (B.C. C.A.); </w:t>
      </w:r>
      <w:r>
        <w:rPr>
          <w:rFonts w:ascii="arial" w:eastAsia="arial" w:hAnsi="arial" w:cs="arial"/>
          <w:i/>
          <w:color w:val="000000"/>
          <w:sz w:val="20"/>
          <w:lang w:val="en-US" w:eastAsia="en-US" w:bidi="ar-SA"/>
        </w:rPr>
        <w:t>Parypa v. Wickware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The overall fairness and reasonableness of the award must be considered taking into account all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plaintiff's expert, PETA Consultants Ltd., sets out a potential future loss of $421,417, including lost pension benefits. The plaintiff submits that an award of $300,000 is a fair assessment of the loss based on the reports and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 argues that the plaintiff has not proven a loss of earning capacity as a result of the accident. He is capable of working as a custodian, and should have been doing so a long time ago. The opinion suggesting that he is somehow worse than he was prior to the alleged accident is based primarily on the plaintiff's testimony, which the defendant alleges is unreliable.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a balance of probabilities, I find that the plaintiff has proven some modest loss of earning capacity as a result of the accident. He is, indeed, more likely than not disadvantaged in that his lower back can no longer stand heavier or more awkward tasks, and he is precluded from working in a job that requires it. However, given the qualities that have been mentioned, and the very broad number of fields of employment for which he is probably capable and would be attractive as an employee to potential employers, I take the view that he has not lost a lot of ground of opportunity due to the accident. I did not have the impression that he has lost the ability to take advantage of job opportunities generally or that he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If the accident did not happen, I have mentioned the contingency that he could have faced the same difficulties prematurely due to other pre-existing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Now at age 50 with a grade 12 education, he speaks of upgrading his education in order to become an elementary school teacher, but that would require four years of post-secondary education. He has also expressed an interest in becoming a human resources officer of some kind, which would require two years of post-secondary education. I am inclined to fear, based on his history, that these are not realistic goals. At the same time, I do not consider that they are beyond his ability. I find that despite his claim of being virtually immobile, he is able, or would be with some reasonable undertaking of rehabilitation to work at a given labour or clerical job that does not place onerous demands on his back. Both Dr. Watt and Dr. Leith were of the opinion that with rehabilitation the plaintiff's back will improve and stabilize, although there may be on-going flare-ups. I conclude from the evidence that it is not probably that the plaintiff's condition will stabilize in the near future, although I do find it probable that his condition will stabilize further and increase the chances he now has for a return to full-time work. Taking all this into account, I would award him for loss of future earning capacity the sum of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the course of oral argument, counsel agreed to determine the amount of special damages. I find that the plaintiff is entitled to special damages from the date of the accident until October 2007, when Dr. Watt stated he could return to full-time employment. Counsel advise that they believe they can calculate together an appropriate amount. If there remains a dispute, counsel have leave to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FUTURE COST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seeks a lump sum of $30,000 under this head of damages. He seeks his ongoing medication expenses, regular chiropractic care and retraining costs for future alternative employment. I do not accept any of these, as the need and the likelihood of the plaintiff applying himself are not evident enough. I award $10,000 to cover medicare and other aids.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ICBC is liable for the plaintiff's injuries, pursuant to s. 24 of the </w:t>
      </w:r>
      <w:r>
        <w:rPr>
          <w:rFonts w:ascii="arial" w:eastAsia="arial" w:hAnsi="arial" w:cs="arial"/>
          <w:b/>
          <w:i/>
          <w:color w:val="000000"/>
          <w:sz w:val="20"/>
          <w:lang w:val="en-US" w:eastAsia="en-US" w:bidi="ar-SA"/>
        </w:rPr>
        <w:t>Insurance (Vehicle)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plaintiff is entitled to the following:</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$52,000.00;</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$47,486.00'</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$50,000.00;</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cost of care: $10,000.00;</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Special damages are to be determined in accordance with these reasons. If necessary, either party may seek directions. Subject to submissions, the plaintiff shall have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 RICE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76" style="position:absolute;z-index:2518681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460"/>
          <w:headerReference w:type="default" r:id="rId461"/>
          <w:footerReference w:type="even" r:id="rId462"/>
          <w:footerReference w:type="default" r:id="rId463"/>
          <w:headerReference w:type="first" r:id="rId464"/>
          <w:footerReference w:type="first" r:id="rId46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466" w:history="1">
        <w:r>
          <w:rPr>
            <w:rFonts w:ascii="arial" w:eastAsia="arial" w:hAnsi="arial" w:cs="arial"/>
            <w:b/>
            <w:bCs/>
            <w:i/>
            <w:color w:val="0077CC"/>
            <w:kern w:val="32"/>
            <w:sz w:val="28"/>
            <w:szCs w:val="32"/>
            <w:u w:val="single"/>
            <w:shd w:val="clear" w:color="auto" w:fill="FFFFFF"/>
            <w:lang w:val="en-US" w:eastAsia="en-US" w:bidi="ar-SA"/>
          </w:rPr>
          <w:t>Harris v. Teo, [2019] B.C.J. No. 1821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 Jackson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25-29, April 1-3,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26,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M165878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[2019] B.C.J. No. 1821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467" w:history="1">
        <w:r>
          <w:rPr>
            <w:rFonts w:ascii="arial" w:eastAsia="arial" w:hAnsi="arial" w:cs="arial"/>
            <w:i/>
            <w:color w:val="0077CC"/>
            <w:sz w:val="20"/>
            <w:u w:val="single"/>
            <w:shd w:val="clear" w:color="auto" w:fill="FFFFFF"/>
            <w:lang w:val="en-US" w:eastAsia="en-US" w:bidi="ar-SA"/>
          </w:rPr>
          <w:t>2019 BCSC 1631</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Colin Lee Harris, Plaintiff, and Marcus Kion-Leong Teo,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77" style="position:absolute;z-index:251668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64" w:name="Keywords_9"/>
      <w:bookmarkEnd w:id="64"/>
      <w:r>
        <w:rPr>
          <w:rFonts w:ascii="arial" w:eastAsia="arial" w:hAnsi="arial" w:cs="arial"/>
          <w:b/>
          <w:color w:val="000000"/>
          <w:sz w:val="20"/>
          <w:lang w:val="en-US" w:eastAsia="en-US" w:bidi="ar-SA"/>
        </w:rPr>
        <w:t>Damages — Physical and psychological injuries — Physical injuries — Body injuries — Chest — Neck — Soft tissue — Head injuries — Headaches — Fibromyalgia or chronic pain — Considerations impacting on award — Age of claimant — Action by 59-year-old plaintiff for damages for personal injuries suffered in motor vehicle accident in 2014 allowed in part — Liability was admitted — Plaintiff suffered chest and knee pain, soft tissue injuries to neck and shoulder, headaches, and aggravation of pre-existing degenerative spondylosis — Plaintiff missed 13 days off work as administrative assistant and one month of computer cleaning work — Plaintiff was awarded $110,000 in non-pecuniary damages, $3,500 for past loss of earning capacity, $35,000 for costs of future care, and $2,114 in special damages — Beyond time off work, plaintiff's earning capacity had not been impaired.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Cost of future care — Loss of earning capacity — Special damages — Past loss of income — Expenses and expenditures — Non-pecuniary loss — Pain and suffering — Action by 59-year-old plaintiff for damages for personal injuries suffered in motor vehicle accident in 2014 allowed in part — Liability was admitted — Plaintiff suffered chest and knee pain, soft tissue injuries to neck and shoulder, headaches, and aggravation of pre-existing degenerative spondylosis — Plaintiff missed 13 days off work as administrative assistant and one month of computer cleaning work — Plaintiff was awarded $110,000 in non-pecuniary damages, $3,500 for past loss of earning capacity, $35,000 for costs of future care, and $2,114 in special damages — Beyond time off work, plaintiff's earning capacity had not been impaired.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65" w:name="Case Summary_9"/>
            <w:bookmarkEnd w:id="65"/>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59-year-old plaintiff for damages for personal injuries suffered in a motor vehicle accident in 2014. Liability for the collision, in which the defendant turned left in front of the plaintiff, was admitted. The plaintiff's airbag deployed in the accident. He suffered chest and knee pain and soft tissue injuries to his neck and shoulders. The accident also aggravated pre-existing asymptomatic degenerative spondylosis. He received physiotherapy and massage therapy for his injuries. At trial, the plaintiff continued to experience neck and upper back pain and occasional headaches. The plaintiff missed 13 days of work as an administrative assistant and one month of working for his computer cleaning business. He claimed he had not expanded his computer cleaning business because of his injuries. He had not made any steps to grow his business before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66" w:name="Holdings of Court_8"/>
            <w:bookmarkEnd w:id="66"/>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accident did not cause any increase in the plaintiff's anxiety. The plaintiff's advanced age was a factor that weighed heavily in consideration of the appropriate award for non-pecuniary damages. The plaintiff's non-pecuniary damages were fixed at $110,000. The defendant had not established the plaintiff's failure to continuously engage in physiotherapy or massage therapy would have resulted in a decrease in the plaintiff's injuries or symptoms. The plaintiff had not failed to mitigate. The plaintiff's past income loss for time off work was assessed at $3,500. Beyond the time off work, the plaintiff's earning capacity had not been impaired by his injuries. The plaintiff's injuries had not rendered him less capable of earning income from employment. It was not a real and substantial possibility that the plaintiff would have been able to expand his business but for the accident. There was a real and substantial risk of future pecuniary loss related to massage therapy and physiotherapy. The plaintiff's costs of future care were fixed at $35,000. Special damages were fixed at $2,114, as agreed.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67" w:name="Legislation Cited_5"/>
      <w:bookmarkEnd w:id="6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78" style="position:absolute;z-index:2517196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Supreme Court Civil 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68" w:name="Counsel_9"/>
      <w:bookmarkEnd w:id="6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79" style="position:absolute;z-index:2517708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 Tsoi, V. Cheung.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H.J. Harlow, M. Chan.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69" w:name="Judgment_9"/>
      <w:bookmarkEnd w:id="69"/>
      <w:r>
        <w:pict>
          <v:line id="_x0000_s1080" style="position:absolute;z-index:25182208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POST-ACCIDENT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Plaintiff's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EMPLOYMENT AND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Pre-Accident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Position of the Plaintiff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Position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Non-pecuniary damages</w:t>
      </w:r>
    </w:p>
    <w:p>
      <w:pPr>
        <w:numPr>
          <w:numId w:val="4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Plaintiff</w:t>
      </w:r>
    </w:p>
    <w:p>
      <w:pPr>
        <w:numPr>
          <w:numId w:val="4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Defendant</w:t>
      </w:r>
    </w:p>
    <w:p>
      <w:pPr>
        <w:numPr>
          <w:numId w:val="4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 on Non-Pecuniary Damages</w:t>
      </w:r>
    </w:p>
    <w:p>
      <w:pPr>
        <w:numPr>
          <w:numId w:val="4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The Plaintiff Fail To Mitigate His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Past and Future Loss of Income Earning Capacity</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1. Has the Plaintiff's earning capacity been impaired by his injuries?</w:t>
      </w:r>
      <w:r>
        <w:rPr>
          <w:rFonts w:ascii="arial" w:eastAsia="arial" w:hAnsi="arial" w:cs="arial"/>
          <w:sz w:val="20"/>
          <w:lang w:val="en-US" w:eastAsia="en-US" w:bidi="ar-SA"/>
        </w:rPr>
        <w:cr/>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Plaintiff</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Defendant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Cost of Future Care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Plaintiff</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Position of the Defendant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Analysis and Conclusion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0" w:name="JACKSON J."/>
            <w:bookmarkEnd w:id="70"/>
            <w:r>
              <w:rPr>
                <w:rFonts w:ascii="arial" w:eastAsia="arial" w:hAnsi="arial" w:cs="arial"/>
                <w:b/>
                <w:color w:val="000000"/>
                <w:sz w:val="30"/>
                <w:lang w:val="en-US" w:eastAsia="en-US" w:bidi="ar-SA"/>
              </w:rPr>
              <w:t>JACKSON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August 6, 2014, Colin Lee Harris (the "Plaintiff") was driving his vehicle northbound on the Lougheed Highway in Coquitlam, British Columbia, when the vehicle driven by the defendant Marcus Kion-Leong Teo (the "Defendant") turned left in front of him causing a collision, which in turn caused the Plaintiff's vehicle to spin around and strike a traffic light pole in the intersection (the "Accident"). The consequent damage resulted in both vehicles being deemed a total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Liability for the Accident was admitted by the Defendant. The only issues for determination are causation and the nature and quantum of the damages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was 54 years old at the time of the Accident and 59 years old at the time of trial. The Plaintiff met his wife, Cindy Harris, at their place of worship and they have been married for 37 years. They have no children. Other than some odd jobs in the mid-1980s, Mrs. Harris has not worked since 1983 when pain issues caused her to stop working as a hairdresser. Both the Plaintiff and Mrs. Harris testified at the trial. According to both, other than suffering from Grave's disease, a hyperthyroidism condition that causes increased anxiety, the Plaintiff had no other adverse health issues and no physical limitations prior to the Accident. The Plaintiff did not need, and did not have, a regular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Prior to the Accident, the Plaintiff and his wife enjoyed canoeing, went on kayaking trips, and enjoyed walking together frequently.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POST-ACCIDENT CONDITION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Accident occurred as the Plaintiff was driving home from work on a Wednesday evening. After the initial impact, the Plaintiff's car spun around and hit a traffic light pole. The Accident caused the Plaintiff's airbag to deploy. Immediately following the collision, the Plaintiff experienced pain in his chest, neck, a headache and less prominently, pain in his right knee. After the ambulance attended the scene, he was placed on a stretcher and given a neck brace. The Plaintiff was taken by the ambulance to the Royal Columbia Hospital where medical staff performed x-rays and a CT scan of his neck. He was given pain killers and a different type of neck brace was applied.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day, the Plaintiff felt stiff and in pain. He spent most of the day in bed, and did very little other than contacting ICBC to report the Accident. He required Mrs. Harris' assistance to get up and down as needed.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knee pain was short-lived and over the next several months, his chest pain began to diminish and fully resolved within five months. However, the Plaintiff continued to experience pain on the right side of his neck, which began to radiate into his upper back and right shoulder areas, and wrapped around to the top of his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Mrs. Harris observed that after the Accident, the Plaintiff had difficulty moving and spent extended time in bed. She assisted him by applying Voltaren pain relief salve to his right shoulder and upper back. When she applied the ointment, she noticed that his muscles were tense and stiff, not like usual soft muscle 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trial the Plaintiff testified that his pain has lessened, but that he continues to suffer some pain to the right side of his neck and upper back, and occasionally lower back pain when he engages in activities like mowing the lawn, gardening and household chores such as vacuuming. When the pain occurs, it is significant but not debilitating. The Plaintiff also continues to have occasional headaches and tires easily. He is no longer able to kayak or canoe and has reduced his walking.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Expert 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Plaintiff's evidence was supported by the evidence of two physicians: Dr. Monica Rusu, and Dr. Brian Day. Dr. Rusu is the Plaintiff's family physician and was qualified as an expert in family medicine at the trial. She prepared reports dated December 11, 2015 and January 25, 2017. Dr. Day was qualified as an expert in the area of orthopedic surgery with expertise in the shoulder and the spine in relationship to the shoulder, as well as soft tissue injuries. Dr. Day prepared two reports, dated August 19, 2016 and August 15, 2017.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noted earlier, the Plaintiff did not have a regular family doctor before the Accident. However, a couple of days after the Accident, he attended at a walk-in clinic and was advised to find a family physician. The Plaintiff contacted Dr. Rusu, a doctor of family medicine, and secured the first available appointment which was one week after the Accident. Dr. Rusu diagnosed the Plaintiff with musculoskeletal pain, more obvious at the chest and neck areas, including the Plaintiff's trapezius muscles which are located on top of the shoulders. Dr. Rusu recommended an overall management plan of pain relief medication, ice or heat, rest and some slight physiotherapy, in the form of self-directed neck and shoulder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the weeks following the Accident, Dr. Rusu observed the Plaintiff's neck and related shoulder pain improved mildly, but did not resolve. Dr. Rusu recommended the Plaintiff continue to use pain medication, both topical cream and taken orally, as well as muscle relaxants. Dr. Rusu also recommended the Plaintiff begin physiotherapy and massage therapy, as well as continue to 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By the end of October 2014, the Plaintiff's neck, shoulder and upper back pain had undergone moderate to significant improvement but had not resolved. After several more months, the Plaintiff's neck, shoulder and upper back pain had diminished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April of 2015, in consultation with Dr. Rusu, the Plaintiff stopped attending in-office physiotherapy treatments on a trial basis, as he did not feel he was gaining any further benefit from that treatment. However, Dr. Rusu recommended the Plaintiff begin swimming three to four times a week as part of his rehabilitative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After the Plaintiff terminated his physiotherapy, between April and June of 2015, the Plaintiff's condition deteriorated. As a result, Dr. Rusu recommended the Plaintiff use anti-inflammatory medication, take muscle relaxants and recommence in-office physiotherapy and massage therapy. The Plaintiff followed those recommendations. Once the physiotherapy was reinitiated, his neck pain improved by 80% and his headaches were less frequent. Dr. Rusu's recommended course of treatment continued to include physiotherapy, massage therapy and pain medication as needed. Between August 2014 and January 2017, the Plaintiff attended a total of 97 physiotherapy and massage therapy sessions. When the Plaintiff decreases his stretching exercises or his walking, his pain tends to be more intense and persistent.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last visit with Dr. Rusu related to the Accident was on January 3, 2017. At that point, which was almost two and a half years after the Accident, she was of the opinion that the Plaintiff suffered from a chronic mechanical and soft tissue neck pain and a possible (which she testified meant a likelihood of 51% or more) cervical musculoligamentous injury and headaches. Dr. Rusu also opined that the Plaintiff suffered from tendinopathy and bursitis of the right shoulder, as well as a thoracic musculofascial sprain / strain.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her report, Dr. Rusu indicated that due to the nature of the Plaintiff's desk work, he was at some risk for neck pain if he did not take breaks. However, in her evidence at trial, she clarified that everyone who works at a desk on a computer is at risk of developing neck pain and that the statement in her report did not indicate the Plaintiff's risk was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Day also diagnosed the Plaintiff with soft tissue injuries to his neck, right shoulder and shoulder girdle. In Dr. Day's opinion, the Plaintiff's neck pain has become ongoing and consistent and does not appear to be improving, although his shoulder symptoms appeared to be somewhat improved. Dr. Day is also of the opinion the Plaintiff's pre-existing degenerative spondylosis has been aggravated. Although Dr. Day testified most people over 50 years old will have some such degeneration of their spine, prior to the Accident, the Plaintiff's spondylosis had been asymptomatic and did not cause him any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EMPLOYMENT AND INCOME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Pre-Accident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has a grade 10 education. In the early 80's, he owned and operated a cleaning business. From December 1984 until July 1995, he did graphic design work for a friend who did trim-lining of motor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Beginning in 1995, the Plaintiff and his wife performed volunteer work for their religious society. While this work was unpaid, their living expenses were covered. In 2011, the couple was transferred to the lower mainland to continue their volunteer work. However, by April of 2012, the couple was unable to continue their volunteer work because of Mrs. Harris's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need to find another way to support themselves became quite urgent. The Plaintiff began looking into income earning opportunities that would allow him to work at home, which was his preference given his wife's health concerns. He looked into doing medical transcription, but thought that type of work would not allow him to grow his income quickly enough. The Plaintiff had a friend that worked for Factors Group of Natural Companies Inc. ("Factors Group"), a manufacturer of vitamins and supplements based in Coquitlam. Factors Group operates out of approximately seven buildings, and also has a manufacturing location in Washington and farms in various locations including Kelowna and Australia.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May 7, 2012, the Plaintiff began working for Factors Group as an administrative assistant in the Security and Facilities Department. His role included taking orders, keeping track of security cards, managing and tracking the cell phones issued by the company and obtaining quotes and pricing for various corporate projects. The Plaintiff worked five days a week, from 7:30 a.m. to 4:30 p.m., and did not work overtime. His work as an administrative assistant was not physically demanding and largely involved sedentary computer-based work. The Plaintiff's supervisor, Robert Priestly, Director of Facilities and Security at Factors Group, testified that the Plaintiff's performance evaluations were excellent.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late 2012, in lieu of a raise, the Plaintiff elected to reduce his work schedule to four days per week in order to spend more time with his wife. During their many years of volunteer work they had spent much of their time together and Mrs. Harris had been finding the transition to spending so much time alone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Plaintiff eventually realized his work as an administrative assistant would not allow him to meet his dual goals of spending as much time as he could with his wife and being able to earn enough money to prepare for the couple's retirement. The Plaintiff conceived of doing computer cleaning, which was something he and his wife had become aware of in the mid-90's when they attended a demonstration in Alberta.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hoped to eventually transition out of office work and still meet his financial goals, as fewer hours cleaning were needed to earn a level of income that would match or surpass what he earned as an administrative assistant. He was earning $27 per hour as an administrative assistant, but testified that by 2015, he felt as though he could earn $180 per hour from computer cleaning. The Plaintiff hoped that computer cleaning would allow him to spend more time at home with his wife.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2012, Factors Group had approximately 300 to 350 computers. In December 2012, the Plaintiff raised the possibility of computer cleaning with his supervisor, Mr. Priestly, and received a favourable reaction. Throughout 2013, the Plaintiff continued to work four days a week as an administrative assistant and continued to pursue the idea of doing computer cleaning at Factors Group. In April 2013 and in November 2013, the Plaintiff gave a computer cleaning demonstration and was given permission to proceed as a trial run. This involved cleaning 40-45 workstations on one floor of the Factors Group building in Coquitlam. The trial run was followed by a recommendation to proceed in 2014 with the computer cleaning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January of 2014, the Plaintiff elected to further reduce his work as an administrative assistant to three days a week, for a total of 24 hours. The Plaintiff's new computer cleaning business began in earnest in February 2014, under the name of Foresee Computer Cleaning ("Foresee"), which he operated as a partnership with his wife. Factors Group has at all times been Foresee's only client. Initially there was no written agreement, but in June 2018, a contract was signed which contemplated cleaning all of Factor Group's computer stations on the same terms as had informally been in place, namely cleaning all the computers workstations no less than twice a year and no more than quarterly at agreed upon piecework rates.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Plaintiff's computer cleaning work involves reaching over items, repetitive arm motions and occasionally crawling under desks. Foresee's business model involves a base fee for the external cleaning of a PC or laptop computer station, with additional charges for desk phones, additional keyboards, monitors and other equipment. The Plaintiff's computer cleaning work typically took place for three hours on Wednesday evenings after his administrative assistant shift, usually from about 5:00 p.m. until about 8:00 p.m.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Post-Accident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Defendant concedes the Plaintiff missed 13 days of his work as an administrative assistant as a result of the Accident. When he returned to Factors Group after the Accident, it was on a schedule that allowed him to take ten minutes breaks for every hour of sedentary work at his computer. He was further accommodated by being given permission to work at home when he was not feeling well. With these accommodations, the Plaintiff was able to fulfil all of his responsibilities as an administrative assistant. He was unable to do any computer cleaning work until the second week of September, which was approximately one month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When he returned to computer cleaning, his wife accompanied him on several occasions to assist with things like reaching around the back of computer monitors, which was too painful for the Plaintiff to manage.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By October 2014, the Plaintiff's physical condition had improved to the point that he was able to attain and surpass the level of computer cleaning prior to the Accident. The Plaintiff attributes the increase to a reduced learning curve. On his visit to Dr. Rusu in February 2015, the Plaintiff reported he was able to do his administrative assistant work three days a week and complete one evening of computer cleaning, as before the Accident, without worsening his symptoms. Similarly, in April 2015, he reported no difficulties in being able to complete all his work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Since the Accident, the Plaintiff has been able to complete two cycles of cleaning all the Factors Group's computer workstations per year. He now does his computer cleaning on Saturdays, rather than on Wednesday evenings, but still cleans on average three hours per week. At trial, the Plaintiff acknowledged he is now able to fulfil all of the same tasks and responsibilities at work as before the Accident, but that the computer cleaning causes him pain. On the days when he does his computer cleaning, he takes a generic form Tylenol. He initially took a 500 mg dosage, but has now reduced that to an extended release dose.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factors to be considered when assessing credibility were succinctly summarized by Justice Dillon in </w:t>
      </w:r>
      <w:r>
        <w:rPr>
          <w:rFonts w:ascii="arial" w:eastAsia="arial" w:hAnsi="arial" w:cs="arial"/>
          <w:i/>
          <w:color w:val="000000"/>
          <w:sz w:val="20"/>
          <w:lang w:val="en-US" w:eastAsia="en-US" w:bidi="ar-SA"/>
        </w:rPr>
        <w:t>Bradshaw v. Stenner</w:t>
      </w:r>
      <w:r>
        <w:rPr>
          <w:rFonts w:ascii="arial" w:eastAsia="arial" w:hAnsi="arial" w:cs="arial"/>
          <w:color w:val="000000"/>
          <w:sz w:val="20"/>
          <w:lang w:val="en-US" w:eastAsia="en-US" w:bidi="ar-SA"/>
        </w:rPr>
        <w:t xml:space="preserve">, </w:t>
      </w:r>
      <w:hyperlink r:id="rId468" w:history="1">
        <w:r>
          <w:rPr>
            <w:rFonts w:ascii="arial" w:eastAsia="arial" w:hAnsi="arial" w:cs="arial"/>
            <w:i/>
            <w:color w:val="0077CC"/>
            <w:sz w:val="20"/>
            <w:u w:val="single"/>
            <w:shd w:val="clear" w:color="auto" w:fill="FFFFFF"/>
            <w:lang w:val="en-US" w:eastAsia="en-US" w:bidi="ar-SA"/>
          </w:rPr>
          <w:t>2010 BCSC 1398</w:t>
        </w:r>
      </w:hyperlink>
      <w:r>
        <w:rPr>
          <w:rFonts w:ascii="arial" w:eastAsia="arial" w:hAnsi="arial" w:cs="arial"/>
          <w:color w:val="000000"/>
          <w:sz w:val="20"/>
          <w:lang w:val="en-US" w:eastAsia="en-US" w:bidi="ar-SA"/>
        </w:rPr>
        <w:t xml:space="preserve"> at para. 186, aff'd </w:t>
      </w:r>
      <w:hyperlink r:id="rId469" w:history="1">
        <w:r>
          <w:rPr>
            <w:rFonts w:ascii="arial" w:eastAsia="arial" w:hAnsi="arial" w:cs="arial"/>
            <w:i/>
            <w:color w:val="0077CC"/>
            <w:sz w:val="20"/>
            <w:u w:val="single"/>
            <w:shd w:val="clear" w:color="auto" w:fill="FFFFFF"/>
            <w:lang w:val="en-US" w:eastAsia="en-US" w:bidi="ar-SA"/>
          </w:rPr>
          <w:t>2012 BCCA 296</w:t>
        </w:r>
      </w:hyperlink>
      <w:r>
        <w:rPr>
          <w:rFonts w:ascii="arial" w:eastAsia="arial" w:hAnsi="arial" w:cs="arial"/>
          <w:color w:val="000000"/>
          <w:sz w:val="20"/>
          <w:lang w:val="en-US" w:eastAsia="en-US" w:bidi="ar-SA"/>
        </w:rPr>
        <w: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Credibility involves an assessment of the trustworthiness of a witness' testimony based upon the veracity or sincerity of a witness and the accuracy of the evidence that the witness provides (</w:t>
      </w:r>
      <w:r>
        <w:rPr>
          <w:rFonts w:ascii="arial" w:eastAsia="arial" w:hAnsi="arial" w:cs="arial"/>
          <w:i/>
          <w:color w:val="000000"/>
          <w:sz w:val="20"/>
          <w:lang w:val="en-US" w:eastAsia="en-US" w:bidi="ar-SA"/>
        </w:rPr>
        <w:t>Raymond v. Bosanquet (Township)</w:t>
      </w:r>
      <w:r>
        <w:rPr>
          <w:rFonts w:ascii="arial" w:eastAsia="arial" w:hAnsi="arial" w:cs="arial"/>
          <w:color w:val="000000"/>
          <w:sz w:val="20"/>
          <w:lang w:val="en-US" w:eastAsia="en-US" w:bidi="ar-SA"/>
        </w:rPr>
        <w:t xml:space="preserve"> </w:t>
      </w:r>
      <w:hyperlink r:id="rId470" w:history="1">
        <w:r>
          <w:rPr>
            <w:rFonts w:ascii="arial" w:eastAsia="arial" w:hAnsi="arial" w:cs="arial"/>
            <w:i/>
            <w:color w:val="0077CC"/>
            <w:sz w:val="20"/>
            <w:u w:val="single"/>
            <w:shd w:val="clear" w:color="auto" w:fill="FFFFFF"/>
            <w:lang w:val="en-US" w:eastAsia="en-US" w:bidi="ar-SA"/>
          </w:rPr>
          <w:t>(1919), 59 S.C.R. 452</w:t>
        </w:r>
      </w:hyperlink>
      <w:r>
        <w:rPr>
          <w:rFonts w:ascii="arial" w:eastAsia="arial" w:hAnsi="arial" w:cs="arial"/>
          <w:color w:val="000000"/>
          <w:sz w:val="20"/>
          <w:lang w:val="en-US" w:eastAsia="en-US" w:bidi="ar-SA"/>
        </w:rPr>
        <w:t xml:space="preserve">, </w:t>
      </w:r>
      <w:hyperlink r:id="rId471" w:history="1">
        <w:r>
          <w:rPr>
            <w:rFonts w:ascii="arial" w:eastAsia="arial" w:hAnsi="arial" w:cs="arial"/>
            <w:i/>
            <w:color w:val="0077CC"/>
            <w:sz w:val="20"/>
            <w:u w:val="single"/>
            <w:shd w:val="clear" w:color="auto" w:fill="FFFFFF"/>
            <w:lang w:val="en-US" w:eastAsia="en-US" w:bidi="ar-SA"/>
          </w:rPr>
          <w:t>50 D.L.R. 560</w:t>
        </w:r>
      </w:hyperlink>
      <w:r>
        <w:rPr>
          <w:rFonts w:ascii="arial" w:eastAsia="arial" w:hAnsi="arial" w:cs="arial"/>
          <w:color w:val="000000"/>
          <w:sz w:val="20"/>
          <w:lang w:val="en-US" w:eastAsia="en-US" w:bidi="ar-SA"/>
        </w:rPr>
        <w:t xml:space="preserve"> (S.C.C.)). The art of assessment involves examination of various factors such as the ability and opportunity to observe events, the firmness of his memory, the ability to resist the influence of interest to modify his recollection, whether the witness' evidence harmonizes with independent evidence that has been accepted, whether the witness changes his testimony during direct and cross-examination, whether the witness' testimony seems unreasonable, impossible, or unlikely, whether a witness has a motive to lie, and the demeanour of a witness generally (</w:t>
      </w:r>
      <w:r>
        <w:rPr>
          <w:rFonts w:ascii="arial" w:eastAsia="arial" w:hAnsi="arial" w:cs="arial"/>
          <w:i/>
          <w:color w:val="000000"/>
          <w:sz w:val="20"/>
          <w:lang w:val="en-US" w:eastAsia="en-US" w:bidi="ar-SA"/>
        </w:rPr>
        <w:t>Wallace v. Davis</w:t>
      </w:r>
      <w:r>
        <w:rPr>
          <w:rFonts w:ascii="arial" w:eastAsia="arial" w:hAnsi="arial" w:cs="arial"/>
          <w:color w:val="000000"/>
          <w:sz w:val="20"/>
          <w:lang w:val="en-US" w:eastAsia="en-US" w:bidi="ar-SA"/>
        </w:rPr>
        <w:t xml:space="preserve">, </w:t>
      </w:r>
      <w:hyperlink r:id="rId472" w:history="1">
        <w:r>
          <w:rPr>
            <w:rFonts w:ascii="arial" w:eastAsia="arial" w:hAnsi="arial" w:cs="arial"/>
            <w:i/>
            <w:color w:val="0077CC"/>
            <w:sz w:val="20"/>
            <w:u w:val="single"/>
            <w:shd w:val="clear" w:color="auto" w:fill="FFFFFF"/>
            <w:lang w:val="en-US" w:eastAsia="en-US" w:bidi="ar-SA"/>
          </w:rPr>
          <w:t>[1926] 31 O.W.N. 202</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Faryna v. Chorny</w:t>
      </w:r>
      <w:r>
        <w:rPr>
          <w:rFonts w:ascii="arial" w:eastAsia="arial" w:hAnsi="arial" w:cs="arial"/>
          <w:color w:val="000000"/>
          <w:sz w:val="20"/>
          <w:lang w:val="en-US" w:eastAsia="en-US" w:bidi="ar-SA"/>
        </w:rPr>
        <w:t>, [1952] 2 D.L.R. 152 (B.C.C.A.)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S.(R.D.)</w:t>
      </w:r>
      <w:r>
        <w:rPr>
          <w:rFonts w:ascii="arial" w:eastAsia="arial" w:hAnsi="arial" w:cs="arial"/>
          <w:color w:val="000000"/>
          <w:sz w:val="20"/>
          <w:lang w:val="en-US" w:eastAsia="en-US" w:bidi="ar-SA"/>
        </w:rPr>
        <w:t xml:space="preserve">, </w:t>
      </w:r>
      <w:hyperlink r:id="rId473" w:history="1">
        <w:r>
          <w:rPr>
            <w:rFonts w:ascii="arial" w:eastAsia="arial" w:hAnsi="arial" w:cs="arial"/>
            <w:i/>
            <w:color w:val="0077CC"/>
            <w:sz w:val="20"/>
            <w:u w:val="single"/>
            <w:shd w:val="clear" w:color="auto" w:fill="FFFFFF"/>
            <w:lang w:val="en-US" w:eastAsia="en-US" w:bidi="ar-SA"/>
          </w:rPr>
          <w:t>[1997] 3 S.C.R. 484</w:t>
        </w:r>
      </w:hyperlink>
      <w:r>
        <w:rPr>
          <w:rFonts w:ascii="arial" w:eastAsia="arial" w:hAnsi="arial" w:cs="arial"/>
          <w:color w:val="000000"/>
          <w:sz w:val="20"/>
          <w:lang w:val="en-US" w:eastAsia="en-US" w:bidi="ar-SA"/>
        </w:rPr>
        <w:t xml:space="preserve"> at para.128 (S.C.C.)). Ultimately, the validity of the evidence depends on whether the evidence is consistent with the probabilities affecting the case as a whole and shown to be in existence at the time (</w:t>
      </w:r>
      <w:r>
        <w:rPr>
          <w:rFonts w:ascii="arial" w:eastAsia="arial" w:hAnsi="arial" w:cs="arial"/>
          <w:i/>
          <w:color w:val="000000"/>
          <w:sz w:val="20"/>
          <w:lang w:val="en-US" w:eastAsia="en-US" w:bidi="ar-SA"/>
        </w:rPr>
        <w:t>Faryna</w:t>
      </w:r>
      <w:r>
        <w:rPr>
          <w:rFonts w:ascii="arial" w:eastAsia="arial" w:hAnsi="arial" w:cs="arial"/>
          <w:color w:val="000000"/>
          <w:sz w:val="20"/>
          <w:lang w:val="en-US" w:eastAsia="en-US" w:bidi="ar-SA"/>
        </w:rPr>
        <w:t xml:space="preserve"> at para. 356).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Plaintiff's evidence was inconsistent on certain points. For example, while the Plaintiff testified that he used the time made available by reducing his work hours to plan for the future, in cross-examination, he reluctantly admitted that he had not said anything about needing time to plan for the future when asked at his examination for discovery why he had reduced his administrative assistant work. The Plaintiff's evidence at trial regarding the number of hours he worked each week cleaning computers prior to the Accident was higher than his evidence at discovery, where he had conceded the number of hours had been as low as three. The Plaintiff did not keep records of the number of hours he worked doing computer cleaning prior to the Accident, and his invoices to Factors Group were all based on the piecework for the computer station cleaning, and did not identify the number of hours worked.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Further, the Plaintiff's written contract with Factors Group, which was executed in April 2018, contemplated the potential of quarterly cleanings, despite the fact that at that point in time, the Plaintiff had yet to achieve that milestone. Although during cross-examination, the Plaintiff's evidence was that he had agreed to that term (and in fact had been the one to initiate its inclusion) because he was anticipating that in the future he might hire assistants and wanted to have that option, in the year that followed he had taken no steps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Plaintiff's evidence was that there were also computer stations in Factors Group Kelowna location and would also have been available to him for cleaning, but Mr. Priestly's evidence did not support the Plaintiff's evidence on that point. Mr. Priestly's evidence was that it would not have been cost-effective for Factors Group to retain the Plaintiff to clean its 25 to 30 computer workstations in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Overall, while the Plaintiff gave his evidence about his physical condition in a straightforward and reliable manner, I find he was reluctant to make admissions that did not favour his position that he could have expanded his computer cleaning business. In my view, his evidence on that subject is less reliable.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A plaintiff is entitled to be placed in the position he or she would have been in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w:t>
      </w:r>
      <w:r>
        <w:rPr>
          <w:rFonts w:ascii="arial" w:eastAsia="arial" w:hAnsi="arial" w:cs="arial"/>
          <w:i/>
          <w:color w:val="000000"/>
          <w:sz w:val="20"/>
          <w:lang w:val="en-US" w:eastAsia="en-US" w:bidi="ar-SA"/>
        </w:rPr>
        <w:t>Blackwater v. Plint</w:t>
      </w:r>
      <w:r>
        <w:rPr>
          <w:rFonts w:ascii="arial" w:eastAsia="arial" w:hAnsi="arial" w:cs="arial"/>
          <w:color w:val="000000"/>
          <w:sz w:val="20"/>
          <w:lang w:val="en-US" w:eastAsia="en-US" w:bidi="ar-SA"/>
        </w:rPr>
        <w:t xml:space="preserve">, </w:t>
      </w:r>
      <w:hyperlink r:id="rId474" w:history="1">
        <w:r>
          <w:rPr>
            <w:rFonts w:ascii="arial" w:eastAsia="arial" w:hAnsi="arial" w:cs="arial"/>
            <w:i/>
            <w:color w:val="0077CC"/>
            <w:sz w:val="20"/>
            <w:u w:val="single"/>
            <w:shd w:val="clear" w:color="auto" w:fill="FFFFFF"/>
            <w:lang w:val="en-US" w:eastAsia="en-US" w:bidi="ar-SA"/>
          </w:rPr>
          <w:t>2005 SCC 58</w:t>
        </w:r>
      </w:hyperlink>
      <w:r>
        <w:rPr>
          <w:rFonts w:ascii="arial" w:eastAsia="arial" w:hAnsi="arial" w:cs="arial"/>
          <w:color w:val="000000"/>
          <w:sz w:val="20"/>
          <w:lang w:val="en-US" w:eastAsia="en-US" w:bidi="ar-SA"/>
        </w:rPr>
        <w:t xml:space="preserve"> at para. 78. In this case, the Plaintiff must prove on a balance of probabilities that the Defendant's negligent act or omission was a cause of the injury and loss, but need not prove it was the sole cause: </w:t>
      </w:r>
      <w:r>
        <w:rPr>
          <w:rFonts w:ascii="arial" w:eastAsia="arial" w:hAnsi="arial" w:cs="arial"/>
          <w:i/>
          <w:color w:val="000000"/>
          <w:sz w:val="20"/>
          <w:lang w:val="en-US" w:eastAsia="en-US" w:bidi="ar-SA"/>
        </w:rPr>
        <w:t>Dale v. Vickers</w:t>
      </w:r>
      <w:r>
        <w:rPr>
          <w:rFonts w:ascii="arial" w:eastAsia="arial" w:hAnsi="arial" w:cs="arial"/>
          <w:color w:val="000000"/>
          <w:sz w:val="20"/>
          <w:lang w:val="en-US" w:eastAsia="en-US" w:bidi="ar-SA"/>
        </w:rPr>
        <w:t xml:space="preserve">, </w:t>
      </w:r>
      <w:hyperlink r:id="rId475" w:history="1">
        <w:r>
          <w:rPr>
            <w:rFonts w:ascii="arial" w:eastAsia="arial" w:hAnsi="arial" w:cs="arial"/>
            <w:i/>
            <w:color w:val="0077CC"/>
            <w:sz w:val="20"/>
            <w:u w:val="single"/>
            <w:shd w:val="clear" w:color="auto" w:fill="FFFFFF"/>
            <w:lang w:val="en-US" w:eastAsia="en-US" w:bidi="ar-SA"/>
          </w:rPr>
          <w:t>2019 BCSC 821</w:t>
        </w:r>
      </w:hyperlink>
      <w:r>
        <w:rPr>
          <w:rFonts w:ascii="arial" w:eastAsia="arial" w:hAnsi="arial" w:cs="arial"/>
          <w:color w:val="000000"/>
          <w:sz w:val="20"/>
          <w:lang w:val="en-US" w:eastAsia="en-US" w:bidi="ar-SA"/>
        </w:rPr>
        <w:t xml:space="preserve"> at para. 134 citing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addition to his own evidence and that of Mrs. Harris, the Plaintiff relies on the expert opinion evidence of Dr. Rusu and Dr. Day as supporting the conclusion that the Accident caused him to suffer certain injuries and aggravated pre-existing conditions which had previously been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Dr. Rusu's opinion, the Plaintiff's chronic neck pain, headaches and tendinopathy and bursitis of his right shoulder, were all directly related to the Accident. Dr. Day confirmed Dr. Russo's opinion and also concluded that the Accident likely caused an aggravation of the Plaintiff's pre-existing degenerative spondylosis, which had previously been asymptomatic. Although Dr. Day did not identify the Accident as the posttraumatic incident referred to in his report, in his oral testimony he clarified that point.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concedes the Accident caused some injury and loss to the Plaintiff, but argues the fact the Plaintiff did not have a regular family physician prior to the Accident results in an absence of independent evidence regarding the Plaintiff's pre-Accident condition, which could affect the causation analysis with respect to certain injuries. However, the Plaintiff testified that he did not have any pain or physical limitations prior to the Accident and there was no evidence led to suggest that there was another cause for the Plaintiff's injuries. The Defendant did not offer any contrary opinions regarding the diagnosis or prognosis of the Plaintiff's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Although the Defendant pointed out that some of the Plaintiff's symptoms were the result of an aggravation of pre-existing conditions, the Defendant also conceded that causation can be established based on the Accident causing or contributing to the aggravation of a previously dormant condition: </w:t>
      </w:r>
      <w:r>
        <w:rPr>
          <w:rFonts w:ascii="arial" w:eastAsia="arial" w:hAnsi="arial" w:cs="arial"/>
          <w:i/>
          <w:color w:val="000000"/>
          <w:sz w:val="20"/>
          <w:lang w:val="en-US" w:eastAsia="en-US" w:bidi="ar-SA"/>
        </w:rPr>
        <w:t>Barnes v. Richardson</w:t>
      </w:r>
      <w:r>
        <w:rPr>
          <w:rFonts w:ascii="arial" w:eastAsia="arial" w:hAnsi="arial" w:cs="arial"/>
          <w:color w:val="000000"/>
          <w:sz w:val="20"/>
          <w:lang w:val="en-US" w:eastAsia="en-US" w:bidi="ar-SA"/>
        </w:rPr>
        <w:t xml:space="preserve">, </w:t>
      </w:r>
      <w:hyperlink r:id="rId476" w:history="1">
        <w:r>
          <w:rPr>
            <w:rFonts w:ascii="arial" w:eastAsia="arial" w:hAnsi="arial" w:cs="arial"/>
            <w:i/>
            <w:color w:val="0077CC"/>
            <w:sz w:val="20"/>
            <w:u w:val="single"/>
            <w:shd w:val="clear" w:color="auto" w:fill="FFFFFF"/>
            <w:lang w:val="en-US" w:eastAsia="en-US" w:bidi="ar-SA"/>
          </w:rPr>
          <w:t>2008 BCSC 1349</w:t>
        </w:r>
      </w:hyperlink>
      <w:r>
        <w:rPr>
          <w:rFonts w:ascii="arial" w:eastAsia="arial" w:hAnsi="arial" w:cs="arial"/>
          <w:color w:val="000000"/>
          <w:sz w:val="20"/>
          <w:lang w:val="en-US" w:eastAsia="en-US" w:bidi="ar-SA"/>
        </w:rPr>
        <w:t xml:space="preserve"> at para. 24, aff'd </w:t>
      </w:r>
      <w:hyperlink r:id="rId477" w:history="1">
        <w:r>
          <w:rPr>
            <w:rFonts w:ascii="arial" w:eastAsia="arial" w:hAnsi="arial" w:cs="arial"/>
            <w:i/>
            <w:color w:val="0077CC"/>
            <w:sz w:val="20"/>
            <w:u w:val="single"/>
            <w:shd w:val="clear" w:color="auto" w:fill="FFFFFF"/>
            <w:lang w:val="en-US" w:eastAsia="en-US" w:bidi="ar-SA"/>
          </w:rPr>
          <w:t>2010 BCCA 116</w:t>
        </w:r>
      </w:hyperlink>
      <w:r>
        <w:rPr>
          <w:rFonts w:ascii="arial" w:eastAsia="arial" w:hAnsi="arial" w:cs="arial"/>
          <w:color w:val="000000"/>
          <w:sz w:val="20"/>
          <w:lang w:val="en-US" w:eastAsia="en-US" w:bidi="ar-SA"/>
        </w:rPr>
        <w:t xml:space="preserve">, citing </w:t>
      </w:r>
      <w:r>
        <w:rPr>
          <w:rFonts w:ascii="arial" w:eastAsia="arial" w:hAnsi="arial" w:cs="arial"/>
          <w:i/>
          <w:color w:val="000000"/>
          <w:sz w:val="20"/>
          <w:lang w:val="en-US" w:eastAsia="en-US" w:bidi="ar-SA"/>
        </w:rPr>
        <w:t>Hosak v. Hirst</w:t>
      </w:r>
      <w:r>
        <w:rPr>
          <w:rFonts w:ascii="arial" w:eastAsia="arial" w:hAnsi="arial" w:cs="arial"/>
          <w:color w:val="000000"/>
          <w:sz w:val="20"/>
          <w:lang w:val="en-US" w:eastAsia="en-US" w:bidi="ar-SA"/>
        </w:rPr>
        <w:t xml:space="preserve">, </w:t>
      </w:r>
      <w:hyperlink r:id="rId478" w:history="1">
        <w:r>
          <w:rPr>
            <w:rFonts w:ascii="arial" w:eastAsia="arial" w:hAnsi="arial" w:cs="arial"/>
            <w:i/>
            <w:color w:val="0077CC"/>
            <w:sz w:val="20"/>
            <w:u w:val="single"/>
            <w:shd w:val="clear" w:color="auto" w:fill="FFFFFF"/>
            <w:lang w:val="en-US" w:eastAsia="en-US" w:bidi="ar-SA"/>
          </w:rPr>
          <w:t>2003 BCCA 42</w:t>
        </w:r>
      </w:hyperlink>
      <w:r>
        <w:rPr>
          <w:rFonts w:ascii="arial" w:eastAsia="arial" w:hAnsi="arial" w:cs="arial"/>
          <w:color w:val="000000"/>
          <w:sz w:val="20"/>
          <w:lang w:val="en-US" w:eastAsia="en-US" w:bidi="ar-SA"/>
        </w:rPr>
        <w:t xml:space="preserve"> at para. 71.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In response to a question I asked during closing submissions, the Defendant also argues that little weight should be placed on the report of Dr. Rusu because she relied on MRI results and the opinion of Dr. Carl Shearer, which were not in evidence. The Defendant also argues that some of the facts referred to by Dr. Rusu were not established during the course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However, during cross-examination, the Defendant did not seek to cross-examine Dr. Rusu on whether her conclusions, either regarding the nature of the Plaintiff's injuries or their cause, would be different if she did not consider those facts or Dr. Shearer's opinion. As noted by the Plaintiff, the weight a trier of fact ultimately places on an expert's opinion may depend on the reliability of the hearsay evidence upon which they relied, and reliability of the hearsay evidence may be enhanced where the hearsay the expert considered is the opinion of another physician or generally accepted diagnostic instrument, such as an MRI, and where consideration of such opinions is an accepted means of decision-making within the experts area of expertise: </w:t>
      </w:r>
      <w:r>
        <w:rPr>
          <w:rFonts w:ascii="arial" w:eastAsia="arial" w:hAnsi="arial" w:cs="arial"/>
          <w:i/>
          <w:color w:val="000000"/>
          <w:sz w:val="20"/>
          <w:lang w:val="en-US" w:eastAsia="en-US" w:bidi="ar-SA"/>
        </w:rPr>
        <w:t>Mazur v. Lucas</w:t>
      </w:r>
      <w:r>
        <w:rPr>
          <w:rFonts w:ascii="arial" w:eastAsia="arial" w:hAnsi="arial" w:cs="arial"/>
          <w:color w:val="000000"/>
          <w:sz w:val="20"/>
          <w:lang w:val="en-US" w:eastAsia="en-US" w:bidi="ar-SA"/>
        </w:rPr>
        <w:t xml:space="preserve">, </w:t>
      </w:r>
      <w:hyperlink r:id="rId479" w:history="1">
        <w:r>
          <w:rPr>
            <w:rFonts w:ascii="arial" w:eastAsia="arial" w:hAnsi="arial" w:cs="arial"/>
            <w:i/>
            <w:color w:val="0077CC"/>
            <w:sz w:val="20"/>
            <w:u w:val="single"/>
            <w:shd w:val="clear" w:color="auto" w:fill="FFFFFF"/>
            <w:lang w:val="en-US" w:eastAsia="en-US" w:bidi="ar-SA"/>
          </w:rPr>
          <w:t>2010 BCCA 473</w:t>
        </w:r>
      </w:hyperlink>
      <w:r>
        <w:rPr>
          <w:rFonts w:ascii="arial" w:eastAsia="arial" w:hAnsi="arial" w:cs="arial"/>
          <w:color w:val="000000"/>
          <w:sz w:val="20"/>
          <w:lang w:val="en-US" w:eastAsia="en-US" w:bidi="ar-SA"/>
        </w:rPr>
        <w:t xml:space="preserve"> at para. 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the Defendant has failed to establish that there is any basis upon which I should doubt the reliability of Dr. Rusu's opinion and give it less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Based on the evidence, I find on a balance of probabilities that the Accident caused or contributed to the following injuries suffered by the Plaintiff:</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his chest;</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pain in his right knee;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injuries to the neck, right shoulder, shoulder girdle, and upper back area, as well as right shoulder tendinopathy and bursitis;</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headaches; 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aggravation of the Plaintiff's pre-existing degenerative spondylosis.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While the Plaintiff's knee and chest pain have resolved, and his headaches have reduced in frequency and severity, the Plaintiff's neck shoulder and upper back pain are chronic and at this stage are unlikely to resolve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However, I am not satisfied on a balance of probabilities that the Accident caused any increase in the Plaintiff's anxiety. The Plaintiff suffered from Graves' disease prior to the Accident, a symptom of which is anxiety. While the Plaintiff testified that in his view, there had been an increase in his anxiety subsequent to the Accident, his evidence on this point was vague and did not satisfy me that there has been any appreciable or measurable increase in his anxiety symptoms. The Plaintiff was also unable to do any computer cleaning work until the second week of September 2014, which I find was also as a result of the injuries he sustained in the Accident. Further, there is no medical evidence to support a correlation between any increase in anxiety and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VIII.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Plaintiff seeks to recover under the following heads of damages:</w:t>
      </w:r>
      <w:r>
        <w:rPr>
          <w:rFonts w:ascii="arial" w:eastAsia="arial" w:hAnsi="arial" w:cs="arial"/>
          <w:sz w:val="20"/>
          <w:lang w:val="en-US" w:eastAsia="en-US" w:bidi="ar-SA"/>
        </w:rPr>
        <w:cr/>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and future loss of earning capacity;</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costs of future care; and</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The role of non-pecuniary damages is to compensate a plaintiff for pain, suffering, loss of enjoyment of life and loss of amenities: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188. The compensation awarded should be fair and reasonable to both parties: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While fairness is measured against awards made in comparable cases, each case depends on its unique set of facts and surrounding circumstances: </w:t>
      </w:r>
      <w:r>
        <w:rPr>
          <w:rFonts w:ascii="arial" w:eastAsia="arial" w:hAnsi="arial" w:cs="arial"/>
          <w:i/>
          <w:color w:val="000000"/>
          <w:sz w:val="20"/>
          <w:lang w:val="en-US" w:eastAsia="en-US" w:bidi="ar-SA"/>
        </w:rPr>
        <w:t>Trites</w:t>
      </w:r>
      <w:r>
        <w:rPr>
          <w:rFonts w:ascii="arial" w:eastAsia="arial" w:hAnsi="arial" w:cs="arial"/>
          <w:color w:val="000000"/>
          <w:sz w:val="20"/>
          <w:lang w:val="en-US" w:eastAsia="en-US" w:bidi="ar-SA"/>
        </w:rPr>
        <w:t xml:space="preserve"> at para.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parties agree that non-pecuniary damages are to be assessed in accordance with the non-exhaustive list of factors articulated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at para. 46:</w:t>
      </w:r>
      <w:r>
        <w:rPr>
          <w:rFonts w:ascii="arial" w:eastAsia="arial" w:hAnsi="arial" w:cs="arial"/>
          <w:sz w:val="20"/>
          <w:lang w:val="en-US" w:eastAsia="en-US" w:bidi="ar-SA"/>
        </w:rPr>
        <w:cr/>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(QL), </w:t>
      </w:r>
      <w:hyperlink r:id="rId41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addition to the factors set out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the Plaintiff also submits that the fact that he was approaching retirement age, triggers the application of what has become known as the "golden years doctrine" articulated by Madam Justice Griffin in </w:t>
      </w:r>
      <w:r>
        <w:rPr>
          <w:rFonts w:ascii="arial" w:eastAsia="arial" w:hAnsi="arial" w:cs="arial"/>
          <w:i/>
          <w:color w:val="000000"/>
          <w:sz w:val="20"/>
          <w:lang w:val="en-US" w:eastAsia="en-US" w:bidi="ar-SA"/>
        </w:rPr>
        <w:t>Fata v. Heinonen</w:t>
      </w:r>
      <w:r>
        <w:rPr>
          <w:rFonts w:ascii="arial" w:eastAsia="arial" w:hAnsi="arial" w:cs="arial"/>
          <w:color w:val="000000"/>
          <w:sz w:val="20"/>
          <w:lang w:val="en-US" w:eastAsia="en-US" w:bidi="ar-SA"/>
        </w:rPr>
        <w:t xml:space="preserve">, </w:t>
      </w:r>
      <w:hyperlink r:id="rId480" w:history="1">
        <w:r>
          <w:rPr>
            <w:rFonts w:ascii="arial" w:eastAsia="arial" w:hAnsi="arial" w:cs="arial"/>
            <w:i/>
            <w:color w:val="0077CC"/>
            <w:sz w:val="20"/>
            <w:u w:val="single"/>
            <w:shd w:val="clear" w:color="auto" w:fill="FFFFFF"/>
            <w:lang w:val="en-US" w:eastAsia="en-US" w:bidi="ar-SA"/>
          </w:rPr>
          <w:t>2010 BCSC 385</w:t>
        </w:r>
      </w:hyperlink>
      <w:r>
        <w:rPr>
          <w:rFonts w:ascii="arial" w:eastAsia="arial" w:hAnsi="arial" w:cs="arial"/>
          <w:color w:val="000000"/>
          <w:sz w:val="20"/>
          <w:lang w:val="en-US" w:eastAsia="en-US" w:bidi="ar-SA"/>
        </w:rPr>
        <w:t xml:space="preserve"> at para. 88, specifically, that when a physically active individual loses his or her physical function, the enjoyment of retirement can be severely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 argues that taking into account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the golden years doctrine, a non-pecuniary damage award of $120,000 is appropriate. In making that submission the Plaintiff relies on the following cases:</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Wiles v. Seabrook</w:t>
      </w:r>
      <w:r>
        <w:rPr>
          <w:rFonts w:ascii="arial" w:eastAsia="arial" w:hAnsi="arial" w:cs="arial"/>
          <w:color w:val="000000"/>
          <w:sz w:val="20"/>
          <w:lang w:val="en-US" w:eastAsia="en-US" w:bidi="ar-SA"/>
        </w:rPr>
        <w:t xml:space="preserve">, </w:t>
      </w:r>
      <w:hyperlink r:id="rId481" w:history="1">
        <w:r>
          <w:rPr>
            <w:rFonts w:ascii="arial" w:eastAsia="arial" w:hAnsi="arial" w:cs="arial"/>
            <w:i/>
            <w:color w:val="0077CC"/>
            <w:sz w:val="20"/>
            <w:u w:val="single"/>
            <w:shd w:val="clear" w:color="auto" w:fill="FFFFFF"/>
            <w:lang w:val="en-US" w:eastAsia="en-US" w:bidi="ar-SA"/>
          </w:rPr>
          <w:t>2019 BCSC 13</w:t>
        </w:r>
      </w:hyperlink>
      <w:r>
        <w:rPr>
          <w:rFonts w:ascii="arial" w:eastAsia="arial" w:hAnsi="arial" w:cs="arial"/>
          <w:color w:val="000000"/>
          <w:sz w:val="20"/>
          <w:lang w:val="en-US" w:eastAsia="en-US" w:bidi="ar-SA"/>
        </w:rPr>
        <w:t xml:space="preserve"> - the plaintiff was awarded $120,000;</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Carrillo v. Deschutter</w:t>
      </w:r>
      <w:r>
        <w:rPr>
          <w:rFonts w:ascii="arial" w:eastAsia="arial" w:hAnsi="arial" w:cs="arial"/>
          <w:color w:val="000000"/>
          <w:sz w:val="20"/>
          <w:lang w:val="en-US" w:eastAsia="en-US" w:bidi="ar-SA"/>
        </w:rPr>
        <w:t xml:space="preserve">, </w:t>
      </w:r>
      <w:hyperlink r:id="rId482" w:history="1">
        <w:r>
          <w:rPr>
            <w:rFonts w:ascii="arial" w:eastAsia="arial" w:hAnsi="arial" w:cs="arial"/>
            <w:i/>
            <w:color w:val="0077CC"/>
            <w:sz w:val="20"/>
            <w:u w:val="single"/>
            <w:shd w:val="clear" w:color="auto" w:fill="FFFFFF"/>
            <w:lang w:val="en-US" w:eastAsia="en-US" w:bidi="ar-SA"/>
          </w:rPr>
          <w:t>2018 BCSC 2134</w:t>
        </w:r>
      </w:hyperlink>
      <w:r>
        <w:rPr>
          <w:rFonts w:ascii="arial" w:eastAsia="arial" w:hAnsi="arial" w:cs="arial"/>
          <w:color w:val="000000"/>
          <w:sz w:val="20"/>
          <w:lang w:val="en-US" w:eastAsia="en-US" w:bidi="ar-SA"/>
        </w:rPr>
        <w:t xml:space="preserve"> - the plaintiff was awarded $115,000 (adjusted for inflation to $116,735.85);</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Leach v. Jesson</w:t>
      </w:r>
      <w:r>
        <w:rPr>
          <w:rFonts w:ascii="arial" w:eastAsia="arial" w:hAnsi="arial" w:cs="arial"/>
          <w:color w:val="000000"/>
          <w:sz w:val="20"/>
          <w:lang w:val="en-US" w:eastAsia="en-US" w:bidi="ar-SA"/>
        </w:rPr>
        <w:t xml:space="preserve">, </w:t>
      </w:r>
      <w:hyperlink r:id="rId483" w:history="1">
        <w:r>
          <w:rPr>
            <w:rFonts w:ascii="arial" w:eastAsia="arial" w:hAnsi="arial" w:cs="arial"/>
            <w:i/>
            <w:color w:val="0077CC"/>
            <w:sz w:val="20"/>
            <w:u w:val="single"/>
            <w:shd w:val="clear" w:color="auto" w:fill="FFFFFF"/>
            <w:lang w:val="en-US" w:eastAsia="en-US" w:bidi="ar-SA"/>
          </w:rPr>
          <w:t>2017 BCSC 577</w:t>
        </w:r>
      </w:hyperlink>
      <w:r>
        <w:rPr>
          <w:rFonts w:ascii="arial" w:eastAsia="arial" w:hAnsi="arial" w:cs="arial"/>
          <w:color w:val="000000"/>
          <w:sz w:val="20"/>
          <w:lang w:val="en-US" w:eastAsia="en-US" w:bidi="ar-SA"/>
        </w:rPr>
        <w:t xml:space="preserve"> - the plaintiff was awarded $110,000 (adjusted for inflation to $114,070.93); and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Truong v. Lu</w:t>
      </w:r>
      <w:r>
        <w:rPr>
          <w:rFonts w:ascii="arial" w:eastAsia="arial" w:hAnsi="arial" w:cs="arial"/>
          <w:color w:val="000000"/>
          <w:sz w:val="20"/>
          <w:lang w:val="en-US" w:eastAsia="en-US" w:bidi="ar-SA"/>
        </w:rPr>
        <w:t xml:space="preserve">, </w:t>
      </w:r>
      <w:hyperlink r:id="rId484" w:history="1">
        <w:r>
          <w:rPr>
            <w:rFonts w:ascii="arial" w:eastAsia="arial" w:hAnsi="arial" w:cs="arial"/>
            <w:i/>
            <w:color w:val="0077CC"/>
            <w:sz w:val="20"/>
            <w:u w:val="single"/>
            <w:shd w:val="clear" w:color="auto" w:fill="FFFFFF"/>
            <w:lang w:val="en-US" w:eastAsia="en-US" w:bidi="ar-SA"/>
          </w:rPr>
          <w:t>2016 BCSC 2043</w:t>
        </w:r>
      </w:hyperlink>
      <w:r>
        <w:rPr>
          <w:rFonts w:ascii="arial" w:eastAsia="arial" w:hAnsi="arial" w:cs="arial"/>
          <w:color w:val="000000"/>
          <w:sz w:val="20"/>
          <w:lang w:val="en-US" w:eastAsia="en-US" w:bidi="ar-SA"/>
        </w:rPr>
        <w:t xml:space="preserve"> - the plaintiff was awarded $100,000 (adjusted for inflation to $105,822.19).</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contrast, the Defendant submits that the appropriate award for non-pecuniary damages in this case is $40,000, relying on the following cases:</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Maltese v. Pratap</w:t>
      </w:r>
      <w:r>
        <w:rPr>
          <w:rFonts w:ascii="arial" w:eastAsia="arial" w:hAnsi="arial" w:cs="arial"/>
          <w:color w:val="000000"/>
          <w:sz w:val="20"/>
          <w:lang w:val="en-US" w:eastAsia="en-US" w:bidi="ar-SA"/>
        </w:rPr>
        <w:t xml:space="preserve">, </w:t>
      </w:r>
      <w:hyperlink r:id="rId485" w:history="1">
        <w:r>
          <w:rPr>
            <w:rFonts w:ascii="arial" w:eastAsia="arial" w:hAnsi="arial" w:cs="arial"/>
            <w:i/>
            <w:color w:val="0077CC"/>
            <w:sz w:val="20"/>
            <w:u w:val="single"/>
            <w:shd w:val="clear" w:color="auto" w:fill="FFFFFF"/>
            <w:lang w:val="en-US" w:eastAsia="en-US" w:bidi="ar-SA"/>
          </w:rPr>
          <w:t>2014 BCSC 18</w:t>
        </w:r>
      </w:hyperlink>
      <w:r>
        <w:rPr>
          <w:rFonts w:ascii="arial" w:eastAsia="arial" w:hAnsi="arial" w:cs="arial"/>
          <w:color w:val="000000"/>
          <w:sz w:val="20"/>
          <w:lang w:val="en-US" w:eastAsia="en-US" w:bidi="ar-SA"/>
        </w:rPr>
        <w:t xml:space="preserve"> - the plaintiff was awarded $40,000;</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Randhawa v. Chiang</w:t>
      </w:r>
      <w:r>
        <w:rPr>
          <w:rFonts w:ascii="arial" w:eastAsia="arial" w:hAnsi="arial" w:cs="arial"/>
          <w:color w:val="000000"/>
          <w:sz w:val="20"/>
          <w:lang w:val="en-US" w:eastAsia="en-US" w:bidi="ar-SA"/>
        </w:rPr>
        <w:t xml:space="preserve">, </w:t>
      </w:r>
      <w:hyperlink r:id="rId486" w:history="1">
        <w:r>
          <w:rPr>
            <w:rFonts w:ascii="arial" w:eastAsia="arial" w:hAnsi="arial" w:cs="arial"/>
            <w:i/>
            <w:color w:val="0077CC"/>
            <w:sz w:val="20"/>
            <w:u w:val="single"/>
            <w:shd w:val="clear" w:color="auto" w:fill="FFFFFF"/>
            <w:lang w:val="en-US" w:eastAsia="en-US" w:bidi="ar-SA"/>
          </w:rPr>
          <w:t>2014 BCSC 631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plaintiff was awarded $40,000; and</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Fiorda v. Say</w:t>
      </w:r>
      <w:r>
        <w:rPr>
          <w:rFonts w:ascii="arial" w:eastAsia="arial" w:hAnsi="arial" w:cs="arial"/>
          <w:color w:val="000000"/>
          <w:sz w:val="20"/>
          <w:lang w:val="en-US" w:eastAsia="en-US" w:bidi="ar-SA"/>
        </w:rPr>
        <w:t xml:space="preserve">, </w:t>
      </w:r>
      <w:hyperlink r:id="rId487" w:history="1">
        <w:r>
          <w:rPr>
            <w:rFonts w:ascii="arial" w:eastAsia="arial" w:hAnsi="arial" w:cs="arial"/>
            <w:i/>
            <w:color w:val="0077CC"/>
            <w:sz w:val="20"/>
            <w:u w:val="single"/>
            <w:shd w:val="clear" w:color="auto" w:fill="FFFFFF"/>
            <w:lang w:val="en-US" w:eastAsia="en-US" w:bidi="ar-SA"/>
          </w:rPr>
          <w:t>2011 BCSC 1293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the plaintiff was awarded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 submits the Plaintiff did not establish any impairment of his family, marital or social relationships, or loss of lifestyle. The Defendant argues the Plaintiff continues to pursue gardening and participate in his worship activities. The Defendant submits that the evidence of the Plaintiff was that he lives with daily pain, but only that pain can be triggered after extended periods of time doing certain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 also urged me to draw adverse inference from the fact that the Plaintiff did not call Dr. Russell O'Connor as a witness. The Plaintiff had undergone an independent medical examination with Dr. O'Connor, a physiatrist, at the request of his own lawyer, but did not tender Dr. O'Connor's report into evidence, although the Plaintiff's trial brief indicated an intention to do so. I also note that the Defendant had also served Dr. O'Connor's report back on the Plaintiff, signaling an intention to rely on Dr. O'Connor's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drawing of an adverse inference is a matter of the court's discretion</w:t>
      </w:r>
      <w:r>
        <w:rPr>
          <w:rFonts w:ascii="arial" w:eastAsia="arial" w:hAnsi="arial" w:cs="arial"/>
          <w:i/>
          <w:color w:val="000000"/>
          <w:sz w:val="20"/>
          <w:lang w:val="en-US" w:eastAsia="en-US" w:bidi="ar-SA"/>
        </w:rPr>
        <w:t>: Insurance Corporation of British Columbia v. Mehat</w:t>
      </w:r>
      <w:r>
        <w:rPr>
          <w:rFonts w:ascii="arial" w:eastAsia="arial" w:hAnsi="arial" w:cs="arial"/>
          <w:color w:val="000000"/>
          <w:sz w:val="20"/>
          <w:lang w:val="en-US" w:eastAsia="en-US" w:bidi="ar-SA"/>
        </w:rPr>
        <w:t xml:space="preserve">, </w:t>
      </w:r>
      <w:hyperlink r:id="rId488" w:history="1">
        <w:r>
          <w:rPr>
            <w:rFonts w:ascii="arial" w:eastAsia="arial" w:hAnsi="arial" w:cs="arial"/>
            <w:i/>
            <w:color w:val="0077CC"/>
            <w:sz w:val="20"/>
            <w:u w:val="single"/>
            <w:shd w:val="clear" w:color="auto" w:fill="FFFFFF"/>
            <w:lang w:val="en-US" w:eastAsia="en-US" w:bidi="ar-SA"/>
          </w:rPr>
          <w:t>2018 BCCA 242</w:t>
        </w:r>
      </w:hyperlink>
      <w:r>
        <w:rPr>
          <w:rFonts w:ascii="arial" w:eastAsia="arial" w:hAnsi="arial" w:cs="arial"/>
          <w:color w:val="000000"/>
          <w:sz w:val="20"/>
          <w:lang w:val="en-US" w:eastAsia="en-US" w:bidi="ar-SA"/>
        </w:rPr>
        <w:t xml:space="preserve"> at para. 88. An adverse inference should only be drawn in circumstances where the evidence of the person who was not called would have been superior to other similar evidence: </w:t>
      </w:r>
      <w:r>
        <w:rPr>
          <w:rFonts w:ascii="arial" w:eastAsia="arial" w:hAnsi="arial" w:cs="arial"/>
          <w:i/>
          <w:color w:val="000000"/>
          <w:sz w:val="20"/>
          <w:lang w:val="en-US" w:eastAsia="en-US" w:bidi="ar-SA"/>
        </w:rPr>
        <w:t>Buksh v. Miles</w:t>
      </w:r>
      <w:r>
        <w:rPr>
          <w:rFonts w:ascii="arial" w:eastAsia="arial" w:hAnsi="arial" w:cs="arial"/>
          <w:color w:val="000000"/>
          <w:sz w:val="20"/>
          <w:lang w:val="en-US" w:eastAsia="en-US" w:bidi="ar-SA"/>
        </w:rPr>
        <w:t xml:space="preserve">, </w:t>
      </w:r>
      <w:hyperlink r:id="rId489" w:history="1">
        <w:r>
          <w:rPr>
            <w:rFonts w:ascii="arial" w:eastAsia="arial" w:hAnsi="arial" w:cs="arial"/>
            <w:i/>
            <w:color w:val="0077CC"/>
            <w:sz w:val="20"/>
            <w:u w:val="single"/>
            <w:shd w:val="clear" w:color="auto" w:fill="FFFFFF"/>
            <w:lang w:val="en-US" w:eastAsia="en-US" w:bidi="ar-SA"/>
          </w:rPr>
          <w:t>2008 BCCA 318</w:t>
        </w:r>
      </w:hyperlink>
      <w:r>
        <w:rPr>
          <w:rFonts w:ascii="arial" w:eastAsia="arial" w:hAnsi="arial" w:cs="arial"/>
          <w:color w:val="000000"/>
          <w:sz w:val="20"/>
          <w:lang w:val="en-US" w:eastAsia="en-US" w:bidi="ar-SA"/>
        </w:rPr>
        <w:t xml:space="preserve"> at para. 30, cited with approval in </w:t>
      </w:r>
      <w:r>
        <w:rPr>
          <w:rFonts w:ascii="arial" w:eastAsia="arial" w:hAnsi="arial" w:cs="arial"/>
          <w:i/>
          <w:color w:val="000000"/>
          <w:sz w:val="20"/>
          <w:lang w:val="en-US" w:eastAsia="en-US" w:bidi="ar-SA"/>
        </w:rPr>
        <w:t>Chabot v. Chaube</w:t>
      </w:r>
      <w:r>
        <w:rPr>
          <w:rFonts w:ascii="arial" w:eastAsia="arial" w:hAnsi="arial" w:cs="arial"/>
          <w:color w:val="000000"/>
          <w:sz w:val="20"/>
          <w:lang w:val="en-US" w:eastAsia="en-US" w:bidi="ar-SA"/>
        </w:rPr>
        <w:t xml:space="preserve">, </w:t>
      </w:r>
      <w:hyperlink r:id="rId490" w:history="1">
        <w:r>
          <w:rPr>
            <w:rFonts w:ascii="arial" w:eastAsia="arial" w:hAnsi="arial" w:cs="arial"/>
            <w:i/>
            <w:color w:val="0077CC"/>
            <w:sz w:val="20"/>
            <w:u w:val="single"/>
            <w:shd w:val="clear" w:color="auto" w:fill="FFFFFF"/>
            <w:lang w:val="en-US" w:eastAsia="en-US" w:bidi="ar-SA"/>
          </w:rPr>
          <w:t>2014 BCSC 300</w:t>
        </w:r>
      </w:hyperlink>
      <w:r>
        <w:rPr>
          <w:rFonts w:ascii="arial" w:eastAsia="arial" w:hAnsi="arial" w:cs="arial"/>
          <w:color w:val="000000"/>
          <w:sz w:val="20"/>
          <w:lang w:val="en-US" w:eastAsia="en-US" w:bidi="ar-SA"/>
        </w:rPr>
        <w:t xml:space="preserve"> at para. 136.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Although Dr. O'Connor became involved as an expert before the trial was scheduled, counsel for the Plaintiff advised me that shortly before the trial commenced, it was discovered that Dr. O'Connor would be out of the country. I was advised that counsel for the Plaintiff asked counsel for the Defendant to consent to conduct a pretrial video deposition of Dr. O'Connor, but that Defendant's counsel refused. I was also advised that efforts to arrange Dr. O'Connor's attendance at the trial by means of videoconference were unsuccessful. As an officer of the court, I have no reason to doubt the submissions of counsel for the Plaintiff regarding Dr. Connor's unavailability. However, I note in passing that it may have been preferable to have the information regarding Dr. O'Connor's unavailability, and efforts made to secure Dr. O'Connor's attendance, submitted by way of affidavit rather than simply by the submissions of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my view, the evidence does not establish that the opinion of Dr. O'Connor was superior to that of Dr. Rusu or Dr. Day. Accordingly, I decline to drawn adverse inference against the Plaintiff from the fact that Dr. O'Connor was not called to give evidence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Analysis and Conclusion on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Plaintiff continues to experience pain in neck and shoulder area and the medical evidence that this pain is likely to continue. Further, the Plaintiff suffered from extreme chest pain in the first few months after the Accident, which at times made it difficult for him to breathe. Although that pain resolved after five months, he is entitled to be compensated for his intense suffering.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agree with the Defendant that the evidence does not establish on a balance of probabilities that the Plaintiff's relationships with other people have been adversely affected as a result of his injuries. However, I accept the Plaintiff's evidence that as a result of his injuries he and his wife have curtailed some of their social interaction. Further, although it is true that the Plaintiff did not indicate that there are activities he is no longer capable of doing, his evidence, which I accept, is that several of the activities which he used to, and continues to engage in - such as household chores and gardening - now cause him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Meaning no disrespect, I also agree that the advanced age of the Plaintiff is a factor that weighs heavily in consideration of the appropriate award for non-pecuniary damages. While the Plaintiff was not somebody who engaged in a significant amount of physical activity, he nonetheless has been less able to enjoy kayaking and canoeing and he does not walk as frequently as he used to be able to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After considering the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xml:space="preserve"> factors, and the cases provided by both parties, in the circumstances of this case, I find that a non-pecuniary award in the amount of $110,000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 Did the Plaintiff Fail to Mitigate his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As noted by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at 472: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essential purpose and most basic principle of tort law is that the plaintiff must be placed in the position he or she would have been in absent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"original position"). However, the plaintiff is not to be placed in a position better than his or her original one. It is therefore necessary not only to determine the plaintiff's position after the tort but also to assess what the "original position" would have been. It is the difference between these positions, the "original position" and the "injured position", which is the plaintiff's loss. In the cases referred to above, the intervening event was unrelated to the tort and therefore affected the plaintiff's "original position". The net loss was therefore not as great as it might have otherwise seemed, so damages were reduced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Once causation has been established, it falls to the defendant to persuade the court "that some or all of the injury claimed would have happened in any event, or that the plaintiff would not have earned as much as he or she claims had no injury occurred": </w:t>
      </w:r>
      <w:r>
        <w:rPr>
          <w:rFonts w:ascii="arial" w:eastAsia="arial" w:hAnsi="arial" w:cs="arial"/>
          <w:i/>
          <w:color w:val="000000"/>
          <w:sz w:val="20"/>
          <w:lang w:val="en-US" w:eastAsia="en-US" w:bidi="ar-SA"/>
        </w:rPr>
        <w:t>Webster v. Ernst &amp; Young</w:t>
      </w:r>
      <w:r>
        <w:rPr>
          <w:rFonts w:ascii="arial" w:eastAsia="arial" w:hAnsi="arial" w:cs="arial"/>
          <w:color w:val="000000"/>
          <w:sz w:val="20"/>
          <w:lang w:val="en-US" w:eastAsia="en-US" w:bidi="ar-SA"/>
        </w:rPr>
        <w:t xml:space="preserve">, </w:t>
      </w:r>
      <w:hyperlink r:id="rId491" w:history="1">
        <w:r>
          <w:rPr>
            <w:rFonts w:ascii="arial" w:eastAsia="arial" w:hAnsi="arial" w:cs="arial"/>
            <w:i/>
            <w:color w:val="0077CC"/>
            <w:sz w:val="20"/>
            <w:u w:val="single"/>
            <w:shd w:val="clear" w:color="auto" w:fill="FFFFFF"/>
            <w:lang w:val="en-US" w:eastAsia="en-US" w:bidi="ar-SA"/>
          </w:rPr>
          <w:t>2000 BCCA 229</w:t>
        </w:r>
      </w:hyperlink>
      <w:r>
        <w:rPr>
          <w:rFonts w:ascii="arial" w:eastAsia="arial" w:hAnsi="arial" w:cs="arial"/>
          <w:color w:val="000000"/>
          <w:sz w:val="20"/>
          <w:lang w:val="en-US" w:eastAsia="en-US" w:bidi="ar-SA"/>
        </w:rPr>
        <w:t xml:space="preserve"> at para. 15. Such a hypothetical will be taken into account if the defendant establishes it is a "real and substantial possibility" and not merely speculation: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at 470.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personal injury actions, plaintiffs have a positive duty to limit their losses and where a defendant proves the plaintiff unreasonably failed to do so, the plaintiff's damages will be reduced accordingly: </w:t>
      </w:r>
      <w:r>
        <w:rPr>
          <w:rFonts w:ascii="arial" w:eastAsia="arial" w:hAnsi="arial" w:cs="arial"/>
          <w:i/>
          <w:color w:val="000000"/>
          <w:sz w:val="20"/>
          <w:lang w:val="en-US" w:eastAsia="en-US" w:bidi="ar-SA"/>
        </w:rPr>
        <w:t>Paschalidis v. Stutely</w:t>
      </w:r>
      <w:r>
        <w:rPr>
          <w:rFonts w:ascii="arial" w:eastAsia="arial" w:hAnsi="arial" w:cs="arial"/>
          <w:color w:val="000000"/>
          <w:sz w:val="20"/>
          <w:lang w:val="en-US" w:eastAsia="en-US" w:bidi="ar-SA"/>
        </w:rPr>
        <w:t xml:space="preserve">, </w:t>
      </w:r>
      <w:hyperlink r:id="rId492" w:history="1">
        <w:r>
          <w:rPr>
            <w:rFonts w:ascii="arial" w:eastAsia="arial" w:hAnsi="arial" w:cs="arial"/>
            <w:i/>
            <w:color w:val="0077CC"/>
            <w:sz w:val="20"/>
            <w:u w:val="single"/>
            <w:shd w:val="clear" w:color="auto" w:fill="FFFFFF"/>
            <w:lang w:val="en-US" w:eastAsia="en-US" w:bidi="ar-SA"/>
          </w:rPr>
          <w:t>2013 BCSC 1611</w:t>
        </w:r>
      </w:hyperlink>
      <w:r>
        <w:rPr>
          <w:rFonts w:ascii="arial" w:eastAsia="arial" w:hAnsi="arial" w:cs="arial"/>
          <w:color w:val="000000"/>
          <w:sz w:val="20"/>
          <w:lang w:val="en-US" w:eastAsia="en-US" w:bidi="ar-SA"/>
        </w:rPr>
        <w:t xml:space="preserve"> at para. 130, citing </w:t>
      </w:r>
      <w:r>
        <w:rPr>
          <w:rFonts w:ascii="arial" w:eastAsia="arial" w:hAnsi="arial" w:cs="arial"/>
          <w:i/>
          <w:color w:val="000000"/>
          <w:sz w:val="20"/>
          <w:lang w:val="en-US" w:eastAsia="en-US" w:bidi="ar-SA"/>
        </w:rPr>
        <w:t>Graham v. Rogers</w:t>
      </w:r>
      <w:r>
        <w:rPr>
          <w:rFonts w:ascii="arial" w:eastAsia="arial" w:hAnsi="arial" w:cs="arial"/>
          <w:color w:val="000000"/>
          <w:sz w:val="20"/>
          <w:lang w:val="en-US" w:eastAsia="en-US" w:bidi="ar-SA"/>
        </w:rPr>
        <w:t xml:space="preserve">, </w:t>
      </w:r>
      <w:hyperlink r:id="rId493" w:history="1">
        <w:r>
          <w:rPr>
            <w:rFonts w:ascii="arial" w:eastAsia="arial" w:hAnsi="arial" w:cs="arial"/>
            <w:i/>
            <w:color w:val="0077CC"/>
            <w:sz w:val="20"/>
            <w:u w:val="single"/>
            <w:shd w:val="clear" w:color="auto" w:fill="FFFFFF"/>
            <w:lang w:val="en-US" w:eastAsia="en-US" w:bidi="ar-SA"/>
          </w:rPr>
          <w:t>2001 BCCA 432</w:t>
        </w:r>
      </w:hyperlink>
      <w:r>
        <w:rPr>
          <w:rFonts w:ascii="arial" w:eastAsia="arial" w:hAnsi="arial" w:cs="arial"/>
          <w:color w:val="000000"/>
          <w:sz w:val="20"/>
          <w:lang w:val="en-US" w:eastAsia="en-US" w:bidi="ar-SA"/>
        </w:rPr>
        <w:t xml:space="preserve">, leave to appeal to S.C.C. ref'd, </w:t>
      </w:r>
      <w:hyperlink r:id="rId494" w:history="1">
        <w:r>
          <w:rPr>
            <w:rFonts w:ascii="arial" w:eastAsia="arial" w:hAnsi="arial" w:cs="arial"/>
            <w:i/>
            <w:color w:val="0077CC"/>
            <w:sz w:val="20"/>
            <w:u w:val="single"/>
            <w:shd w:val="clear" w:color="auto" w:fill="FFFFFF"/>
            <w:lang w:val="en-US" w:eastAsia="en-US" w:bidi="ar-SA"/>
          </w:rPr>
          <w:t>[2001] S.C.C.A. No. 467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parties agree the test for whether a damages award should be reduced due to the Plaintiff's failure to mitigate is set out by Justice Low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 xml:space="preserve"> at para. 57: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 submits the Plaintiff "failed to mitigate his loss through an unreasonable failure to follow medical advice." In the Defendant's submission, the Plaintiff's failure to continuously undergo physiotherapy and massage therapy, or to engage in swimming, core strengthening exercises, acupuncture or trigger point injections, as recommended by Dr. Rusu and Dr. Day, was an unreasonable failure to follow medical advice. The Defendant submits that a reduction between 30 to 40% of the Plaintiff's non-pecuniary award is appropriate in the circumstances: </w:t>
      </w:r>
      <w:r>
        <w:rPr>
          <w:rFonts w:ascii="arial" w:eastAsia="arial" w:hAnsi="arial" w:cs="arial"/>
          <w:i/>
          <w:color w:val="000000"/>
          <w:sz w:val="20"/>
          <w:lang w:val="en-US" w:eastAsia="en-US" w:bidi="ar-SA"/>
        </w:rPr>
        <w:t>Latuszek v. Bel-Air Taxi (1992) Limited</w:t>
      </w:r>
      <w:r>
        <w:rPr>
          <w:rFonts w:ascii="arial" w:eastAsia="arial" w:hAnsi="arial" w:cs="arial"/>
          <w:color w:val="000000"/>
          <w:sz w:val="20"/>
          <w:lang w:val="en-US" w:eastAsia="en-US" w:bidi="ar-SA"/>
        </w:rPr>
        <w:t xml:space="preserve">, </w:t>
      </w:r>
      <w:hyperlink r:id="rId496" w:history="1">
        <w:r>
          <w:rPr>
            <w:rFonts w:ascii="arial" w:eastAsia="arial" w:hAnsi="arial" w:cs="arial"/>
            <w:i/>
            <w:color w:val="0077CC"/>
            <w:sz w:val="20"/>
            <w:u w:val="single"/>
            <w:shd w:val="clear" w:color="auto" w:fill="FFFFFF"/>
            <w:lang w:val="en-US" w:eastAsia="en-US" w:bidi="ar-SA"/>
          </w:rPr>
          <w:t>2009 BCSC 798</w:t>
        </w:r>
      </w:hyperlink>
      <w:r>
        <w:rPr>
          <w:rFonts w:ascii="arial" w:eastAsia="arial" w:hAnsi="arial" w:cs="arial"/>
          <w:color w:val="000000"/>
          <w:sz w:val="20"/>
          <w:lang w:val="en-US" w:eastAsia="en-US" w:bidi="ar-SA"/>
        </w:rPr>
        <w:t xml:space="preserve"> at paras. 85-86. According to the Defendant, Dr. Day's opinion that these treatments would not be curative is irrelevant. In the Defendant's view, because non-pecuniary damages seek to compensate for the effect the injuries have on a plaintiff's life, the failure to pursue treatment that could ameliorate the Plaintiff's position constitute a failure to properly mitigate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However, in this case, the Defendant failed to lead medical evidence to establish a failure to continuously engage in physiotherapy or massage therapy would have resulted in a decrease in the Plaintiff's injuries or symptoms. Speculation about the extent, if any, to which the Plaintiff's loss would have been reduced if he had pursued various treatments recommended, is insufficient: </w:t>
      </w:r>
      <w:r>
        <w:rPr>
          <w:rFonts w:ascii="arial" w:eastAsia="arial" w:hAnsi="arial" w:cs="arial"/>
          <w:i/>
          <w:color w:val="000000"/>
          <w:sz w:val="20"/>
          <w:lang w:val="en-US" w:eastAsia="en-US" w:bidi="ar-SA"/>
        </w:rPr>
        <w:t>Wahl v. Sidhu</w:t>
      </w:r>
      <w:r>
        <w:rPr>
          <w:rFonts w:ascii="arial" w:eastAsia="arial" w:hAnsi="arial" w:cs="arial"/>
          <w:color w:val="000000"/>
          <w:sz w:val="20"/>
          <w:lang w:val="en-US" w:eastAsia="en-US" w:bidi="ar-SA"/>
        </w:rPr>
        <w:t xml:space="preserve">, </w:t>
      </w:r>
      <w:hyperlink r:id="rId229" w:history="1">
        <w:r>
          <w:rPr>
            <w:rFonts w:ascii="arial" w:eastAsia="arial" w:hAnsi="arial" w:cs="arial"/>
            <w:i/>
            <w:color w:val="0077CC"/>
            <w:sz w:val="20"/>
            <w:u w:val="single"/>
            <w:shd w:val="clear" w:color="auto" w:fill="FFFFFF"/>
            <w:lang w:val="en-US" w:eastAsia="en-US" w:bidi="ar-SA"/>
          </w:rPr>
          <w:t>2012 BCCA 111</w:t>
        </w:r>
      </w:hyperlink>
      <w:r>
        <w:rPr>
          <w:rFonts w:ascii="arial" w:eastAsia="arial" w:hAnsi="arial" w:cs="arial"/>
          <w:color w:val="000000"/>
          <w:sz w:val="20"/>
          <w:lang w:val="en-US" w:eastAsia="en-US" w:bidi="ar-SA"/>
        </w:rPr>
        <w:t xml:space="preserve"> at para. 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Further, the Plaintiff's evidence, which I accept, is that he first decided to stop physiotherapy because he felt it was not improving his condition. However, when his pain returned, he quickly returned to that modality of treatment. In my view, that demonstrates a willingness to pursue treatments that were effective for him. When the Plaintiff elected to halt physiotherapy the second time, it was done in consultation with his ophthalmologist because of two eye surgeries he underwent which were unrelated to the Accident. In both of those circumstances, I do not view the Plaintiff's decision to halt physiotherapy as being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Accordingly, I reject the Defendant's claim that the Plaintiff failed to mitigate his loss and his corresponding argument that a reduction in the Plaintiff's damage award is warranted on that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Past and Future Loss of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Damages for loss of past income is properly characterized as the loss of past earning capacity: </w:t>
      </w:r>
      <w:r>
        <w:rPr>
          <w:rFonts w:ascii="arial" w:eastAsia="arial" w:hAnsi="arial" w:cs="arial"/>
          <w:i/>
          <w:color w:val="000000"/>
          <w:sz w:val="20"/>
          <w:lang w:val="en-US" w:eastAsia="en-US" w:bidi="ar-SA"/>
        </w:rPr>
        <w:t>Piper v. Hassan</w:t>
      </w:r>
      <w:r>
        <w:rPr>
          <w:rFonts w:ascii="arial" w:eastAsia="arial" w:hAnsi="arial" w:cs="arial"/>
          <w:color w:val="000000"/>
          <w:sz w:val="20"/>
          <w:lang w:val="en-US" w:eastAsia="en-US" w:bidi="ar-SA"/>
        </w:rPr>
        <w:t xml:space="preserve">, </w:t>
      </w:r>
      <w:hyperlink r:id="rId497" w:history="1">
        <w:r>
          <w:rPr>
            <w:rFonts w:ascii="arial" w:eastAsia="arial" w:hAnsi="arial" w:cs="arial"/>
            <w:i/>
            <w:color w:val="0077CC"/>
            <w:sz w:val="20"/>
            <w:u w:val="single"/>
            <w:shd w:val="clear" w:color="auto" w:fill="FFFFFF"/>
            <w:lang w:val="en-US" w:eastAsia="en-US" w:bidi="ar-SA"/>
          </w:rPr>
          <w:t>2012 BCSC 189</w:t>
        </w:r>
      </w:hyperlink>
      <w:r>
        <w:rPr>
          <w:rFonts w:ascii="arial" w:eastAsia="arial" w:hAnsi="arial" w:cs="arial"/>
          <w:color w:val="000000"/>
          <w:sz w:val="20"/>
          <w:lang w:val="en-US" w:eastAsia="en-US" w:bidi="ar-SA"/>
        </w:rPr>
        <w:t xml:space="preserve"> at para. 153 citing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153; leave to appeal ref'd </w:t>
      </w:r>
      <w:hyperlink r:id="rId498" w:history="1">
        <w:r>
          <w:rPr>
            <w:rFonts w:ascii="arial" w:eastAsia="arial" w:hAnsi="arial" w:cs="arial"/>
            <w:i/>
            <w:color w:val="0077CC"/>
            <w:sz w:val="20"/>
            <w:u w:val="single"/>
            <w:shd w:val="clear" w:color="auto" w:fill="FFFFFF"/>
            <w:lang w:val="en-US" w:eastAsia="en-US" w:bidi="ar-SA"/>
          </w:rPr>
          <w:t>[2009] S.C.C.A. No. 197</w:t>
        </w:r>
      </w:hyperlink>
      <w:r>
        <w:rPr>
          <w:rFonts w:ascii="arial" w:eastAsia="arial" w:hAnsi="arial" w:cs="arial"/>
          <w:color w:val="000000"/>
          <w:sz w:val="20"/>
          <w:lang w:val="en-US" w:eastAsia="en-US" w:bidi="ar-SA"/>
        </w:rPr>
        <w:t xml:space="preserve">; see also </w:t>
      </w:r>
      <w:r>
        <w:rPr>
          <w:rFonts w:ascii="arial" w:eastAsia="arial" w:hAnsi="arial" w:cs="arial"/>
          <w:i/>
          <w:color w:val="000000"/>
          <w:sz w:val="20"/>
          <w:lang w:val="en-US" w:eastAsia="en-US" w:bidi="ar-SA"/>
        </w:rPr>
        <w:t>Rowe v. Bobell Express Ltd.</w:t>
      </w:r>
      <w:r>
        <w:rPr>
          <w:rFonts w:ascii="arial" w:eastAsia="arial" w:hAnsi="arial" w:cs="arial"/>
          <w:color w:val="000000"/>
          <w:sz w:val="20"/>
          <w:lang w:val="en-US" w:eastAsia="en-US" w:bidi="ar-SA"/>
        </w:rPr>
        <w:t xml:space="preserve">, </w:t>
      </w:r>
      <w:hyperlink r:id="rId253" w:history="1">
        <w:r>
          <w:rPr>
            <w:rFonts w:ascii="arial" w:eastAsia="arial" w:hAnsi="arial" w:cs="arial"/>
            <w:i/>
            <w:color w:val="0077CC"/>
            <w:sz w:val="20"/>
            <w:u w:val="single"/>
            <w:shd w:val="clear" w:color="auto" w:fill="FFFFFF"/>
            <w:lang w:val="en-US" w:eastAsia="en-US" w:bidi="ar-SA"/>
          </w:rPr>
          <w:t>2005 BCCA 141</w:t>
        </w:r>
      </w:hyperlink>
      <w:r>
        <w:rPr>
          <w:rFonts w:ascii="arial" w:eastAsia="arial" w:hAnsi="arial" w:cs="arial"/>
          <w:color w:val="000000"/>
          <w:sz w:val="20"/>
          <w:lang w:val="en-US" w:eastAsia="en-US" w:bidi="ar-SA"/>
        </w:rPr>
        <w:t xml:space="preserve"> at paras. 27-29. If the Plaintiff establishes the Accident caused him to suffer loss of his past earning capacity, that loss is recoverable in damages: </w:t>
      </w:r>
      <w:r>
        <w:rPr>
          <w:rFonts w:ascii="arial" w:eastAsia="arial" w:hAnsi="arial" w:cs="arial"/>
          <w:i/>
          <w:color w:val="000000"/>
          <w:sz w:val="20"/>
          <w:lang w:val="en-US" w:eastAsia="en-US" w:bidi="ar-SA"/>
        </w:rPr>
        <w:t>Reynolds v. M. Sanghera &amp; Sons Trucking Ltd.</w:t>
      </w:r>
      <w:r>
        <w:rPr>
          <w:rFonts w:ascii="arial" w:eastAsia="arial" w:hAnsi="arial" w:cs="arial"/>
          <w:color w:val="000000"/>
          <w:sz w:val="20"/>
          <w:lang w:val="en-US" w:eastAsia="en-US" w:bidi="ar-SA"/>
        </w:rPr>
        <w:t xml:space="preserve">, </w:t>
      </w:r>
      <w:hyperlink r:id="rId499" w:history="1">
        <w:r>
          <w:rPr>
            <w:rFonts w:ascii="arial" w:eastAsia="arial" w:hAnsi="arial" w:cs="arial"/>
            <w:i/>
            <w:color w:val="0077CC"/>
            <w:sz w:val="20"/>
            <w:u w:val="single"/>
            <w:shd w:val="clear" w:color="auto" w:fill="FFFFFF"/>
            <w:lang w:val="en-US" w:eastAsia="en-US" w:bidi="ar-SA"/>
          </w:rPr>
          <w:t>2015 BCCA 232</w:t>
        </w:r>
      </w:hyperlink>
      <w:r>
        <w:rPr>
          <w:rFonts w:ascii="arial" w:eastAsia="arial" w:hAnsi="arial" w:cs="arial"/>
          <w:color w:val="000000"/>
          <w:sz w:val="20"/>
          <w:lang w:val="en-US" w:eastAsia="en-US" w:bidi="ar-SA"/>
        </w:rPr>
        <w:t xml:space="preserve">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As noted by Justice Pearlman in </w:t>
      </w:r>
      <w:r>
        <w:rPr>
          <w:rFonts w:ascii="arial" w:eastAsia="arial" w:hAnsi="arial" w:cs="arial"/>
          <w:i/>
          <w:color w:val="000000"/>
          <w:sz w:val="20"/>
          <w:lang w:val="en-US" w:eastAsia="en-US" w:bidi="ar-SA"/>
        </w:rPr>
        <w:t>Piper</w:t>
      </w:r>
      <w:r>
        <w:rPr>
          <w:rFonts w:ascii="arial" w:eastAsia="arial" w:hAnsi="arial" w:cs="arial"/>
          <w:color w:val="000000"/>
          <w:sz w:val="20"/>
          <w:lang w:val="en-US" w:eastAsia="en-US" w:bidi="ar-SA"/>
        </w:rPr>
        <w:t xml:space="preserve"> at para. 156: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burden of proof of actual past events is a balance of probabilities. An assessment of loss of both past and future earning capacity involves consideration of hypothetical events. The plaintiff is not required to prove these hypothetical events on a balance of probabilities. The future or hypothetical possibility will be taken into consideration as long as it is a real and substantial possibility and not mere speculation: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Establishing a claim for loss of future earning capacity typically involves a forecast based on hypotheticals. The test to be applied for establishing such a claim is the one articulated by Justice Garson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It is insufficient for a plaintiff to only establish he or she "may" be less capable of employment, since that word connotes speculation and does not constitute a real possibility: </w:t>
      </w:r>
      <w:r>
        <w:rPr>
          <w:rFonts w:ascii="arial" w:eastAsia="arial" w:hAnsi="arial" w:cs="arial"/>
          <w:i/>
          <w:color w:val="000000"/>
          <w:sz w:val="20"/>
          <w:lang w:val="en-US" w:eastAsia="en-US" w:bidi="ar-SA"/>
        </w:rPr>
        <w:t>Kim v. Morier</w:t>
      </w:r>
      <w:r>
        <w:rPr>
          <w:rFonts w:ascii="arial" w:eastAsia="arial" w:hAnsi="arial" w:cs="arial"/>
          <w:color w:val="000000"/>
          <w:sz w:val="20"/>
          <w:lang w:val="en-US" w:eastAsia="en-US" w:bidi="ar-SA"/>
        </w:rPr>
        <w:t xml:space="preserve">, </w:t>
      </w:r>
      <w:hyperlink r:id="rId282" w:history="1">
        <w:r>
          <w:rPr>
            <w:rFonts w:ascii="arial" w:eastAsia="arial" w:hAnsi="arial" w:cs="arial"/>
            <w:i/>
            <w:color w:val="0077CC"/>
            <w:sz w:val="20"/>
            <w:u w:val="single"/>
            <w:shd w:val="clear" w:color="auto" w:fill="FFFFFF"/>
            <w:lang w:val="en-US" w:eastAsia="en-US" w:bidi="ar-SA"/>
          </w:rPr>
          <w:t>2014 BCCA 63</w:t>
        </w:r>
      </w:hyperlink>
      <w:r>
        <w:rPr>
          <w:rFonts w:ascii="arial" w:eastAsia="arial" w:hAnsi="arial" w:cs="arial"/>
          <w:color w:val="000000"/>
          <w:sz w:val="20"/>
          <w:lang w:val="en-US" w:eastAsia="en-US" w:bidi="ar-SA"/>
        </w:rPr>
        <w:t xml:space="preserve"> at para.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With respect to future earning capacity, as noted by Justice Willcock in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[147] The factors that ought to be used to measure the loss or impairment of a capital asset have been regularly described as:</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been rendered less capable overall of earning income from all types of employment;</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marketable or attractive as an employee to potential employers;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has lost the ability to take advantage of all job opportunities which might otherwise have been open to her had she not been injured;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plaintiff is less valuable to herself as person capable of earning income in a competitive labour market.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[148] Damages under this head must be assessed and not calculated. The standard of proof to be applied when evaluating hypothetical events that may affect an award is simple probability, not the balance of probabilities. In addressing claims under this head of damages, either on an earnings approach or a capital asset approach, the court should consider whether there is evidence of a real and substantial possibility of a future event leading to an income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[149] A plaintiff's past earnings are a significant factor that must at law be considered in assessing a loss of income earning capacity. Past income earning is but a starting point in the assessment of the loss, but it is a key element.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A claim for loss of earning capacity involves determination of two questions: 1) has the plaintiff's earning capacity been impaired by his or her injuries; and 2) if so, what compensation should be awarded for the resulting financial harm that will accrue over time: </w:t>
      </w:r>
      <w:r>
        <w:rPr>
          <w:rFonts w:ascii="arial" w:eastAsia="arial" w:hAnsi="arial" w:cs="arial"/>
          <w:i/>
          <w:color w:val="000000"/>
          <w:sz w:val="20"/>
          <w:lang w:val="en-US" w:eastAsia="en-US" w:bidi="ar-SA"/>
        </w:rPr>
        <w:t>Hoy v. Williams</w:t>
      </w:r>
      <w:r>
        <w:rPr>
          <w:rFonts w:ascii="arial" w:eastAsia="arial" w:hAnsi="arial" w:cs="arial"/>
          <w:color w:val="000000"/>
          <w:sz w:val="20"/>
          <w:lang w:val="en-US" w:eastAsia="en-US" w:bidi="ar-SA"/>
        </w:rPr>
        <w:t xml:space="preserve">, </w:t>
      </w:r>
      <w:hyperlink r:id="rId273" w:history="1">
        <w:r>
          <w:rPr>
            <w:rFonts w:ascii="arial" w:eastAsia="arial" w:hAnsi="arial" w:cs="arial"/>
            <w:i/>
            <w:color w:val="0077CC"/>
            <w:sz w:val="20"/>
            <w:u w:val="single"/>
            <w:shd w:val="clear" w:color="auto" w:fill="FFFFFF"/>
            <w:lang w:val="en-US" w:eastAsia="en-US" w:bidi="ar-SA"/>
          </w:rPr>
          <w:t>2014 BCSC 234</w:t>
        </w:r>
      </w:hyperlink>
      <w:r>
        <w:rPr>
          <w:rFonts w:ascii="arial" w:eastAsia="arial" w:hAnsi="arial" w:cs="arial"/>
          <w:color w:val="000000"/>
          <w:sz w:val="20"/>
          <w:lang w:val="en-US" w:eastAsia="en-US" w:bidi="ar-SA"/>
        </w:rPr>
        <w:t xml:space="preserve"> at para.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With respect to the appropriate level of compensation, the two potential approaches to assessing loss of income earning capacity were discussed by Justice Abrioux in </w:t>
      </w:r>
      <w:r>
        <w:rPr>
          <w:rFonts w:ascii="arial" w:eastAsia="arial" w:hAnsi="arial" w:cs="arial"/>
          <w:i/>
          <w:color w:val="000000"/>
          <w:sz w:val="20"/>
          <w:lang w:val="en-US" w:eastAsia="en-US" w:bidi="ar-SA"/>
        </w:rPr>
        <w:t>Karim v. Li</w:t>
      </w:r>
      <w:r>
        <w:rPr>
          <w:rFonts w:ascii="arial" w:eastAsia="arial" w:hAnsi="arial" w:cs="arial"/>
          <w:color w:val="000000"/>
          <w:sz w:val="20"/>
          <w:lang w:val="en-US" w:eastAsia="en-US" w:bidi="ar-SA"/>
        </w:rPr>
        <w:t xml:space="preserve">, </w:t>
      </w:r>
      <w:hyperlink r:id="rId501" w:history="1">
        <w:r>
          <w:rPr>
            <w:rFonts w:ascii="arial" w:eastAsia="arial" w:hAnsi="arial" w:cs="arial"/>
            <w:i/>
            <w:color w:val="0077CC"/>
            <w:sz w:val="20"/>
            <w:u w:val="single"/>
            <w:shd w:val="clear" w:color="auto" w:fill="FFFFFF"/>
            <w:lang w:val="en-US" w:eastAsia="en-US" w:bidi="ar-SA"/>
          </w:rPr>
          <w:t>2015 BCSC 498</w:t>
        </w:r>
      </w:hyperlink>
      <w:r>
        <w:rPr>
          <w:rFonts w:ascii="arial" w:eastAsia="arial" w:hAnsi="arial" w:cs="arial"/>
          <w:color w:val="000000"/>
          <w:sz w:val="20"/>
          <w:lang w:val="en-US" w:eastAsia="en-US" w:bidi="ar-SA"/>
        </w:rPr>
        <w:t xml:space="preserve"> at paras. 148-151. The earnings approach involves a mathematical methodology using the plaintiff's minimum annual income loss, multiplied by the plaintiff's remaining income earning years, and devising a present day value. The capital asset approach is used when the future loss cannot be measured in a pecuniary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Has the Plaintiff's Earning Capacity been impaired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first step in the analysis is to determine whether the Plaintiff has established his earning capacity has been impaired by his injuries.</w:t>
      </w:r>
      <w:r>
        <w:rPr>
          <w:rFonts w:ascii="arial" w:eastAsia="arial" w:hAnsi="arial" w:cs="arial"/>
          <w:sz w:val="20"/>
          <w:lang w:val="en-US" w:eastAsia="en-US" w:bidi="ar-SA"/>
        </w:rPr>
        <w:cr/>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this case, the Plaintiff claims the Accident caused him to suffer past and future losses of his earning capacity resulting from:</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missing 13 days of work as an administrative assistant;</w:t>
      </w:r>
    </w:p>
    <w:p>
      <w:pPr>
        <w:numPr>
          <w:numId w:val="42"/>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missing approximately one month of computer cleaning work; and</w:t>
      </w:r>
    </w:p>
    <w:p>
      <w:pPr>
        <w:numPr>
          <w:numId w:val="43"/>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being unable to expand his computer cleaning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first two of these involve actual past events and thus, the burden is on the Plaintiff to prove them on a balance of probabilities standard. The last one involves a past and future hypothetical event, and if the Plaintiff is to recover that loss, he must establish that there was a real and substantial possibility, not mere speculation, that he would have increased the number of hours he spent computer cleaning: </w:t>
      </w:r>
      <w:r>
        <w:rPr>
          <w:rFonts w:ascii="arial" w:eastAsia="arial" w:hAnsi="arial" w:cs="arial"/>
          <w:i/>
          <w:color w:val="000000"/>
          <w:sz w:val="20"/>
          <w:lang w:val="en-US" w:eastAsia="en-US" w:bidi="ar-SA"/>
        </w:rPr>
        <w:t>Lo v. Vos</w:t>
      </w:r>
      <w:r>
        <w:rPr>
          <w:rFonts w:ascii="arial" w:eastAsia="arial" w:hAnsi="arial" w:cs="arial"/>
          <w:color w:val="000000"/>
          <w:sz w:val="20"/>
          <w:lang w:val="en-US" w:eastAsia="en-US" w:bidi="ar-SA"/>
        </w:rPr>
        <w:t xml:space="preserve">, </w:t>
      </w:r>
      <w:hyperlink r:id="rId502" w:history="1">
        <w:r>
          <w:rPr>
            <w:rFonts w:ascii="arial" w:eastAsia="arial" w:hAnsi="arial" w:cs="arial"/>
            <w:i/>
            <w:color w:val="0077CC"/>
            <w:sz w:val="20"/>
            <w:u w:val="single"/>
            <w:shd w:val="clear" w:color="auto" w:fill="FFFFFF"/>
            <w:lang w:val="en-US" w:eastAsia="en-US" w:bidi="ar-SA"/>
          </w:rPr>
          <w:t>2019 BCSC 1306</w:t>
        </w:r>
      </w:hyperlink>
      <w:r>
        <w:rPr>
          <w:rFonts w:ascii="arial" w:eastAsia="arial" w:hAnsi="arial" w:cs="arial"/>
          <w:color w:val="000000"/>
          <w:sz w:val="20"/>
          <w:lang w:val="en-US" w:eastAsia="en-US" w:bidi="ar-SA"/>
        </w:rPr>
        <w:t xml:space="preserve"> at para. 126.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Plaintiff testified that prior to the Accident, his goal was to grow the Foresee business by taking on new clients beyond Factors Group. His evidence was that his work as an administrative assistant have allowed him to develop contacts which he could approach, such as call centres. The Plaintiff's evidence was that he thought he could be successful in growing the Foresee business because he could be persistent, and is not afraid of knocking on doors. In particular, he testified that his life experience as a Jehovah's Witness has allowed him to develop the capacity to make cold calls and to not be afraid of, or discouraged by, rejection.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Plaintiff argues that but for the Accident, he would have either replaced his administrative assistant work with an average of 20 hours of computer cleaning work from 2016 to the present ("Option 1"), or he would have continued to work three days a week at Factors Group as an administrative assistant while increasing his computer cleaning hours to between six ("Option 2") and eight ("Option 3") hours per week from the date of the Accident to the present. The Plaintiff argues that both his past and future income earning capacity have been impaired by his injuries resulting from the Accident and that the appropriate methodology for assessing the appropriate level of compensation is the earnings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Plaintiff estimates he would need to complete eight hours of computer cleaning each week in order to clean all of Factors Group's computer workstations four times per year, the maximum number of cleanings permitted by contract entered into between Factors Group and the Plaintiff. The Plaintiff calculated the eight hour figure by multiplying the number of computer workstations (550) by four (quarterly cleanings) and dividing it by six, being the number of computers he says he could clean in an hour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However, the Plaintiff's evidence is that as a result of the Accident, he is unable to complete eight, or even six and a half, hours of computer cleaning per week because his pain prevents him from doing more than three hours of computer cleaning. He testified that he takes pain medication before he begins cleaning. After an hour of cleaning, his pain is between two to three on a ten point pain scale, rising to somewhere between five or six after two to three hours of computer cleaning. When he gets home after cleaning for two or three hours, he needs to rest for two to three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He acknowledges the pain is not debilitating, but he submits the pain has impacted his ability to increase the number of hours of computer cleaning he has the potential to undertake pursuant to the Factors Group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To support his loss of earning capacity claim related to an inability to grow the Foresee business, the Plaintiff relied on the evidence of Dave Praymayer, the principal of PC Computer Cleaning Inc. ("PCCC"), a computer cleaning company based in Calgary. PCCC provides computer cleaning services like those delivered by Foresee, and charges out its services on a piece work basis. Mr. Praymayer has been operating his computer cleaning business since 1990. However, unlike Foresee, PCCC has six employees who perform computer cleaning work and are paid an hourly rate. In Mr. Praymayer's estimation, cleaning a computer workstation takes between 10 to 20 minutes. Mr. Praymayer also provides a two day training course to introduce others to the possibility of computer cleaning. The second day of the program focuses on the business aspects of the course, including how to develop customers which involves finding leads followed by a great deal of "hustle". Mr. Praymayer was of the opinion that Vancouver represents a huge potential for computer cleaning work, and that he would find the opportunity exciting "if he were a younger 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 also relied on the opinion evidence of Kiley Kwak, who was qualified as an expert in occupational therapy specializing in functional capacity evaluation and the treatment of physical, emotional and cognitive barriers to an individual's occupational performance. Ms. Kwak performed functional capacity evaluation of the Plaintiff and prepared a report dated December 5, 2018, in which she concluded the Plaintiff did not have sufficient work tolerance to meet the critical job demands for a four hour work shift as a computer cleaner.</w:t>
      </w:r>
      <w:r>
        <w:rPr>
          <w:rFonts w:ascii="arial" w:eastAsia="arial" w:hAnsi="arial" w:cs="arial"/>
          <w:sz w:val="20"/>
          <w:lang w:val="en-US" w:eastAsia="en-US" w:bidi="ar-SA"/>
        </w:rPr>
        <w:cr/>
      </w:r>
    </w:p>
    <w:p>
      <w:pPr>
        <w:numPr>
          <w:numId w:val="44"/>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Plaintiff acknowledged that he had likely told Dr. Rusu that he could do the same work after the Accident as before the Accident, including an eight hour shift as an administrative assistant followed by an evening of computer cleaning, without worsening of the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At no time before the Accident did the Plaintiff try to increase the number of hours he worked at computer cleaning. When asked why he had not increased his computer cleaning hours to more than three hours per week over the several months prior to the Accident, the Plaintiff testified he thought it would be prudent not to rush into things because the business was in its infancy, he was still experiencing a learning curve, and was unsure about how long the cleaning would take based on the number of workstations and other variables. However, he also acknowledged that between November 2013 and June of 2014, he volunteered with his faith community to assist in planning a three day meeting of Jehovah's Witnesses in Chilliwack, which took a lot of his available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None of the expert medical evidence included recommendations that the Plaintiff reduce the number of hours he worked, either as an administrative assistant or cleaning computers.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Defendant pointed out that the Plaintiff conceded that he had not tried to increase his number of cleaning hours by spreading it over the course of several days. When the Plaintiff began working at Factors Group, his starting salary was $40,000 for a five-day workweek. The Defendant's position is that the Plaintiff's choice to reduce the number of days he worked in 2012 to four days per week, rather than accept a $10,000 increase in salary, demonstrates a lack of motivation and intention to increase his income through increased hours spent at any type of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At the time of the Accident, the Plaintiff was working Tuesdays, Wednesdays, and Fridays as an administrative assistant at Factors Group, and did his computer cleaning at Factors Group on Wednesday evenings. The Plaintiff estimates he was cleaning four to five computer workstations per hour, although he was still working through the computers for the first time. In his estimation, he was working at a slower pace than what he would have gotten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The Plaintiff never worked eight hours per week doing computer cleaning prior to the Accident, but he worked four and a half hours per week. Before the Accident, he was unable to complete a full cycle of cleaning all of the computer workstations. As at the time of trial, it took the Plaintiff on average six months to complete one cycle of cleaning all of the computer workstations, although the number of computer workstations has increased from approximately 300 when the Plaintiff began to operate Foresee in the early part of 2014 to 550 as at the time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also acknowledged his current contract with the Factors Group ends on December 31, 2023. There is uncertainty as to whether the contract would be renewed, given that the Plaintiff's main contact (Mr. Priestly) is older than him and nearing retirement. There is also uncertainty about whether the next manager would renew Foresee's contract. Mr. Priestly's evidence was that likely six months prior to the end of the contract, Factors Group might consider putting the contract out to bid and would check comparable rates for the service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Plaintiff testified that someone has expressed interest in buying the company from him and that he has looked into hiring people because he cannot sustain a pace that would allow him to complete even to full cleaning cycles in one year. However, as at the point of the trial, he had not hired anyone to assist his business. He blamed part of that on his previous experience with subcontractors, and in particular, his experience in business in the 1980s where he was underbid by two of his workers. His evidence was that adding employees was not a complication he intended to add and there were also concerns with respect to quality control.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did some graphic design work in the spring of 2017 once he realized, according to his evidence, that following the Accident, he could not rely on his computer cleaning business for his required level of income. However, he has not undertaken any such work since May 2017 because of his view, it does not provide enough remuneration for the amount of time and effort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To support his claim for loss of income earning capacity, past and future, the Plaintiff relied on the evidence of economist Darren Benning. Mr. Benning prepared two reports. In his first report, Mr. Benning failed to take into account that if the Plaintiff had achieved 20 hours of computer cleaning, he would have stopped working his job as an administrative assistant. In his second report, the number of assumed computer cleaning hours is lower, and Mr. Benning also assumed that the Plaintiff would be working one additional day as an administrative assistant. Further, Mr. Benning did not account for business expenses associated with Foresee business, and was not aware which business costs were fixed and which were variable. This made it difficult for him to do an analysis. He also did not take into account any deduction for business expenses in his calculations.</w:t>
      </w:r>
      <w:r>
        <w:rPr>
          <w:rFonts w:ascii="arial" w:eastAsia="arial" w:hAnsi="arial" w:cs="arial"/>
          <w:sz w:val="20"/>
          <w:lang w:val="en-US" w:eastAsia="en-US" w:bidi="ar-SA"/>
        </w:rPr>
        <w:cr/>
      </w:r>
    </w:p>
    <w:p>
      <w:pPr>
        <w:numPr>
          <w:numId w:val="4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According to the agreed statement of facts, the Accident caused the Plaintiff to miss 13 days of work as an administrative assistant, resulting in a gross past wage loss from Factors Group of $2,600. I am also satisfied, on a balance of probabilities standard, based on the testimony of the Plaintiff, Mrs. Harris and Dr. Rusu, that the Plaintiff's injuries prevented him from doing computer cleaning for one month following the date of the Accident. Based on the computer cleaning invoices issued by Foresee to Factors Group between March 2014 and July 2014, the Plaintiff's average monthly gross income earned from the Foresee computer cleaning business was $1,636.83. Both the Factors Group and the Foresee gross income amounts need to be adjusted for tax and other statutory deductions and, in the case of Foresee, for business related expenses. According to the Agreed Statement of Facts, in 2017 and 2018 Foresee's business expenses were between 20% and 22% of its gross revenue. I assess this aspect of the Plaintiff's loss of past earning capacity to be $3,500.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more difficult aspect of the Plaintiff's claim is that his claim for past and future loss of earning capacity is based on the hypothetical that he was unable to expand his computer cleaning because of the injuries he suffered in the Accident. Beyond the past losses referred to above, in my view, the Plaintiff's earning capacity has not been impaired by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find that the Plaintiff's physical injuries caused by the Accident have not rendered him less capable overall of earning income from all types of employment, less marketable or attractive as an employee to potential employers, or caused him to lose the ability to take advantage of all job opportunities which might otherwise have been open to him had he not been injured. Indeed, the evidence is to the contrary. Mr. Priestly's evidence was that the Plaintiff remains a diligent and productive worker. According to Mr. Priestly, the Plaintiff's administrative assistant work was not impacted at all by the Accident, other than being off work for 13 days. The Plaintiff was provided with accommodations in the form of being allowed to take frequent breaks and working from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2017, the Plaintiff elected to decrease the amount of time he worked as an administrative assistant at Factors Group to four days per week. The Plaintiff could work a fifth day as an administrative assistant, but does not want to work at the additional hours because it would take away time he is otherwise able to spend with his wife. Similarly, the Plaintiff could elect to pursue further graphic design opportunities, but has chosen not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With respect to the Plaintiff's computer cleaning business, Mr. Priestly's evidence was that there would be no adverse consequences to the Plaintiff arising from a failure to complete the cleaning of all of the Factors Group's computer workstations quarterly, and that Factors Group is satisfied as long as the computer cleaning is completed twice a year. The Plaintiff is able to meet that standard.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 am unwilling to place much weight on the evidence of Ms. Kwak. Several of the tests she administered measured physical actions the Plaintiff is not required to perform in his computer cleaning work, such as carrying and neck extension. While these actions may have involved the Plaintiff's overall functional profile, in my view, they do not provide insight into his capacity to perform his computer cleaning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 find several aspects of Ms. Kwak's evidence to be unreliable. For example, in her report, she stated that the Plaintiff did not meet the standard for "stooping", one of the job demands of his computer cleaning work, but later acknowledged in cross-examination that the Plaintiff did meet that standard. Further, while Ms. Kwak's opinion was that the Plaintiff had a reduced functional capacity related to stooping (a conclusion from which she resiled), neck flexion, neck extension and reaching, neck extension is not one of the job demands involved in his computer cleaning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In addition, Ms. Kwak assumed as a fact that prior to the Accident, the Plaintiff's future plans were to grow his computer cleaning business to the point where he was working 40 hours per week, which is contrary to the Plaintiff's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accept that Ms. Kwak was advised by the Plaintiff that he would normally clean for three hours. However, her assessment was based on a four hour shift of computer cleaning. In my view, her opinion regarding the Plaintiff's functional capacity for a shift in excess of three hours is not of great assistance to me, since there was no explanation offered as to why the Plaintiff could not work several three hours shifts over the course of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In addition, I attach little weight to Ms. Kwak's overall opinion that the Plaintiff presents with physical limitations that contribute to a reduced functional capacity, given the Plaintiff's evidence throughout that he can complete all of the tasks associated with both of his income earning positions, but has some pain when he performs computer cleaning work for three hours. In my view, Ms. Kwak's evidence does not support a conclusion that the Plaintiff cannot work more hours of computer cleaning per week. The most generous reading of her opinion is that the Plaintiff cannot fulfil a small number of the job demands related to computer cleaning for four shifts each lasting in excess of four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Several of the Plaintiff's income earning choices support my conclusion that the Plaintiff's earning capacity has not been impaired by his injuries. I find that his choice not to increase his administrative assistant hours to five days per week, or to pursue work in graphic design, neither of which was influenced by his physical condition, both demonstrate a reluctance to increase the overall number of hours he worked. In cross-examination, the Plaintiff acknowledged that increasing the number of hours he worked as an administrative assistant at Factors Group was not a problem, and conceded he could have asked to increase his schedule back to the original five days per week, but did not do so because he did not want to work five days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Further, while the Plaintiff agreed he could have hired someone to do computer cleaning work under his supervision, similar to the model used by PCCC, his evidence was that he chose not to because he did not want that business model, but that was a path available to him. In addition, despite his evidence that he had the capacity to grow his business, the Plaintiff had not taken any steps to grow the number of Foresee's clients prior to the Accident. While his evidence was that he looked into what other similar service providers were available in the lower mainland, he did not follow up on the one lead he had been given. Further, the Plaintiff had not taken any other concrete steps towards growing the Foresee business before the Accident. He had not prepared a formal business plan, or developed a potential client list. Even when the Plaintiff reduced the number of days he worked to three, thinking he would have two days he could start looking for other contracts, he still did not use any of that time to develop his business plan or identify or develop potential additional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Further, the evidence of Mr. Praymayer is that building a sustainable and profitable client base to grow and operate a successful computer cleaning business requires "hustle" and energy. I find that the Plaintiff's age coupled with the fact that he had not taken any steps towards expanding his computer cleaning business prior to the Accident, support my conclusion that it is not a real and substantial possibility that the Plaintiff would have been able to expand the Foresee business but for the Accident. In my view, a real and substantial possibility requires more than the Plaintiff's "hopes" of growing his computer cleaning business. In my opinion, to establish a real and substantial possibility, there must be evidence of both a pre-existing intention and at least some meaningful step taken towards its fulfilment. As set out above, I find the evidence of the Plaintiff on the subject of the expansion of his computer cleaning business to be unreliable. Based on the overall evidence, I am not satisfied the Plaintiff has established the expansion of his computer cleaning business was a real and substantial possibility.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conclusion, I find that the Plaintiff has decided to limit the number of hours that he works, and that his earning capacity has not been impaired by his injuries beyond the 13 days of work as an administrative assistant and the one month of computer cleaning he missed, which I assessed as a loss of $3,500. As a result of my findings, it is not necessary for me to consider the second question involving compensation for resulting financial harm of any additional impairment.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Gao v. Dietrich</w:t>
      </w:r>
      <w:r>
        <w:rPr>
          <w:rFonts w:ascii="arial" w:eastAsia="arial" w:hAnsi="arial" w:cs="arial"/>
          <w:color w:val="000000"/>
          <w:sz w:val="20"/>
          <w:lang w:val="en-US" w:eastAsia="en-US" w:bidi="ar-SA"/>
        </w:rPr>
        <w:t xml:space="preserve">, </w:t>
      </w:r>
      <w:hyperlink r:id="rId503" w:history="1">
        <w:r>
          <w:rPr>
            <w:rFonts w:ascii="arial" w:eastAsia="arial" w:hAnsi="arial" w:cs="arial"/>
            <w:i/>
            <w:color w:val="0077CC"/>
            <w:sz w:val="20"/>
            <w:u w:val="single"/>
            <w:shd w:val="clear" w:color="auto" w:fill="FFFFFF"/>
            <w:lang w:val="en-US" w:eastAsia="en-US" w:bidi="ar-SA"/>
          </w:rPr>
          <w:t>2018 BCCA 372</w:t>
        </w:r>
      </w:hyperlink>
      <w:r>
        <w:rPr>
          <w:rFonts w:ascii="arial" w:eastAsia="arial" w:hAnsi="arial" w:cs="arial"/>
          <w:color w:val="000000"/>
          <w:sz w:val="20"/>
          <w:lang w:val="en-US" w:eastAsia="en-US" w:bidi="ar-SA"/>
        </w:rPr>
        <w:t>, Justice Savage summarized the applicable principles governing the determination of future care costs at paras. 68-70: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[68] An award for damages for cost of future care is based on the principle of restitution. In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241-242, Dickson J., as he then was, explained the purpose of an award for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theory a claim for the cost of future care is a pecuniary claim for the amount which may reasonably be expected to be expended in putting the injured party in a position where he would have been in had he not sustained the injury. Obviously a plaintiff who has been gravely and permanently impaired can never be put in the position he would have been in if the tort had not been committed. To this extent, "</w:t>
      </w:r>
      <w:r>
        <w:rPr>
          <w:rFonts w:ascii="arial" w:eastAsia="arial" w:hAnsi="arial" w:cs="arial"/>
          <w:i/>
          <w:color w:val="000000"/>
          <w:sz w:val="20"/>
          <w:lang w:val="en-US" w:eastAsia="en-US" w:bidi="ar-SA"/>
        </w:rPr>
        <w:t>restitutio in integrum</w:t>
      </w:r>
      <w:r>
        <w:rPr>
          <w:rFonts w:ascii="arial" w:eastAsia="arial" w:hAnsi="arial" w:cs="arial"/>
          <w:color w:val="000000"/>
          <w:sz w:val="20"/>
          <w:lang w:val="en-US" w:eastAsia="en-US" w:bidi="ar-SA"/>
        </w:rPr>
        <w:t>" is not possible. Money is a barren substitute for health and personal happiness but to the extent, within reason, that money can be used to sustain or improve the mental or physical health of the injured person it may properly form part of the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[69] An award for cost of future care is based on what is reasonably necessary, on medical evidence, to promote the mental and physical health of the claimant: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78, aff'd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Aberdeen v. Zanatta</w:t>
      </w:r>
      <w:r>
        <w:rPr>
          <w:rFonts w:ascii="arial" w:eastAsia="arial" w:hAnsi="arial" w:cs="arial"/>
          <w:color w:val="000000"/>
          <w:sz w:val="20"/>
          <w:lang w:val="en-US" w:eastAsia="en-US" w:bidi="ar-SA"/>
        </w:rPr>
        <w:t xml:space="preserve">, at para. </w:t>
      </w:r>
      <w:r>
        <w:rPr>
          <w:rFonts w:ascii="arial" w:eastAsia="arial" w:hAnsi="arial" w:cs="arial"/>
          <w:color w:val="000000"/>
          <w:sz w:val="20"/>
          <w:u w:val="single"/>
          <w:lang w:val="en-US" w:eastAsia="en-US" w:bidi="ar-SA"/>
        </w:rPr>
        <w:t>41</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Gignac v. Insurance Corporation of British Columbia</w:t>
      </w:r>
      <w:r>
        <w:rPr>
          <w:rFonts w:ascii="arial" w:eastAsia="arial" w:hAnsi="arial" w:cs="arial"/>
          <w:color w:val="000000"/>
          <w:sz w:val="20"/>
          <w:lang w:val="en-US" w:eastAsia="en-US" w:bidi="ar-SA"/>
        </w:rPr>
        <w:t xml:space="preserve">, </w:t>
      </w:r>
      <w:hyperlink r:id="rId428" w:history="1">
        <w:r>
          <w:rPr>
            <w:rFonts w:ascii="arial" w:eastAsia="arial" w:hAnsi="arial" w:cs="arial"/>
            <w:i/>
            <w:color w:val="0077CC"/>
            <w:sz w:val="20"/>
            <w:u w:val="single"/>
            <w:shd w:val="clear" w:color="auto" w:fill="FFFFFF"/>
            <w:lang w:val="en-US" w:eastAsia="en-US" w:bidi="ar-SA"/>
          </w:rPr>
          <w:t>2012 BCCA 351</w:t>
        </w:r>
      </w:hyperlink>
      <w:r>
        <w:rPr>
          <w:rFonts w:ascii="arial" w:eastAsia="arial" w:hAnsi="arial" w:cs="arial"/>
          <w:color w:val="000000"/>
          <w:sz w:val="20"/>
          <w:lang w:val="en-US" w:eastAsia="en-US" w:bidi="ar-SA"/>
        </w:rPr>
        <w:t xml:space="preserve"> at para. </w:t>
      </w:r>
      <w:r>
        <w:rPr>
          <w:rFonts w:ascii="arial" w:eastAsia="arial" w:hAnsi="arial" w:cs="arial"/>
          <w:color w:val="000000"/>
          <w:sz w:val="20"/>
          <w:u w:val="single"/>
          <w:lang w:val="en-US" w:eastAsia="en-US" w:bidi="ar-SA"/>
        </w:rPr>
        <w:t>30</w:t>
      </w:r>
      <w:r>
        <w:rPr>
          <w:rFonts w:ascii="arial" w:eastAsia="arial" w:hAnsi="arial" w:cs="arial"/>
          <w:color w:val="000000"/>
          <w:sz w:val="20"/>
          <w:lang w:val="en-US" w:eastAsia="en-US" w:bidi="ar-SA"/>
        </w:rPr>
        <w:t xml:space="preserve">. An award for future care must (1) have medical justification, and (2) be reasonable: </w:t>
      </w:r>
      <w:r>
        <w:rPr>
          <w:rFonts w:ascii="arial" w:eastAsia="arial" w:hAnsi="arial" w:cs="arial"/>
          <w:i/>
          <w:color w:val="000000"/>
          <w:sz w:val="20"/>
          <w:lang w:val="en-US" w:eastAsia="en-US" w:bidi="ar-SA"/>
        </w:rPr>
        <w:t>Milina</w:t>
      </w:r>
      <w:r>
        <w:rPr>
          <w:rFonts w:ascii="arial" w:eastAsia="arial" w:hAnsi="arial" w:cs="arial"/>
          <w:color w:val="000000"/>
          <w:sz w:val="20"/>
          <w:lang w:val="en-US" w:eastAsia="en-US" w:bidi="ar-SA"/>
        </w:rPr>
        <w:t xml:space="preserve"> at 84; </w:t>
      </w:r>
      <w:r>
        <w:rPr>
          <w:rFonts w:ascii="arial" w:eastAsia="arial" w:hAnsi="arial" w:cs="arial"/>
          <w:i/>
          <w:color w:val="000000"/>
          <w:sz w:val="20"/>
          <w:lang w:val="en-US" w:eastAsia="en-US" w:bidi="ar-SA"/>
        </w:rPr>
        <w:t>Aberdeen</w:t>
      </w:r>
      <w:r>
        <w:rPr>
          <w:rFonts w:ascii="arial" w:eastAsia="arial" w:hAnsi="arial" w:cs="arial"/>
          <w:color w:val="000000"/>
          <w:sz w:val="20"/>
          <w:lang w:val="en-US" w:eastAsia="en-US" w:bidi="ar-SA"/>
        </w:rPr>
        <w:t xml:space="preserve"> at para. 42.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[70] In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this Court clarified that the medical necessity of future care costs may be established by a health care professional other than a physician, such as an occupational therapist, if there is a link between a physician's assessment of pain, disability, and recommended treatment, and the health care professional's recommended care item (at para. 39).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Warick v. Diwell</w:t>
      </w:r>
      <w:r>
        <w:rPr>
          <w:rFonts w:ascii="arial" w:eastAsia="arial" w:hAnsi="arial" w:cs="arial"/>
          <w:color w:val="000000"/>
          <w:sz w:val="20"/>
          <w:lang w:val="en-US" w:eastAsia="en-US" w:bidi="ar-SA"/>
        </w:rPr>
        <w:t xml:space="preserve">, </w:t>
      </w:r>
      <w:hyperlink r:id="rId504" w:history="1">
        <w:r>
          <w:rPr>
            <w:rFonts w:ascii="arial" w:eastAsia="arial" w:hAnsi="arial" w:cs="arial"/>
            <w:i/>
            <w:color w:val="0077CC"/>
            <w:sz w:val="20"/>
            <w:u w:val="single"/>
            <w:shd w:val="clear" w:color="auto" w:fill="FFFFFF"/>
            <w:lang w:val="en-US" w:eastAsia="en-US" w:bidi="ar-SA"/>
          </w:rPr>
          <w:t>2017 BCSC 68</w:t>
        </w:r>
      </w:hyperlink>
      <w:r>
        <w:rPr>
          <w:rFonts w:ascii="arial" w:eastAsia="arial" w:hAnsi="arial" w:cs="arial"/>
          <w:color w:val="000000"/>
          <w:sz w:val="20"/>
          <w:lang w:val="en-US" w:eastAsia="en-US" w:bidi="ar-SA"/>
        </w:rPr>
        <w:t xml:space="preserve">, aff'd </w:t>
      </w:r>
      <w:hyperlink r:id="rId505" w:history="1">
        <w:r>
          <w:rPr>
            <w:rFonts w:ascii="arial" w:eastAsia="arial" w:hAnsi="arial" w:cs="arial"/>
            <w:i/>
            <w:color w:val="0077CC"/>
            <w:sz w:val="20"/>
            <w:u w:val="single"/>
            <w:shd w:val="clear" w:color="auto" w:fill="FFFFFF"/>
            <w:lang w:val="en-US" w:eastAsia="en-US" w:bidi="ar-SA"/>
          </w:rPr>
          <w:t>2018 BCCA 53</w:t>
        </w:r>
      </w:hyperlink>
      <w:r>
        <w:rPr>
          <w:rFonts w:ascii="arial" w:eastAsia="arial" w:hAnsi="arial" w:cs="arial"/>
          <w:color w:val="000000"/>
          <w:sz w:val="20"/>
          <w:lang w:val="en-US" w:eastAsia="en-US" w:bidi="ar-SA"/>
        </w:rPr>
        <w:t>, Justice Schultes set out the legal principles that determine an award for the cost of future care: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[202] With respect to the standard of proof to be met, "[a] plaintiff who seeks compensation for future pecuniary loss need not prove on a balance of probabilities ... that she will require future care because of the wrong done to her. If the plaintiff establishes a real and substantial risk of future pecuniary loss, she is entitled to compensation...": </w:t>
      </w:r>
      <w:r>
        <w:rPr>
          <w:rFonts w:ascii="arial" w:eastAsia="arial" w:hAnsi="arial" w:cs="arial"/>
          <w:i/>
          <w:color w:val="000000"/>
          <w:sz w:val="20"/>
          <w:lang w:val="en-US" w:eastAsia="en-US" w:bidi="ar-SA"/>
        </w:rPr>
        <w:t>Graham v. Rourke</w:t>
      </w:r>
      <w:r>
        <w:rPr>
          <w:rFonts w:ascii="arial" w:eastAsia="arial" w:hAnsi="arial" w:cs="arial"/>
          <w:color w:val="000000"/>
          <w:sz w:val="20"/>
          <w:lang w:val="en-US" w:eastAsia="en-US" w:bidi="ar-SA"/>
        </w:rPr>
        <w:t xml:space="preserve"> </w:t>
      </w:r>
      <w:hyperlink r:id="rId225" w:history="1">
        <w:r>
          <w:rPr>
            <w:rFonts w:ascii="arial" w:eastAsia="arial" w:hAnsi="arial" w:cs="arial"/>
            <w:i/>
            <w:color w:val="0077CC"/>
            <w:sz w:val="20"/>
            <w:u w:val="single"/>
            <w:shd w:val="clear" w:color="auto" w:fill="FFFFFF"/>
            <w:lang w:val="en-US" w:eastAsia="en-US" w:bidi="ar-SA"/>
          </w:rPr>
          <w:t>(1990) 74 D.L.R. (4th) 1</w:t>
        </w:r>
      </w:hyperlink>
      <w:r>
        <w:rPr>
          <w:rFonts w:ascii="arial" w:eastAsia="arial" w:hAnsi="arial" w:cs="arial"/>
          <w:color w:val="000000"/>
          <w:sz w:val="20"/>
          <w:lang w:val="en-US" w:eastAsia="en-US" w:bidi="ar-SA"/>
        </w:rPr>
        <w:t xml:space="preserve"> (Ont.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[203] Claims made for future care must be both medically justified and reasonable. An award "should reflect what the evidence establishes is reasonably necessary to preserve the plaintiff's health":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(S.C.) at paras. 199 and 201; aff'd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[204] This requirement of medical justification, as opposed to medical necessity "requires only some evidence that the expense claimed is directly related to the disability arising out of the accident, and is incurred with a view toward ameliorating its impact": </w:t>
      </w:r>
      <w:r>
        <w:rPr>
          <w:rFonts w:ascii="arial" w:eastAsia="arial" w:hAnsi="arial" w:cs="arial"/>
          <w:i/>
          <w:color w:val="000000"/>
          <w:sz w:val="20"/>
          <w:lang w:val="en-US" w:eastAsia="en-US" w:bidi="ar-SA"/>
        </w:rPr>
        <w:t>Harrington v. Sangha</w:t>
      </w:r>
      <w:r>
        <w:rPr>
          <w:rFonts w:ascii="arial" w:eastAsia="arial" w:hAnsi="arial" w:cs="arial"/>
          <w:color w:val="000000"/>
          <w:sz w:val="20"/>
          <w:lang w:val="en-US" w:eastAsia="en-US" w:bidi="ar-SA"/>
        </w:rPr>
        <w:t xml:space="preserve">, </w:t>
      </w:r>
      <w:hyperlink r:id="rId500" w:history="1">
        <w:r>
          <w:rPr>
            <w:rFonts w:ascii="arial" w:eastAsia="arial" w:hAnsi="arial" w:cs="arial"/>
            <w:i/>
            <w:color w:val="0077CC"/>
            <w:sz w:val="20"/>
            <w:u w:val="single"/>
            <w:shd w:val="clear" w:color="auto" w:fill="FFFFFF"/>
            <w:lang w:val="en-US" w:eastAsia="en-US" w:bidi="ar-SA"/>
          </w:rPr>
          <w:t>2011 BCSC 1035</w:t>
        </w:r>
      </w:hyperlink>
      <w:r>
        <w:rPr>
          <w:rFonts w:ascii="arial" w:eastAsia="arial" w:hAnsi="arial" w:cs="arial"/>
          <w:color w:val="000000"/>
          <w:sz w:val="20"/>
          <w:lang w:val="en-US" w:eastAsia="en-US" w:bidi="ar-SA"/>
        </w:rPr>
        <w:t>, at para. 151.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[205] The question has often been framed as being whether a reasonably-minded person of ample means would be ready to incur a particular expense: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at p. 245.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[206] The evidence with respect to the specific care required does not need to be provided by a medical doctor: </w:t>
      </w:r>
      <w:r>
        <w:rPr>
          <w:rFonts w:ascii="arial" w:eastAsia="arial" w:hAnsi="arial" w:cs="arial"/>
          <w:i/>
          <w:color w:val="000000"/>
          <w:sz w:val="20"/>
          <w:lang w:val="en-US" w:eastAsia="en-US" w:bidi="ar-SA"/>
        </w:rPr>
        <w:t>Jacobsen v. Nike Canada Ltd</w:t>
      </w:r>
      <w:r>
        <w:rPr>
          <w:rFonts w:ascii="arial" w:eastAsia="arial" w:hAnsi="arial" w:cs="arial"/>
          <w:color w:val="000000"/>
          <w:sz w:val="20"/>
          <w:lang w:val="en-US" w:eastAsia="en-US" w:bidi="ar-SA"/>
        </w:rPr>
        <w:t xml:space="preserve">. </w:t>
      </w:r>
      <w:hyperlink r:id="rId506" w:history="1">
        <w:r>
          <w:rPr>
            <w:rFonts w:ascii="arial" w:eastAsia="arial" w:hAnsi="arial" w:cs="arial"/>
            <w:i/>
            <w:color w:val="0077CC"/>
            <w:sz w:val="20"/>
            <w:u w:val="single"/>
            <w:shd w:val="clear" w:color="auto" w:fill="FFFFFF"/>
            <w:lang w:val="en-US" w:eastAsia="en-US" w:bidi="ar-SA"/>
          </w:rPr>
          <w:t>(1996), 19 B.C.L.R. (3d) 63</w:t>
        </w:r>
      </w:hyperlink>
      <w:r>
        <w:rPr>
          <w:rFonts w:ascii="arial" w:eastAsia="arial" w:hAnsi="arial" w:cs="arial"/>
          <w:color w:val="000000"/>
          <w:sz w:val="20"/>
          <w:lang w:val="en-US" w:eastAsia="en-US" w:bidi="ar-SA"/>
        </w:rPr>
        <w:t xml:space="preserve">, (S.C.) at para. 182. However, there must be some evidentiary link drawn between the physician's assessment of pain, disability, and recommended treatment and the care recommended by a qualified health care professional: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[207] Damages for the cost of future care are assessed, not mathematically calculated: </w:t>
      </w:r>
      <w:r>
        <w:rPr>
          <w:rFonts w:ascii="arial" w:eastAsia="arial" w:hAnsi="arial" w:cs="arial"/>
          <w:i/>
          <w:color w:val="000000"/>
          <w:sz w:val="20"/>
          <w:lang w:val="en-US" w:eastAsia="en-US" w:bidi="ar-SA"/>
        </w:rPr>
        <w:t>Uhrovic v. Masjhuri</w:t>
      </w:r>
      <w:r>
        <w:rPr>
          <w:rFonts w:ascii="arial" w:eastAsia="arial" w:hAnsi="arial" w:cs="arial"/>
          <w:color w:val="000000"/>
          <w:sz w:val="20"/>
          <w:lang w:val="en-US" w:eastAsia="en-US" w:bidi="ar-SA"/>
        </w:rPr>
        <w:t xml:space="preserve">, </w:t>
      </w:r>
      <w:hyperlink r:id="rId507" w:history="1">
        <w:r>
          <w:rPr>
            <w:rFonts w:ascii="arial" w:eastAsia="arial" w:hAnsi="arial" w:cs="arial"/>
            <w:i/>
            <w:color w:val="0077CC"/>
            <w:sz w:val="20"/>
            <w:u w:val="single"/>
            <w:shd w:val="clear" w:color="auto" w:fill="FFFFFF"/>
            <w:lang w:val="en-US" w:eastAsia="en-US" w:bidi="ar-SA"/>
          </w:rPr>
          <w:t>2008 BCCA 462</w:t>
        </w:r>
      </w:hyperlink>
      <w:r>
        <w:rPr>
          <w:rFonts w:ascii="arial" w:eastAsia="arial" w:hAnsi="arial" w:cs="arial"/>
          <w:color w:val="000000"/>
          <w:sz w:val="20"/>
          <w:lang w:val="en-US" w:eastAsia="en-US" w:bidi="ar-SA"/>
        </w:rPr>
        <w:t xml:space="preserve"> at paras. 28-31. There is an inherent degree of uncertainty and discretion in making such awards. Because awards are made "once and for all" at the time of trial, judges must "peer into the future" and fix the damages "as best they can". This includes allowing contingencies for the possibility that the future may differ from what the evidence at trial indicates: </w:t>
      </w:r>
      <w:r>
        <w:rPr>
          <w:rFonts w:ascii="arial" w:eastAsia="arial" w:hAnsi="arial" w:cs="arial"/>
          <w:i/>
          <w:color w:val="000000"/>
          <w:sz w:val="20"/>
          <w:lang w:val="en-US" w:eastAsia="en-US" w:bidi="ar-SA"/>
        </w:rPr>
        <w:t>Krangle (Guardian ad litem of) v. Brisco</w:t>
      </w:r>
      <w:r>
        <w:rPr>
          <w:rFonts w:ascii="arial" w:eastAsia="arial" w:hAnsi="arial" w:cs="arial"/>
          <w:color w:val="000000"/>
          <w:sz w:val="20"/>
          <w:lang w:val="en-US" w:eastAsia="en-US" w:bidi="ar-SA"/>
        </w:rPr>
        <w:t xml:space="preserve">, </w:t>
      </w:r>
      <w:hyperlink r:id="rId508" w:history="1">
        <w:r>
          <w:rPr>
            <w:rFonts w:ascii="arial" w:eastAsia="arial" w:hAnsi="arial" w:cs="arial"/>
            <w:i/>
            <w:color w:val="0077CC"/>
            <w:sz w:val="20"/>
            <w:u w:val="single"/>
            <w:shd w:val="clear" w:color="auto" w:fill="FFFFFF"/>
            <w:lang w:val="en-US" w:eastAsia="en-US" w:bidi="ar-SA"/>
          </w:rPr>
          <w:t>2002 SCC 9</w:t>
        </w:r>
      </w:hyperlink>
      <w:r>
        <w:rPr>
          <w:rFonts w:ascii="arial" w:eastAsia="arial" w:hAnsi="arial" w:cs="arial"/>
          <w:color w:val="000000"/>
          <w:sz w:val="20"/>
          <w:lang w:val="en-US" w:eastAsia="en-US" w:bidi="ar-SA"/>
        </w:rPr>
        <w:t>, at para. 21.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[208] While no award should be made in relation to an expense that the plaintiff will not actually incur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 the focus of inquiry when a justified item or service was previously unused, is whether it is "likely to be incurred on a going forward basis":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xml:space="preserve"> at para. 251.</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[209] A plaintiff is not entitled to an award for that portion of their costs of future care that will be publicly funded. However, the risk that access to public funds may be lost in future is a proper basis to provide a contingency in the award: </w:t>
      </w:r>
      <w:r>
        <w:rPr>
          <w:rFonts w:ascii="arial" w:eastAsia="arial" w:hAnsi="arial" w:cs="arial"/>
          <w:i/>
          <w:color w:val="000000"/>
          <w:sz w:val="20"/>
          <w:lang w:val="en-US" w:eastAsia="en-US" w:bidi="ar-SA"/>
        </w:rPr>
        <w:t>Boren v. Vancouver Resource Society for the Physically Disabled</w:t>
      </w:r>
      <w:r>
        <w:rPr>
          <w:rFonts w:ascii="arial" w:eastAsia="arial" w:hAnsi="arial" w:cs="arial"/>
          <w:color w:val="000000"/>
          <w:sz w:val="20"/>
          <w:lang w:val="en-US" w:eastAsia="en-US" w:bidi="ar-SA"/>
        </w:rPr>
        <w:t xml:space="preserve">, </w:t>
      </w:r>
      <w:hyperlink r:id="rId510" w:history="1">
        <w:r>
          <w:rPr>
            <w:rFonts w:ascii="arial" w:eastAsia="arial" w:hAnsi="arial" w:cs="arial"/>
            <w:i/>
            <w:color w:val="0077CC"/>
            <w:sz w:val="20"/>
            <w:u w:val="single"/>
            <w:shd w:val="clear" w:color="auto" w:fill="FFFFFF"/>
            <w:lang w:val="en-US" w:eastAsia="en-US" w:bidi="ar-SA"/>
          </w:rPr>
          <w:t>2003 BCCA 388</w:t>
        </w:r>
      </w:hyperlink>
      <w:r>
        <w:rPr>
          <w:rFonts w:ascii="arial" w:eastAsia="arial" w:hAnsi="arial" w:cs="arial"/>
          <w:color w:val="000000"/>
          <w:sz w:val="20"/>
          <w:lang w:val="en-US" w:eastAsia="en-US" w:bidi="ar-SA"/>
        </w:rPr>
        <w:t xml:space="preserve"> at para. 25.)</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1. Position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In this case, the Plaintiff seeks future care costs for treatment he says he would pursue. Ms. Kwak recommended that the Plaintiff undertake massage therapy 12 to 16 times per year. The Plaintiff argues that his history of pursuing massage therapy in the past demonstrates that it is a modality of future care treatment that he would pursue. The Plaintiff testified the cost of massage is $110 per hour, and submitted that, assuming a life expectancy to age 82, a lifetime future amount for massage therapy in the amount of $36,960 should be awarded, based on 14 treatments per year for the next 24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Similarly, the Plaintiff seeks future care costs for physiotherapy treatment recommended by Dr. Day. I note that the Plaintiff's history of attending physiotherapy treatment again demonstrates a willingness to pursue such treatment in the future. The Plaintiff's evidence is that the cost of physiotherapy is $90 per hour. Assuming the same frequency as recommended by Ms. Kwak for massage therapy, the Plaintiff should be entitled to 14 physiotherapy sessions per year, for 24 years for a total of $30,240.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Plaintiff also seeks compensation for future care costs related to pain relief medication [acetaminophen] at a cost of $15 per bottle, at one bottle per month for 24 years, for a total of $4,320. He also seeks compensation for Voltaren ointment at a cost of between five dollars and $20 per tube, and submits that an amount of $5,000 would be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The total cost of the Plaintiff's future care as set out by the Plaintiff totals $76,520. Applying a discount for present value and to account for negative contingencies, the Plaintiff submits that a total figure of $35,000 for his future care costs is 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 Position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Defendant argues the fact that the Plaintiff's last attendance for massage therapy was in January 2017, reflects the fact that this is not a mode of treatment he feels is necessary or is willing to pursue any further. Similarly, the Plaintiff's last attendance at physiotherapy was in June 2016. Therefore, the Defendant submits a damage award for those two categories of future care costs should be denied: </w:t>
      </w:r>
      <w:r>
        <w:rPr>
          <w:rFonts w:ascii="arial" w:eastAsia="arial" w:hAnsi="arial" w:cs="arial"/>
          <w:i/>
          <w:color w:val="000000"/>
          <w:sz w:val="20"/>
          <w:lang w:val="en-US" w:eastAsia="en-US" w:bidi="ar-SA"/>
        </w:rPr>
        <w:t>Izony v. Weidlich</w:t>
      </w:r>
      <w:r>
        <w:rPr>
          <w:rFonts w:ascii="arial" w:eastAsia="arial" w:hAnsi="arial" w:cs="arial"/>
          <w:color w:val="000000"/>
          <w:sz w:val="20"/>
          <w:lang w:val="en-US" w:eastAsia="en-US" w:bidi="ar-SA"/>
        </w:rPr>
        <w:t xml:space="preserve">, </w:t>
      </w:r>
      <w:hyperlink r:id="rId509" w:history="1">
        <w:r>
          <w:rPr>
            <w:rFonts w:ascii="arial" w:eastAsia="arial" w:hAnsi="arial" w:cs="arial"/>
            <w:i/>
            <w:color w:val="0077CC"/>
            <w:sz w:val="20"/>
            <w:u w:val="single"/>
            <w:shd w:val="clear" w:color="auto" w:fill="FFFFFF"/>
            <w:lang w:val="en-US" w:eastAsia="en-US" w:bidi="ar-SA"/>
          </w:rPr>
          <w:t>2006 BCSC 1315</w:t>
        </w:r>
      </w:hyperlink>
      <w:r>
        <w:rPr>
          <w:rFonts w:ascii="arial" w:eastAsia="arial" w:hAnsi="arial" w:cs="arial"/>
          <w:color w:val="000000"/>
          <w:sz w:val="20"/>
          <w:lang w:val="en-US" w:eastAsia="en-US" w:bidi="ar-SA"/>
        </w:rPr>
        <w:t xml:space="preserve"> at para. 74.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3. Analysis and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Although the Plaintiff's counsel argued that the evidence given by the Plaintiff regarding his strained financial situation was the reason the Plaintiff had discontinued both massage therapy and physiotherapy, it was conceded that that was not the reason given by the Plaintiff for terminating both forms of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Nonetheless, in my view, the evidence establishes that there is a real and substantial risk of future pecuniary loss related to both massage therapy and physiotherapy. The Plaintiff has demonstrated that while he has discontinued both physiotherapy and massage therapy on several occasions in the past when he felt it was not necessary, he has been willing to recommence those forms of treatment when his symptoms are exacerbated.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In my view, it is a real and substantial risk that the Plaintiff's ongoing physical injury may become exacerbated in the future such that a return to massage therapy and physiotherapy will be warranted and pursued. I also agree that there is a real and substantial risk that the Plaintiff will require both Voltaren and acetaminophen into the future and that the costs set out by the Plaintiff, including the discount applied for negative contingencies, is a reasonable estimate. Therefore, I agree with the Plaintiff's assessment of the quantum of pecuniary loss for the Plaintiff's future care and I award $35,000 for this head of damages in the circumstances of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Plaintiff's special damages were agreed to be $2,114.41.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IX.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In summary and conclusion, I award $110,000 in non-pecuniary damages. I award $35,000 for the Plaintiff's contingent costs of future care. I award $2,114.41 in special damages. I award $3,500 for past loss of earning capacity. I make no award of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xml:space="preserve">  I find the Plaintiff was the substantially successful party and he would normally be entitled to his costs. Absent any further submissions from the parties respecting costs, costs are awarded to the Plaintiff to be assessed under Scale B of Appendix B to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Should either party wish to apply for a different disposition of costs, that party is at liberty to file and serve written submissions, limited to five pages, within 30 days of this judgment. The other party is entitled to respond by filing and serving written submissions, limited to two pages, within 15 days of receiving the other party's submissions.</w:t>
      </w:r>
      <w:r>
        <w:rPr>
          <w:rFonts w:ascii="arial" w:eastAsia="arial" w:hAnsi="arial" w:cs="arial"/>
          <w:sz w:val="20"/>
          <w:lang w:val="en-US" w:eastAsia="en-US" w:bidi="ar-SA"/>
        </w:rPr>
        <w:cr/>
      </w:r>
    </w:p>
    <w:p>
      <w:pPr>
        <w:numPr>
          <w:numId w:val="46"/>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JACKSON J.</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1" style="position:absolute;z-index:2518691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11"/>
          <w:headerReference w:type="default" r:id="rId512"/>
          <w:footerReference w:type="even" r:id="rId513"/>
          <w:footerReference w:type="default" r:id="rId514"/>
          <w:headerReference w:type="first" r:id="rId515"/>
          <w:footerReference w:type="first" r:id="rId51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17" w:history="1">
        <w:r>
          <w:rPr>
            <w:rFonts w:ascii="arial" w:eastAsia="arial" w:hAnsi="arial" w:cs="arial"/>
            <w:b/>
            <w:bCs/>
            <w:i/>
            <w:color w:val="0077CC"/>
            <w:kern w:val="32"/>
            <w:sz w:val="28"/>
            <w:szCs w:val="32"/>
            <w:u w:val="single"/>
            <w:shd w:val="clear" w:color="auto" w:fill="FFFFFF"/>
            <w:lang w:val="en-US" w:eastAsia="en-US" w:bidi="ar-SA"/>
          </w:rPr>
          <w:t>La Porte v. Earl, [2016] B.C.J. No. 2604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R.J. Sewell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30-31, June 1-3 and 6-9,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M137654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2604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18" w:history="1">
        <w:r>
          <w:rPr>
            <w:rFonts w:ascii="arial" w:eastAsia="arial" w:hAnsi="arial" w:cs="arial"/>
            <w:i/>
            <w:color w:val="0077CC"/>
            <w:sz w:val="20"/>
            <w:u w:val="single"/>
            <w:shd w:val="clear" w:color="auto" w:fill="FFFFFF"/>
            <w:lang w:val="en-US" w:eastAsia="en-US" w:bidi="ar-SA"/>
          </w:rPr>
          <w:t>2016 BCSC 2298</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Cheryle Earlene La Porte, Plaintiff, and Clayton Aaron Earl and Lana Marion McRae,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(150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2" style="position:absolute;z-index:251669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1" w:name="Keywords_10"/>
      <w:bookmarkEnd w:id="71"/>
      <w:r>
        <w:rPr>
          <w:rFonts w:ascii="arial" w:eastAsia="arial" w:hAnsi="arial" w:cs="arial"/>
          <w:b/>
          <w:color w:val="000000"/>
          <w:sz w:val="20"/>
          <w:lang w:val="en-US" w:eastAsia="en-US" w:bidi="ar-SA"/>
        </w:rPr>
        <w:t>Damages — Physical and psychological injuries — Physical injuries — Soft tissue — Psychological injuries — Cognitive impairment — Depression — Considerations impacting on award — Mitigation — Credibility — Action for personal injury damages allowed in part — Then-59-year-old plaintiff sustained soft tissue injuries but returned to employment as bus driver until September 2012 when she experienced breakdown, and had not worked since — Plaintiff's medical evidence accepted to extent she had chronic depression and anxiety caused by accident, but cognitive impairment not caused by accident — Plaintiff awarded $120,000 non-pecuniary loss — But for accident, plaintiff would have worked until 65th birthday, so $220,000 past wage loss but no future loss — Plaintiff awarded $7,000 for future care and $2,150 special damages — No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Pre-existing medical conditions — Cost of future care — Special damages — Past loss of income — Expenses and expenditures — Non-pecuniary loss — Pain and suffering — Affecting social relationships — Action for personal injury damages allowed in part — Then-59-year-old plaintiff sustained soft tissue injuries but returned to employment as bus driver until September 2012 when she experienced breakdown, and had not worked since — Plaintiff's medical evidence accepted to extent she had chronic depression and anxiety caused by accident, but cognitive impairment not caused by accident — Plaintiff awarded $120,000 non-pecuniary loss — But for accident, plaintiff would have worked until 65th birthday, so $220,000 past wage loss but no future loss — Plaintiff awarded $7,000 for future care and $2,150 special damages — No failure to mitigate.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2" w:name="Case Summary_10"/>
            <w:bookmarkEnd w:id="7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personal injuries sustained in a motor vehicle accident. The then-59-year-old plaintiff was turning left into her driveway, when the defendant tried to pass on the left, struck the plaintiff's vehicle and pushed it into oncoming traffic. The plaintiff was shaken after the accident and then started to experienced pain in her right shoulder, back and neck. The plaintiff was diagnosed with soft tissue injuries. The plaintiff returned to her employment, as a bus driver for persons with mobility issues, after the weekend. The job was physically demanding, especially during the winter. The plaintiff continued in full-time work for a year after the accident, then took a two-week stress leave, returned to work for nine months and then had what she described as a breakdown at work. The plaintiff testified she was unable to deal with the demands of the job and helping clients in the face of her own struggles, and had to lie down on the bus. The plaintiff went home, went on long-term disability and had not worked since. She currently lived with her son and his family and was now 65 years old. The defendants admitted liability and accepted that the plaintiff suffered soft tissue injuries that largely resolved within a short period of time. The defendants disputed the accident caused any psychological injury. The plaintiff claimed the accident caused serious psychological injuries that profoundly affected her life and rendered her unemployable. The opinion evidence was diametrically opposed: the plaintiff's doctors opined she suffered a psychological condition caused by the accident and attributed her loss of employment to her injuries. The defendants' psychiatrist opined the plaintiff was psychologically healthy.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73" w:name="Holdings of Court_9"/>
            <w:bookmarkEnd w:id="73"/>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tried to be truthful and did not exaggerate, but had very poor memory that was consistent with cognitive impairment. It was accepted that the plaintiff found the physical demands of her job very challenging because of her injuries from the accident, but was motivated to work through them. The plaintiff's evidence of her post-accident condition was corroborated by her daughter and employer. The consensus of medical practitioners was that the plaintiff's physical injuries alone would not have prevented her from working, so the psychological claim was critical. The plaintiff's psychiatrists diagnosed her with moderate depression, general anxiety disorder and cognitive impairment. The defence psychiatrist opined the plaintiff was psychologically healthy because she was able to function well. No weight was given to his report because it lacked objectivity, he did not address the interrelationship between pain and anxiety, he portrayed her as having no issues at work prior to her last day, he did not fairly and accurately paraphrase the reports of other doctors, and displayed animus towards the plaintiff. The plaintiff's medical evidence was accepted to the extent it concluded her depression and anxiety were caused by the accident, but it was not accepted that her cognitive impairment was caused by the accident. The plaintiff did not sustain a brain injury and no explanation was provided for how depression and anxiety could cause the cognitive impairment. The plaintiff was likely experiencing early dementia, unrelated to the accident. The plaintiff would have been able to work longer than September 2012 but for the accident, but her cognitive impairment meant she would not have been capable of working past her 65th birthday. The plaintiff's injuries significantly impacted her quality of life and she was awarded $120,000 non-pecuniary damages. The plaintiff was awarded $220,000 for past wage loss up to her 65th birthday. The plaintiff would not have been able to work past age 65 so there was no future loss of earnings. The plaintiff would require physiotherapy, cognitive behavioural therapy and some medication, so was awarded $7,000 for future care. The parties agreed to $2,159 for special damages. The defendant sought a reduction for failure to mitigate given the plaintiff had stopped taking medication at times. However, the defendants led no evidence that taking medication throughout would have reduced the plaintiff's damages. The medication helped the plaintiff's mood and sleep, and this relief was accounted for in the non-pecuniary loss claim, but did not provide a cure. The total award, rounded, was $350,000.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74" w:name="Legislation Cited_6"/>
      <w:bookmarkEnd w:id="7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3" style="position:absolute;z-index:2517207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Insurance (Vehicle) Act, </w:t>
      </w:r>
      <w:hyperlink r:id="rId519" w:history="1">
        <w:r>
          <w:rPr>
            <w:rFonts w:ascii="arial" w:eastAsia="arial" w:hAnsi="arial" w:cs="arial"/>
            <w:i/>
            <w:color w:val="0077CC"/>
            <w:sz w:val="20"/>
            <w:u w:val="single"/>
            <w:shd w:val="clear" w:color="auto" w:fill="FFFFFF"/>
            <w:lang w:val="en-US" w:eastAsia="en-US" w:bidi="ar-SA"/>
          </w:rPr>
          <w:t>R.S.B.C. 1996, c. 231, s. 98</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75" w:name="Counsel_10"/>
      <w:bookmarkEnd w:id="7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4" style="position:absolute;z-index:2517719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P.F. Buxton, Q.C., B.C. Hirsch.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V. Anderson, K.S. Johal.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76" w:name="Judgment_10"/>
      <w:bookmarkEnd w:id="76"/>
      <w:r>
        <w:pict>
          <v:line id="_x0000_s1085" style="position:absolute;z-index:25182310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LA PORTE'S PRE-ACCIDENT CONDITION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POST-ACCIDENT EVENTS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WITNESS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LA PORTE'S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MS. LA PORTE'S PHYSICAL INJURIES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THE PSYCHIATRIC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of Dr. Kehinde Oluyede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of Dr. Raymond Ancill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Evidence of Dr. Alexander Levin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Weight Given to Dr. Ancill's Report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Conclusions Regarding Psychiatric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EVIDENCE OF OCCUPATIONAL REQUIREMENTS</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Past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Loss of Future Income Earning Capacity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Cost of Future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SUMMARY OF DAMAGES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77" w:name="R.J. SEWELL J"/>
            <w:bookmarkEnd w:id="77"/>
            <w:r>
              <w:rPr>
                <w:rFonts w:ascii="arial" w:eastAsia="arial" w:hAnsi="arial" w:cs="arial"/>
                <w:b/>
                <w:color w:val="000000"/>
                <w:sz w:val="30"/>
                <w:lang w:val="en-US" w:eastAsia="en-US" w:bidi="ar-SA"/>
              </w:rPr>
              <w:t>R.J. SEWELL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Cheryle Earlene La Porte was injured in a motor vehicle accident on December 9, 2010 (the "Accident"). Ms. La Porte was turning into the driveway of her new home on 93rd Avenue in Fort St. John, British Columbia, when her car was struck by a Ford F350 pickup truck owned by the defendant Lana Marion McRae and driven by the defendant Clayton Aaron Earl. The defendants have admitted that they are responsible for the Accident and liable for any damages that Ms. La Porte suffered as a result of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Ms. La Porte's position is that the Accident caused her serious physical and psychological injuries that have profoundly affected her quality of life and rendered her unemployable.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admit that Ms. La Porte suffered physical injuries in the Accident. However, they dispute Ms. La Porte's claim that she suffered serious and debilitating psychological injuries. Their position is that Ms. La Porte suffered moderate soft tissue injuries that largely resolved themselves within a short period of time after the Accident and that Ms. La Porte left her employment for reasons that have nothing to do with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I have decided that Ms. La Porte did suffer psychological injuries as a result of the Accident and is entitled to substantial damages, including compensation for 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La Porte was born in Saskatchewan in January 1951, and was 59 years old at the time of the Accident. She has not had an easy life. She was one of ten children. Her family moved to Fort St. John when she was a child. It then moved to Williams Lake for a time and returned to Fort St. John when Ms. La Porte was 15 years old. She left school in grade 11 to marry and had her first child at age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Ms. La Porte and her husband have six children. For a time they lived in Stewart, British Columbia, then moved back to Fort St. John. In 1987, the family moved to Grand Prairie, Alberta where her sixth and youngest child was born. After 20 years of marriage Ms. La Porte and her husband separated, but for religious reasons did not divorce, and Ms. La Porte moved to the Lower Mainland. In the 1990s, she took classes in early childhood education but did not pursue a career in that occupation. While living in the Lower Mainland she was on social assistance for a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early 1990s, Ms. La Porte lived in Vernon, British Columbia with four of her children. She studied to qualify to run a licensed daycare facility, but did not pursue that occupation. She attended Trend College in Kelowna, British Columbia, and took courses in computers and retail automobile insurance in the hope that she could work in insurance. She was not able to secure employment in those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In or about 1996, Ms. La Porte returned to Fort St. John and worked briefly placing advertising leaflets in stores. She obtained a Class 2 driver's licence and provincial air brake endorsement in 2002. She worked for Nordbo Services as a school bus driver in Fort St. John for two years beginning in 2002. During that time she also drove a regular transit bus. In 2004, Nordbo was purchased by Peace Transit, a division of Diversified Transit, and Ms. La Porte began to drive a HandyDart bus for that company.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La Porte enjoyed driving a HandyDart. It provided her with steady employment and did not require her to work shifts. She also enjoyed contact with the clients of the HandyDart service.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In or about 2004, Ms. La Porte began a second job operating a janitorial company with the assistance of her daughter Alayna Vasquez. At first she earned little income from this venture and in some years had an operating loss. However, from 2010 to 2013 she earned a modest supplementary income from the janitorial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2010 Ms. La Porte purchased a house in Fort St. John. Her plan was to move into the main floor of the house and rent the furnished basement to her daughter and son-in-law and their two children. She took possession of the house one week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Unfortunately, after the Accident, Ms. La Porte discovered that there was mold in the basement of her house. This added an additional financial burden on her. In 2013 she sold the house and moved into an apartment. She was unable to afford the rent on that apartment and in May 2014 moved to live with one of her sons and his family in a house in Charlie Lake, near Fort St. John. At the time of trial she was still residing with her son's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La Porte's Pre-Accident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La Porte testified about her life before the Accident. Her daughter, Ms. Vasquez, and her co-workers, Shelley Lindaas and Harold Westwood, gave evidence comparing her before and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Ms. La Porte was active in her church prior to the Accident. She obviously obtained great satisfaction from her job driving the HandyDart. She worked a regular shift from 8:00 a.m. to 5:00 p.m. from Monday to Friday. While much of her job consisted of driving she also had to assist her passengers, who all had mobility challenges of some sort, to board the HandyDart and to reach their final destinations. Many of her passengers used wheelchairs or walkers that Ms. La Porte was responsible for loading and securing in the vehicle. This part of her job required some degree of physical strength and involved a considerable amount of bending. Her job was particularly challenging in the long winters in Fort St. John, when she had to contend with ice and snow.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La Porte testified that she had no major health or psychological problems prior to the Accident. She was happy in her work and was looking forward to moving into her new home with her daughter, son-in-law and their two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addition to working full time as a driver from 2004 to 2011, Ms. La Porte worked in the janitorial business in the evenings. Before the Accident she participated fully in the physical work of washing floors and windows, and cleaning bathrooms. Her daughter described her as an efficient hard worker who did the floors and helped to clean the bathrooms. Ms. La Porte also ran the business, purchased supplies and managed the financial affairs of the business, which was a sole proprietorship. As I understand it, her daughter was paid roughly one-half of the profits of the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Vasquez described her mother before the Accident as being very energetic, happy and "on the go". She said Ms. La Porte was very social and was always there for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Lindaas confirmed the physical demands of operating a HandyDart. She described the HandyDart driver as providing a door-to-door service. The driver went to the door of the residence of her passengers, and assisted them to and onboard the bus. She also confirmed that the work was harder in the wintertime because of the weather conditions, and because more clients used the service in inclement weather.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Lindaas described Ms. La Porte as a very conscientious person who got on well with her passengers and whose passengers expressed affection towards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Westwood was Ms. La Porte's supervisor. He described her as an excellent, valued employee who was well-liked by her co-workers and other drivers. He confirmed that Ms. La Porte received a companywide service award in 2012, based on her previous five years of service. The winners of this award were chosen by their fellow employees.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Accident occurred at about 8:30 in the morning on December 9, 2010. Ms. La Porte was turning left into the driveway of her new home when the defendants' pickup truck tried to pass her on the left. The right front of the truck struck the left front quarter of Ms. La Porte's Honda SUV. The truck was not seriously damaged but there was considerable damage to the front fender and bumper of the Honda. The force of the collision pushed the Honda past the driveway and it came to rest across the oncoming lanes of traffic. Ms. La Porte was unable to steer her car when it stopped. She testified that she was frightened and concerned that oncoming traffic would hit her vehicle. She got out of her vehicle as soon as it stopped and went into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Ms. La Porte testified that she was anxious and frightened when she went into the house and was "talking a mile a minute" when she told her daughter about the Accident. Ms. Vasquez testified that her mother was not making a lot of sense when she spoke to her. Ms. Vasquez said that Ms. La Porte was shaking and crying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La Porte did not call an ambulance and did not note any physical symptoms immediately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Post-Accident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Later that morning, Ms. La Porte began to feel a pulling sensation from her neck into her right shoulder and pain in her mid-back. She said that it felt like something had been pulled. As the morning progressed her neck tensed up. She took some Advil for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Around noon, Ms. Vasquez took Ms. La Porte to the emergency ward of the Fort St. John Hospital where she was examined by Dr. Parker. On that day Ms. La Porte said she felt about the same at the hospital, but also felt soreness from her right hip down to her knee. Dr. Parker described the symptoms reported by Ms. La Porte as pain in her mid-back just below her shoulder blades, as well as pain in her shoulders and knees. Dr. Parker ordered x-rays of Ms. La Porte's thoracic spine, which did not show any trauma. After reviewing the x-rays and completing a physical examination, Dr. Parker concluded that Ms. La Porte had suffered soft tissue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Parker saw Ms. La Porte for a follow-up visit on December 13, 2010. At that time Ms. La Porte reported a more generalized achiness, with her pain primarily centered in her right shoulder and lumbar spine. Further x-rays did not disclose structural damage to those regions of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After the initial follow-up, Dr. Parker saw Ms. La Porte in January, February and May 2011, and for a medical legal report on October 20,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Accident occurred on a Thursday. Ms. La Porte did not work that day or the following Friday. She had weekends off, so did not work on Saturday or Sunday. She did, however, return to work on Monday, December 13, 2010 and continued to work on a full-time basis until on or about December 5, 2011, when she got a note from Dr. Parker to take two weeks off. Dr. Parker's clinical records indicated that Ms. La Porte should take two weeks off for stress leave. She described Ms. La Porte as being tearful and anxious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Ms. La Porte returned to work after her two-week leave and continued to work until September 5, 2012. Her evidence is that during the period between the date of the Accident and September 2012 she continued to experience pain. Many of the symptoms she had after the Accident resolved themselves, but the pain in her right shoulder and right lower back became chronic and continued intermittently up to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La Porte testified that she found meeting the demands of being a HandyDart driver increasingly difficult after the Accident. She says that she had to continue working to meet her financial obligations. She also says she was motivated to get better and wanted to keep her job as long as she could. She says, however, that she had particular difficulties in meeting the physical demands of helping patients with mobility difficulties. These problems were particularly acute in the winter months because of the effort required to cope with moving wheelchairs in the snowy conditions that are frequently encountered in Fort St. John.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La Porte testified that as soon as she returned to work in December 2010 she had pain and difficulties with her right shoulder and leg. She said that these difficulties got worse day by day. She had particular difficulty pushing wheelchairs and lifting her passengers' walkers. As indicated above, she continued to see Dr. Parker, who became her family doctor. In the course of 2011, she noticed that she became less compassionate and less patient with her passengers. She started to dread dealing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These problems became more pronounced later in 2011 and led to her taking two weeks off work in December. When she went back to work, things did not improve and she continued to have pain in her right arm and hip. In her words, "I felt like I was really losing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Ms. La Porte said that she managed her job in the spring and summer of 2012 because of lower passenger loads in that period. However, by September she was again having trouble coping with the physical and emotional demands of her job. On or about September 5, 2012, she had what she described as a breakdown at work. She started her shift, but at some point in the day when she was on her way to pick up passengers she became extremely fatigued and felt drained. She was unable to remember why, but said she felt stressed and had to go to the back of the HandyDart bus and lie down. Some of her co-workers saw her and told her to go back to the depot and that they would cover her route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When Ms. La Porte went back to the depot she spoke to her supervisor who told her to go home. Subsequently she was placed on long-term disability. She has not worked as a driver since that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addition to working at Peace Transit, Ms. La Porte operated the janitorial business in Fort St. John. My impression from her evidence is that she primarily set up this business to provide an employment opportunity for Ms. Vasquez. She testified that within a year of the Accident she no longer did any of the cleaning or janitorial work herself, but continued to provide cleaning supplies and supervised the work. There is no evidence that the janitorial business was terminated as a result of the Accident. The business was discontinued when Ms. Vasquez moved to Grand Prairie in March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cross-examination, Ms. La Porte acknowledged that she had applied for Employment Insurance in 2012, and received long-term disability payments from Sun Life beginning in 2013 and continuing until she reached the age of 65. </w:t>
      </w:r>
      <w:r>
        <w:rPr>
          <w:rFonts w:ascii="arial" w:eastAsia="arial" w:hAnsi="arial" w:cs="arial"/>
          <w:b/>
          <w:color w:val="000000"/>
          <w:sz w:val="20"/>
          <w:lang w:val="en-US" w:eastAsia="en-US" w:bidi="ar-SA"/>
        </w:rPr>
        <w:t>Witness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this case the opinion evidence of the medical experts is diametrically opposed. The difference of opinion among the doctors is due in part to a disagreement about Ms. La Porte's post-accident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plaintiff's doctors are all of the view that she suffers from psychiatric conditions that were caused or significantly contributed to by the Accident. They attribute her loss of employment to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defendants' psychiatrist, Dr. Levin, is of the opinion that Ms. La Porte does not suffer from any psychiatric illnesses at all. In his opinion, from a psychiatric perspective she is a healthy, resilient individual. Dr. Levin's report is extremely critical of the reports of the plaintiff's psychiatrists. It suggests they have used outdated and inappropriate methods in diagnosing Ms. La Porte and that one of her doctors, Dr. Oluyede, misprescribed medications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Dr. Levin's account of Ms. La Porte's mental state also differs from her evidence on that subject. For this reason and because the diagnosis of mental conditions depends heavily on a patient's self-reporting of symptoms, Ms. La Porte's credibility and reliability as a witness are of central importance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La Porte's Credibility and Reliability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found Ms. La Porte to be an honest witness who genuinely tried to answer the questions put to her truthfully. However, it was obvious to me, and conceded by her counsel in written argument, that she has a very poor memory. She was unable to remember and often confused the dates on which events occurred. She had difficulty remembering the names of the doctors she had seen for independent medical examinations in these proceedings. In my view, her memory problems went well beyond mere forgetfulness and were more consistent with some degree of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As a result, Ms. La Porte was an unreliable reporter of when events occurred or of details of recollections. However, I did not detect any effort on her part to be evasive or misleading in her evidence. In my view she made no effort to exaggerate her symptoms. My impression was that she was somewhat stoical. I accept Ms. La Porte's evidence about her pre-accident condition and her physical and emotional health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am satisfied that Ms. La Porte found the physical demands of her job to be increasingly challenging over the period she continued to work after the Accident. I also accept that she felt anxious about her financial situation and that motivated her to continue working, even though work increased the pain and discomfort she experienced from her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La Porte's evidence with respect to her post-accident condition was confirmed by the evidence of her daughter, Ms. Lindaas, and by Mr. Westwood.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Ms. Vasquez testified that after the Accident Ms. La Porte was no longer able to cope with the physical demands of the janitorial business. There were times she was shaking and crying at work. Ms. Vasquez's husband was called upon to do much of the physical work Ms. La Porte had formerly done. She also testified that her mother had prepared the invoices for the business before the Accident, but afterwards seemed to be frustrated by that task. Ms. Vasquez continued the janitorial business until 2014, when she moved to Grand Prairie. Ms. La Porte continued to receive half of the profits from the business until it ceased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Lindaas testified that after the Accident Ms. La Porte appeared to be struggling at her job. She asked for time off to see her doctor and complained about soreness from her duties. Ms. Lindaas prepared a note on January 5, 2011 recording that Ms. La Porte reported shoulder, arm and wrist problems while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Westwood testified that he felt Ms. La Porte was struggling at her job after she returned to work following the Accident. He said he felt she was trying to do her best, but it was different for her after the Accident. He confirmed that she asked for time off to see her doctors about her complaints. His recollection is that Ms. La Porte reported work-related problems with her wrist and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principal issue in this case is whether the injuries that Ms. La Porte suffered, caused or materially contributed to a development of psychiatric illness and whether those injuries are a cause of her loss of employment after September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The legal test for causation of loss is well settled. The onus is on Ms. La Porte to prove on a balance of probabilities that there is a substantial connection between the damages caused by the defendants and any loss she claims. The test is succinctly summarized in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To justify compensation for his disabling pain, the plaintiff must establish a causal connection between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that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 The general test for causation, established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is the "but for" test: "but for" the accident, would the plaintiff have suffered the disabling pain?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the Court also stated that a plaintiff need not establish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injury. If there are other potential non-tortious causes, such as the plaintiff's spinal degeneration in this case, the defendant will still be found liable if the plaintiff can prove the accident caused or materially contributed to the disabling pain, beyond the </w:t>
      </w:r>
      <w:r>
        <w:rPr>
          <w:rFonts w:ascii="arial" w:eastAsia="arial" w:hAnsi="arial" w:cs="arial"/>
          <w:i/>
          <w:color w:val="000000"/>
          <w:sz w:val="20"/>
          <w:lang w:val="en-US" w:eastAsia="en-US" w:bidi="ar-SA"/>
        </w:rPr>
        <w:t>de minimu</w:t>
      </w:r>
      <w:r>
        <w:rPr>
          <w:rFonts w:ascii="arial" w:eastAsia="arial" w:hAnsi="arial" w:cs="arial"/>
          <w:color w:val="000000"/>
          <w:sz w:val="20"/>
          <w:lang w:val="en-US" w:eastAsia="en-US" w:bidi="ar-SA"/>
        </w:rPr>
        <w:t>s range.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1 S.C.R. 333, the Supreme Court affirmed the "but for" test remains the basic test for determining causation, but developed the concept of "material contribution" in a different manner than that used in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formulating a "material contribution" test as an exception to the "but for" test, a matter that is not relevant to this appeal. The Court replaced the </w:t>
      </w:r>
      <w:r>
        <w:rPr>
          <w:rFonts w:ascii="arial" w:eastAsia="arial" w:hAnsi="arial" w:cs="arial"/>
          <w:i/>
          <w:color w:val="000000"/>
          <w:sz w:val="20"/>
          <w:lang w:val="en-US" w:eastAsia="en-US" w:bidi="ar-SA"/>
        </w:rPr>
        <w:t>Athey</w:t>
      </w:r>
      <w:r>
        <w:rPr>
          <w:rFonts w:ascii="arial" w:eastAsia="arial" w:hAnsi="arial" w:cs="arial"/>
          <w:color w:val="000000"/>
          <w:sz w:val="20"/>
          <w:lang w:val="en-US" w:eastAsia="en-US" w:bidi="ar-SA"/>
        </w:rPr>
        <w:t xml:space="preserve"> definition of "material contribution" to the plaintiff's injury with the concept of "a substantial connection" between the injury and the defendant's conduct. These developments were usefully summarized by Mr. Justice Smith, writing for the majority, in </w:t>
      </w:r>
      <w:r>
        <w:rPr>
          <w:rFonts w:ascii="arial" w:eastAsia="arial" w:hAnsi="arial" w:cs="arial"/>
          <w:i/>
          <w:color w:val="000000"/>
          <w:sz w:val="20"/>
          <w:lang w:val="en-US" w:eastAsia="en-US" w:bidi="ar-SA"/>
        </w:rPr>
        <w:t>Sam v. Wilson</w:t>
      </w:r>
      <w:r>
        <w:rPr>
          <w:rFonts w:ascii="arial" w:eastAsia="arial" w:hAnsi="arial" w:cs="arial"/>
          <w:color w:val="000000"/>
          <w:sz w:val="20"/>
          <w:lang w:val="en-US" w:eastAsia="en-US" w:bidi="ar-SA"/>
        </w:rPr>
        <w:t xml:space="preserve">, </w:t>
      </w:r>
      <w:hyperlink r:id="rId522" w:history="1">
        <w:r>
          <w:rPr>
            <w:rFonts w:ascii="arial" w:eastAsia="arial" w:hAnsi="arial" w:cs="arial"/>
            <w:i/>
            <w:color w:val="0077CC"/>
            <w:sz w:val="20"/>
            <w:u w:val="single"/>
            <w:shd w:val="clear" w:color="auto" w:fill="FFFFFF"/>
            <w:lang w:val="en-US" w:eastAsia="en-US" w:bidi="ar-SA"/>
          </w:rPr>
          <w:t>2007 BCCA 622</w:t>
        </w:r>
      </w:hyperlink>
      <w:r>
        <w:rPr>
          <w:rFonts w:ascii="arial" w:eastAsia="arial" w:hAnsi="arial" w:cs="arial"/>
          <w:color w:val="000000"/>
          <w:sz w:val="20"/>
          <w:lang w:val="en-US" w:eastAsia="en-US" w:bidi="ar-SA"/>
        </w:rPr>
        <w:t xml:space="preserve"> at para. 109:</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"Material contribution", as that phrase was used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is synonymous with "substantial connection", as that phrase was used by McLachlin C.J.C. above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This causal yardstick should not be confused with the "material contribution test". As McLachlin C.J.C. explained in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at paras. 24 - 29, the "material contribution test" applies as an exception to the "but for" test of causation when it is impossible for the plaintiff to prove that the defendant's negligent conduct caused the plaintiff's injury using the "but for" test, where it is clear that the defendant breached a duty of care owed the plaintiff thereby exposing the plaintiff to an unreasonable risk of injury, and where the plaintiff's injury falls within the ambit of the risk.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Thus, in applying the "but for" test, the trial judge was required to consider not just whether the defendant's conduct was the sole cause of the plaintiff's disabling pain, but also whether the plaintiff had established a substantial connection between the accident and that pain, beyond the </w:t>
      </w:r>
      <w:r>
        <w:rPr>
          <w:rFonts w:ascii="arial" w:eastAsia="arial" w:hAnsi="arial" w:cs="arial"/>
          <w:i/>
          <w:color w:val="000000"/>
          <w:sz w:val="20"/>
          <w:lang w:val="en-US" w:eastAsia="en-US" w:bidi="ar-SA"/>
        </w:rPr>
        <w:t>de minimus</w:t>
      </w:r>
      <w:r>
        <w:rPr>
          <w:rFonts w:ascii="arial" w:eastAsia="arial" w:hAnsi="arial" w:cs="arial"/>
          <w:color w:val="000000"/>
          <w:sz w:val="20"/>
          <w:lang w:val="en-US" w:eastAsia="en-US" w:bidi="ar-SA"/>
        </w:rPr>
        <w:t xml:space="preserv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Yoshikawa v. Yu</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[1996] B.C.J. No. 623</w:t>
        </w:r>
      </w:hyperlink>
      <w:r>
        <w:rPr>
          <w:rFonts w:ascii="arial" w:eastAsia="arial" w:hAnsi="arial" w:cs="arial"/>
          <w:color w:val="000000"/>
          <w:sz w:val="20"/>
          <w:lang w:val="en-US" w:eastAsia="en-US" w:bidi="ar-SA"/>
        </w:rPr>
        <w:t xml:space="preserve"> (C.A.), the British Columbia Court of Appeal held that a tortfeasor had the same responsibility to a person who suffers psychological harm from the tortfeasor's wrongful act that s/he would have had to a person who suffers physical harm: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What is meant when Mr. Justice Taylor and Mr. Justice Spencer say that the plaintiff's psychological problems must have their cause in the defendant's wrongful act? The answer to that question is twofold. First, it must be shown that the defendant's unlawful act was a "cause-in-fact" of the plaintiff's psychological symptoms. That means that the plaintiff must establish that "but for" the defendant's unlawful act the plaintiff's psychological symptoms would not have occurred or would not have occurred in the way they did. That is a factual question. Second, it must be shown that the defendant's unlawful act was a "proximate cause" that is, a legally relevant cause-in-fact, as a matter of law, of the plaintiff's psychological symptoms. That is a legal question. (See Hart and Honoré, </w:t>
      </w:r>
      <w:r>
        <w:rPr>
          <w:rFonts w:ascii="arial" w:eastAsia="arial" w:hAnsi="arial" w:cs="arial"/>
          <w:i/>
          <w:color w:val="000000"/>
          <w:sz w:val="20"/>
          <w:lang w:val="en-US" w:eastAsia="en-US" w:bidi="ar-SA"/>
        </w:rPr>
        <w:t>Causation in the Law</w:t>
      </w:r>
      <w:r>
        <w:rPr>
          <w:rFonts w:ascii="arial" w:eastAsia="arial" w:hAnsi="arial" w:cs="arial"/>
          <w:color w:val="000000"/>
          <w:sz w:val="20"/>
          <w:lang w:val="en-US" w:eastAsia="en-US" w:bidi="ar-SA"/>
        </w:rPr>
        <w:t xml:space="preserve"> 2nd ed. c. VI, "The Law of Tort: Causing Harm"; Fleming,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6th ed. c.9, "Remoteness of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 Some principles have emerged to help in dealing with questions of proximate cause.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One of the most important principles, for the purposes of this case, is the principle that, for the purposes of assessing damages, a tortfeasor must take the person injured by the tort in the actual condition of that person at that time. This has been called the "thin skull" principle. In its application to psychological problems it has been called the "egg shell personality" application of the principle. In my opinion there is no basis for giving a more restrictive application to this principle in cases where psychological injuries are suffered than would be given in cases where only physical injuries are suffered. A predisposition to suffer psychological injury in circumstances such as those brought about in a particular case by a defendant's wrongful act does not relieve the defendant of the liability to compensate the plaintiff for the injuries represented by those psychological symptoms. Such relief could only occur, as I have said, if the psychological symptoms would have occurred in any event, even without the defendant's wrongful act, through an application of the cause-in-fact test. Examples of the application of the "thin skull" principle to the award of damages for psychological symptoms in circumstances where there was an existing predisposition include </w:t>
      </w:r>
      <w:r>
        <w:rPr>
          <w:rFonts w:ascii="arial" w:eastAsia="arial" w:hAnsi="arial" w:cs="arial"/>
          <w:i/>
          <w:color w:val="000000"/>
          <w:sz w:val="20"/>
          <w:lang w:val="en-US" w:eastAsia="en-US" w:bidi="ar-SA"/>
        </w:rPr>
        <w:t>Enge v. Trerise</w:t>
      </w:r>
      <w:r>
        <w:rPr>
          <w:rFonts w:ascii="arial" w:eastAsia="arial" w:hAnsi="arial" w:cs="arial"/>
          <w:color w:val="000000"/>
          <w:sz w:val="20"/>
          <w:lang w:val="en-US" w:eastAsia="en-US" w:bidi="ar-SA"/>
        </w:rPr>
        <w:t xml:space="preserve"> </w:t>
      </w:r>
      <w:hyperlink r:id="rId523" w:history="1">
        <w:r>
          <w:rPr>
            <w:rFonts w:ascii="arial" w:eastAsia="arial" w:hAnsi="arial" w:cs="arial"/>
            <w:i/>
            <w:color w:val="0077CC"/>
            <w:sz w:val="20"/>
            <w:u w:val="single"/>
            <w:shd w:val="clear" w:color="auto" w:fill="FFFFFF"/>
            <w:lang w:val="en-US" w:eastAsia="en-US" w:bidi="ar-SA"/>
          </w:rPr>
          <w:t>(1960), 26 D.L.R. (2d) 529</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Cotic v. Gray</w:t>
      </w:r>
      <w:r>
        <w:rPr>
          <w:rFonts w:ascii="arial" w:eastAsia="arial" w:hAnsi="arial" w:cs="arial"/>
          <w:color w:val="000000"/>
          <w:sz w:val="20"/>
          <w:lang w:val="en-US" w:eastAsia="en-US" w:bidi="ar-SA"/>
        </w:rPr>
        <w:t xml:space="preserve"> </w:t>
      </w:r>
      <w:hyperlink r:id="rId524" w:history="1">
        <w:r>
          <w:rPr>
            <w:rFonts w:ascii="arial" w:eastAsia="arial" w:hAnsi="arial" w:cs="arial"/>
            <w:i/>
            <w:color w:val="0077CC"/>
            <w:sz w:val="20"/>
            <w:u w:val="single"/>
            <w:shd w:val="clear" w:color="auto" w:fill="FFFFFF"/>
            <w:lang w:val="en-US" w:eastAsia="en-US" w:bidi="ar-SA"/>
          </w:rPr>
          <w:t>(1981), 17 C.C.L.T. 138</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Elloway v. Boomars</w:t>
      </w:r>
      <w:r>
        <w:rPr>
          <w:rFonts w:ascii="arial" w:eastAsia="arial" w:hAnsi="arial" w:cs="arial"/>
          <w:color w:val="000000"/>
          <w:sz w:val="20"/>
          <w:lang w:val="en-US" w:eastAsia="en-US" w:bidi="ar-SA"/>
        </w:rPr>
        <w:t xml:space="preserve"> </w:t>
      </w:r>
      <w:hyperlink r:id="rId525" w:history="1">
        <w:r>
          <w:rPr>
            <w:rFonts w:ascii="arial" w:eastAsia="arial" w:hAnsi="arial" w:cs="arial"/>
            <w:i/>
            <w:color w:val="0077CC"/>
            <w:sz w:val="20"/>
            <w:u w:val="single"/>
            <w:shd w:val="clear" w:color="auto" w:fill="FFFFFF"/>
            <w:lang w:val="en-US" w:eastAsia="en-US" w:bidi="ar-SA"/>
          </w:rPr>
          <w:t>(1968), 69 D.L.R. (2d) 605</w:t>
        </w:r>
      </w:hyperlink>
      <w:r>
        <w:rPr>
          <w:rFonts w:ascii="arial" w:eastAsia="arial" w:hAnsi="arial" w:cs="arial"/>
          <w:color w:val="000000"/>
          <w:sz w:val="20"/>
          <w:lang w:val="en-US" w:eastAsia="en-US" w:bidi="ar-SA"/>
        </w:rPr>
        <w:t xml:space="preserve"> (B.C.S.C.), and </w:t>
      </w:r>
      <w:r>
        <w:rPr>
          <w:rFonts w:ascii="arial" w:eastAsia="arial" w:hAnsi="arial" w:cs="arial"/>
          <w:i/>
          <w:color w:val="000000"/>
          <w:sz w:val="20"/>
          <w:lang w:val="en-US" w:eastAsia="en-US" w:bidi="ar-SA"/>
        </w:rPr>
        <w:t>Marconato v. Franklin</w:t>
      </w:r>
      <w:r>
        <w:rPr>
          <w:rFonts w:ascii="arial" w:eastAsia="arial" w:hAnsi="arial" w:cs="arial"/>
          <w:color w:val="000000"/>
          <w:sz w:val="20"/>
          <w:lang w:val="en-US" w:eastAsia="en-US" w:bidi="ar-SA"/>
        </w:rPr>
        <w:t xml:space="preserve">, </w:t>
      </w:r>
      <w:hyperlink r:id="rId526" w:history="1">
        <w:r>
          <w:rPr>
            <w:rFonts w:ascii="arial" w:eastAsia="arial" w:hAnsi="arial" w:cs="arial"/>
            <w:i/>
            <w:color w:val="0077CC"/>
            <w:sz w:val="20"/>
            <w:u w:val="single"/>
            <w:shd w:val="clear" w:color="auto" w:fill="FFFFFF"/>
            <w:lang w:val="en-US" w:eastAsia="en-US" w:bidi="ar-SA"/>
          </w:rPr>
          <w:t>[1974] 6 W.W.R. 676</w:t>
        </w:r>
      </w:hyperlink>
      <w:r>
        <w:rPr>
          <w:rFonts w:ascii="arial" w:eastAsia="arial" w:hAnsi="arial" w:cs="arial"/>
          <w:color w:val="000000"/>
          <w:sz w:val="20"/>
          <w:lang w:val="en-US" w:eastAsia="en-US" w:bidi="ar-SA"/>
        </w:rPr>
        <w:t xml:space="preserve"> (B.C.S.C.).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So, in this case, the evidence of Dr. Davis, accepted by the trial judge, to the effect that the plaintiff had a pre-existing disposition towards the psychological symptoms which actually occurred has no relevance in itself in the assessment of damages, as long as the first causation principle of cause-in-fact is met by it being established that the psychological symptoms would not have arisen but for the defendant's wrongful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74, Justice Bennett confirmed that a defendant will be liable for psychiatric injuries consequent on physical injury: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74 The principle of reasonable foreseeability in relation to psychiatric injury is subject to a qualification: where the psychiatric injury is consequential to the physical injury for which the defendant is responsible, the defendant is also responsible for the psychiatric injury even if this injury was unforeseeable. See White v. Chief Constable of South Yorkshire Police, [1999] 2 A.C. 455 at 470, Varga v. John Labbatt, </w:t>
      </w:r>
      <w:hyperlink r:id="rId528" w:history="1">
        <w:r>
          <w:rPr>
            <w:rFonts w:ascii="arial" w:eastAsia="arial" w:hAnsi="arial" w:cs="arial"/>
            <w:i/>
            <w:color w:val="0077CC"/>
            <w:sz w:val="20"/>
            <w:u w:val="single"/>
            <w:shd w:val="clear" w:color="auto" w:fill="FFFFFF"/>
            <w:lang w:val="en-US" w:eastAsia="en-US" w:bidi="ar-SA"/>
          </w:rPr>
          <w:t>[1956] O.R. 1007</w:t>
        </w:r>
      </w:hyperlink>
      <w:r>
        <w:rPr>
          <w:rFonts w:ascii="arial" w:eastAsia="arial" w:hAnsi="arial" w:cs="arial"/>
          <w:color w:val="000000"/>
          <w:sz w:val="20"/>
          <w:lang w:val="en-US" w:eastAsia="en-US" w:bidi="ar-SA"/>
        </w:rPr>
        <w:t xml:space="preserve">, </w:t>
      </w:r>
      <w:hyperlink r:id="rId528" w:history="1">
        <w:r>
          <w:rPr>
            <w:rFonts w:ascii="arial" w:eastAsia="arial" w:hAnsi="arial" w:cs="arial"/>
            <w:i/>
            <w:color w:val="0077CC"/>
            <w:sz w:val="20"/>
            <w:u w:val="single"/>
            <w:shd w:val="clear" w:color="auto" w:fill="FFFFFF"/>
            <w:lang w:val="en-US" w:eastAsia="en-US" w:bidi="ar-SA"/>
          </w:rPr>
          <w:t>6 D.L.R. (2d) 336</w:t>
        </w:r>
      </w:hyperlink>
      <w:r>
        <w:rPr>
          <w:rFonts w:ascii="arial" w:eastAsia="arial" w:hAnsi="arial" w:cs="arial"/>
          <w:color w:val="000000"/>
          <w:sz w:val="20"/>
          <w:lang w:val="en-US" w:eastAsia="en-US" w:bidi="ar-SA"/>
        </w:rPr>
        <w:t xml:space="preserve"> (H.C.); Yoshikawa v. Yu </w:t>
      </w:r>
      <w:hyperlink r:id="rId412"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73 B.C.A.C. (C.A.); Edwards v. Marsden, </w:t>
      </w:r>
      <w:hyperlink r:id="rId529" w:history="1">
        <w:r>
          <w:rPr>
            <w:rFonts w:ascii="arial" w:eastAsia="arial" w:hAnsi="arial" w:cs="arial"/>
            <w:i/>
            <w:color w:val="0077CC"/>
            <w:sz w:val="20"/>
            <w:u w:val="single"/>
            <w:shd w:val="clear" w:color="auto" w:fill="FFFFFF"/>
            <w:lang w:val="en-US" w:eastAsia="en-US" w:bidi="ar-SA"/>
          </w:rPr>
          <w:t>2004 BCSC 590</w:t>
        </w:r>
      </w:hyperlink>
      <w:r>
        <w:rPr>
          <w:rFonts w:ascii="arial" w:eastAsia="arial" w:hAnsi="arial" w:cs="arial"/>
          <w:color w:val="000000"/>
          <w:sz w:val="20"/>
          <w:lang w:val="en-US" w:eastAsia="en-US" w:bidi="ar-SA"/>
        </w:rPr>
        <w:t xml:space="preserve">; Samuel v. Levi, </w:t>
      </w:r>
      <w:hyperlink r:id="rId530" w:history="1">
        <w:r>
          <w:rPr>
            <w:rFonts w:ascii="arial" w:eastAsia="arial" w:hAnsi="arial" w:cs="arial"/>
            <w:i/>
            <w:color w:val="0077CC"/>
            <w:sz w:val="20"/>
            <w:u w:val="single"/>
            <w:shd w:val="clear" w:color="auto" w:fill="FFFFFF"/>
            <w:lang w:val="en-US" w:eastAsia="en-US" w:bidi="ar-SA"/>
          </w:rPr>
          <w:t>2008 BCSC 1447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La Porte's Physical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On October 1, 2011, Dr. Parker prepared a medical opinion in which she reported that Ms. La Porte's physical symptoms continued to improve throughout 2011 with the assistance of some mild pain management. During this period Ms. La Porte also received treatment from a chiropractor.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However, Dr. Parker also stated that at the October visit Ms. La Porte reported that she had not felt herself since the Accident. Dr. Parker was concerned that Ms. La Porte was showing signs of anxiety and depression that she felt might be associated with PTSD from the Accident. She indicated in this report that she would continue to follow Ms. La Porte and, if necessary, prepare a follow-up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Parker did prepare a second report on May 9, 2014. In that report she gave her diagnosis of Ms. La Porte's physical injuries:</w:t>
      </w:r>
      <w:r>
        <w:rPr>
          <w:rFonts w:ascii="arial" w:eastAsia="arial" w:hAnsi="arial" w:cs="arial"/>
          <w:sz w:val="20"/>
          <w:lang w:val="en-US" w:eastAsia="en-US" w:bidi="ar-SA"/>
        </w:rPr>
        <w:cr/>
      </w:r>
    </w:p>
    <w:p>
      <w:pPr>
        <w:numPr>
          <w:numId w:val="4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rotator cuff tendinopathy in the right shoulder along with soft tissue injury;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soft tissue injury to the right hip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In her cross-examination, Dr. Parker agreed that Ms. La Porte's symptoms of fatigue were consistent with hyperthyroidism, a condition she had dealt with in the past. However, no doctor opined that the symptoms Ms. La Porte was experiencing were, in fact, caused by hyperthyroidism, or that such a condition could not have been treated. I find it more likely that the fatigue reported by Ms. La Porte was a symptom of the depression diagnosed by Drs. Oluyede and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La Porte was also examined by Dr. Ansel Chu, a physiatrist, who prepared two reports: an initial report on June 1, 2013 and a follow-up report on February 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In his 2016 opinion, Dr. Chu described Ms. La Porte as having a whiplash injury that continued to cause her pain in the right shoulder and right lower back at the same level as her first examination by him in 2013. Her right shoulder had features of rotator cuff impingement, probably from the right supraspinatus tendon, which showed indications of a small partial thickness tear.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Chu also reported that Ms. La Porte continued to complain of pain in the low back, mostly on the right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this report Dr. Chu also noted sleep and mood disturbance, anxiety and cognitive dysfunction. The mood and sleep disturbance improved when Ms. La Porte took Venlafaxine. I should note at this point that Ms. La Porte was inconsistent in following her doctors' recommendations to use prescription medication. Dr. Chu did defer to psychiatrists concerning Ms. La Porte's psychological complaints. With respect to impairment and disability Dr. Chu stated as follows in the follow-up report of February 5, 2016:</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is the same as before. It is the right shoulder tendinopathy and impingement plus the mechanical right-sided low back pain and the secondary myofascial pain and the psychological problems such as mood disturbance, anxiety, and sleep disturbance.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 on the other hand is much more subjective than impairment especially if it is based upon pain limitations. Disability is defined as the gap between what a person is able to do and what that person is required to do to meet vocational and avocational goals and duties. There are various psychosocial factors that also contribute to the level of disability. If it was just the musculoskeletal problem that she is dealing with, which is the shoulder and the low back pain she should have been back at work long ago. These psychological and social factors can contribute a great deal to a person's disability. The major factor is catastrophization, which she demonstrates. Her shoulder and low back pain is not a dangerous situation. She is not going to cause any more harm or damage with keeping physically active. She, however, has extreme worry and anxiety about the pain. There are also probably other psychosocial factors such as a person's perception of the sick role, interpersonal stressors, monetary stressors, job satisfaction, stressors from the whole medical/legal process and others. If her disability was strictly based upon the musculoskeletal impairments then she should have a fairly low level of disability and yet she presents with a very high level of disability and that discrepancy can be accounted for by psychosocial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Dr. Chu's opinion was that Ms. La Porte's physical symptoms would continue permanently. However he was also of the opinion that Ms. La Porte would obtain some benefit from a targeted exercise program to strengthen her core and the muscles that stabilize her right shoulder and to control her weight.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La Porte was also examined by Dr. Wade, a rheumatologist, and Dr. Regan, an orthopedic surgeon, in appointments arranged by the defendants. Dr. Wade was of the opinion that Ms. La Porte's physical complaints were caused or contributed to by the Accident. Dr. Regan was also of the opinion that the physical injuries were more likely than not caused by the Accident. However, Dr. Regan was of the opinion, as was Dr. Chu, that Ms. La Porte's physical injuries alone should not have prevented her from continuing as a HandyDart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 accept that Ms. La Porte genuinely felt unable to cope with the demands of her job when she stopped working permanently in September 2012. The consensus of the medical practitioners is that Ms. La Porte's physical injuries alone would not have prevented her from working as a HandyDart driver. Essentially therefore, the critical causation issue in this case is whether Ms. La Porte was experiencing psychological difficulties, and if so, were they caused or contributed to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Psychiatric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Dr. Kehinde Oluyede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Dr. Parker referred Ms. La Porte to Dr. Kehinde Oluyede, a psychiatrist practising in Fort St. John, who first saw her on November 13, 2012. Thereafter Dr. Oluyede was Ms. La Porte's treating psychiatrist. She saw Ms. La Porte approximately once every eight weeks. Dr. Oluyede administered a number of tests to Ms. La Porte and took a history of her symptoms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Oluyede prepared two medical reports at the request of the plaintiff, dated April 3, 2014 and January 15,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her April 2014 report, Dr. Oluyede said Ms. La Porte described a number of symptoms consistent with a moderate depressive disorder, including low mood; anhedonia; avolition; associated feelings of hopelessness; poor self-esteem; early and late insomnia; memory difficulties including forgetfulness, poor attention and focus, and a need for cues to her to recall things; as well as social isolation due to a lack of interest, easy fatigability and decreased energy due to her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Based on her treatment sessions with Ms. La Porte and on the results of the tests she administered in those sessions, Dr. Oluyede diagnosed the following:</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Major Depressive Disorder (moderate);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Generalized Anxiety Disorder; and</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Mild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Oluyede was of the opinion that these conditions were caused or contributed to by the injuries she suffered in the Accident, because Ms. La Porte had not exhibited any of the symptoms prior to the Accident. Her prognosis for Ms. La Porte was guarded because her Major Depressive Disorder and Generalized Anxiety Disorder were compounded by her mild cognitive impairment, and Ms. La Porte had very few modifiable risk factors that she could change to address her mild cognitive impairment.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her January 2016 report, Dr. Oluyede continued to have the same diagnosis of Ms. La Porte's mental illness as set out in her April 2014 report. However, she did comment on Ms. La Porte's cognitive and memory problems, which had worsened in the 21 months between her reports. In the 2016 report, Dr. Oluyede was of the opinion that Ms. La Porte's cognitive functioning would continue to decline and would progress to dementia.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Dr. Raymond Ancill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Ms. La Porte was also examined by Dr. Raymond Ancill, who prepared a medical legal report on her behalf. Dr. Ancill interviewed Ms. La Porte on January 8, 2013, approximately four months after she ceased working at Peace Transit. Dr. Ancill also interviewed Ms. La Porte's sister. He administered the Hamilton Depression Rating Scale test and the McGill Short Form Pain Questionnaire to Ms. La Porte, who scored 23/52 on the Hamilton Depression Rating Scale and reported her pain scale at 4-5/10 on the McGill Pain Questionnaire.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Ancill concluded that Ms. La Porte suffered from a moderate Major Depression and a Pain Disorder. Dr. Ancill described a pain disorder at page 16 of his January 30, 2013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Pain disorder is classified as a somatoform disorder. A somatoform disorder involves a combination of pain, gastrointestinal, sexual and 'neurological' symptoms which persist over time. As Ms. La Porte's ongoing pain is her main focus, the diagnosis is of a Pain Disorder.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Pain disorder is when a patient experiences chronic pain in one or more areas, and is thought to be related, at least in part, to psychological or emotional factors. The pain is often so severe that it disables the patient from proper functioning. Duration may be as short as a few days or as long as many years. The disorder may begin at any age, and occurs more frequently in women than men. This disorder often occurs after an accident caused pain, and this pain then takes on 'life of its own', as in this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causes of Pain Disorder appear to be complex, including organic or medical etiologies such as injury and the stress caused by continuing and badly managed pain as well as functional impairment, loss and emotional distress, all of which may be caused by and in turn increase the perceived level of pain often with an associated depression and anxiety. This is an apt description of what has happened to Ms. La Porte following the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Ancill was of the opinion that the Accident was a cause of the major depressive disorder and the pain disorder from which Ms. La Porte suffers.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Dr. Alexander Levin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La Porte was also examined by Dr. Alexander Levin, a psychiatrist, pursuant to an independent medical examination requested by the defendants. Dr. Levin interviewed Ms. La Porte on October 9, 2012 for two hours and 45 minutes. Dr. Levin formed a completely different view of Ms. La Porte's condition and concluded that she did not suffer from any psychiatric illness or conditions of clinical significance as a result of the Accident or at all. Dr. Levin described Ms. La Porte as presenting with a remarkable degree of resilience to her life stressors and the physical injuries she suffered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Levin is emphatically of the opinion that Ms. La Porte is not suffering from any psychiatric disorders. While he is critical of the diagnostic techniques used by Drs. Ancill and Oluyede, I understand his main point to be that Ms. La Porte was not suffering from any recognized psychiatric disorder because she continued to function well in both her personal and work activities. Dr. Levin says that some level of dysfunction is an essential element of any of the psychiatric disorders diagnosed by Drs. Ancill and Oluyede, but Ms. La Porte has not exhibited any such dysfunction. He summarized his conclusions in his first report at 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conclusion, I would like to reiterate that from a clinical perspective, the motor vehicle accident in question did not result in Ms. La Porte developing any major mental illness (major depressive disorder, post-traumatic stress disorder, pain disorder) or any other psychiatric condition of clinical significance that would require ongoing psycho-pharmacological or psychotherapeutic interventions. Ms. La Porte's psychological-emotional reaction to the accident itself and her unimpaired ability to drive (her HandiDART bus and personal vehicle) for almost two years after the motor vehicle accident in question would virtually rule out a diagnosis of post-traumatic stress disorder. Ms. La Porte's reported brief emotional difficulty following the motor vehicle accident in question (as reported by her family physician) represents a normative reaction to such a potentially stressful event which, however, would not constitute the development of post- traumatic stress disorder or any other psychiatric condition.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La Porte presented with a remarkable degree of resilience to her situational stressors (including musculoskeletal pain), exhibiting an unimpaired ability to cope while employing very adaptive coping strategies. She did not present with any cognitive distortions seen in patients with major depressive disorder or pain disorder to warrant any type of cognitive behavioural therapy.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At the present time, Ms. La Porte's mood remains stable and she does not present with any psychiatric symptoms to warrant any psychopharmacological or psychotherapeutic intervention. From a psychiatric perspective, Ms. La Porte did not report any clinically significant psychological/ emotional disturbances that would affect her ability to perform the essential duties of her occupation or any other occupation for which she is suited by her experience and education. She did not report any psychiatric, psychological or cognitive limitations that would warrant any time off work following the motor vehicle accident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After careful consideration I have concluded that I can give no weight to Dr. Levin's report. There are a number of reasons why I have reached this conclusion. I begin by saying that I found that Dr. Levin's report lacked objectivity. It seemed to me that Dr. Levin was marshalling evidence in favour of his conclusion, rather than attempting to communicate constructively with Ms. La Porte to determine her actual mental state.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Dr. Levin developed a number of themes that he repeated throughout his report. One such theme was to emphasize how resilient Ms. La Porte had been before the Accident, and to extrapolate that resilience into her reaction to the pain and anxiety that she experienced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At the outset of his opinion, Dr. Levin referred to Ms. La Porte's pre-accident condition and began by emphasizing that Ms. La Porte did not present with any biological or psychological vulnerabilities that would have predisposed her to the development of any psychiatric illness.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his report, Dr. Levin does not address the important question of the interrelationship of pain and anxiety. In fact, Dr. Levin mentioned Ms. La Porte's reported pain only in passing. In addition, Dr. Levin does not appear to have elicited any details about what actually occurred on Ms. La Porte's last day of work. The impression he portrays is that Ms. La Porte was managing her job without any difficulty up to the time she stopped working, and stopped working only in anticipation of having an increased workload in the fall of the year. The portion of his report dealing with this question at page 5 states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La Porte indicated that she went on a medical leave in anticipation (not yet experienced) of having an increased workload in the fall of this year that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affect her physical problems. Ms. La Porte stated that she would be upset when her dispatcher would give her a passenger with a heavy wheelchair or walker. </w:t>
      </w:r>
      <w:r>
        <w:rPr>
          <w:rFonts w:ascii="arial" w:eastAsia="arial" w:hAnsi="arial" w:cs="arial"/>
          <w:color w:val="000000"/>
          <w:sz w:val="20"/>
          <w:u w:val="single"/>
          <w:lang w:val="en-US" w:eastAsia="en-US" w:bidi="ar-SA"/>
        </w:rPr>
        <w:t>Ms. La Porte, however, did not report an actual worsening of her reported pain or physical problems that could cause her any emotional suffering</w:t>
      </w:r>
      <w:r>
        <w:rPr>
          <w:rFonts w:ascii="arial" w:eastAsia="arial" w:hAnsi="arial" w:cs="arial"/>
          <w:color w:val="000000"/>
          <w:sz w:val="20"/>
          <w:lang w:val="en-US" w:eastAsia="en-US" w:bidi="ar-SA"/>
        </w:rPr>
        <w:t>. In fact, while off work Ms. La Porte reportedly improved and was able to relax at home, at times baby-sitting her grandchildren. While discussing her current activities of daily living Ms. La Porte did not report any ongoing psychological or emotional disturbances of clinical significance that would affect her ability to return to her previous workplace or any other employment for which she is suited by her education and experience. When asked about her mood while baby-sitting for her grandchildren she said, "It's good but I get tired faster...". [Underline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foregoing summary is at marked variance to Ms. La Porte's evidence in court that she struggled with the heavier physical demands of her job and the physical exertions of her job significantly worsened her pain. In addition, given Ms. La Porte's evidence in court, which I have accepted, about the circumstances of her last day of work, I can only conclude that Dr. Levin did not inquire about those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There were two portions of Dr. Levin's evidence that I found particularly problematic. The first relates to this sentence at page 5 of the report: "Ms. La Porte indicated that she went on a medical leave in anticipation (not yet experienced) of having an increased workload in the fall of this year that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affect her physical problems." When Dr. Levin was asked in cross-examination whether he had italicized the word "could" in this portion of his report to emphasize that there was no actual effect on Ms. La Porte's physical problems, he denied that intent and stated that the italics were a clerical error. I find this answer to be lacking in credibility. In the context of the rest of that portion of his report, it is obvious that Dr. Levin was emphasizing that Ms. La Porte had not yet experienced any difficulty in coping with her work at the time she stopped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addition, Dr. Levin implies in this passage that Ms. La Porte had not reported any effect that her job had on her physical problems. It is unclear whether he is suggesting she denied any negative effects or whether he based this statement on Ms. La Porte not volunteering any such information. If she told him that her job had no negative effects on her physical problems, it would have been contrary to what she told the other doctors who examined and treated her, as well as to her evidence before me, which I have accepted as credible. I therefore think it is highly unlikely that she denied any negative effects. I note that Dr. Levin did not indicate that he asked any questions about this subject in his interview of Ms. La Porte.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second troubling evidence from Dr. Levin is found in his second report dated June 9, 2014. In that report Dr. Levin comments on the reports of the other physicians that have been put in evidence. At page 5, Dr. Levin begins his comments on Dr. Oluyede's consultation report of November 15, 2012, which he describes as a "clinical record". He purports to paraphrase a part of Dr. Oluyede's report commenting on Ms. La Porte's mood as follows at page 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clinical records dated November 15, 2012, state, "[...] she describes being in a state of shock...three days later, she noticed an increasing pain...following this, she has had subsequent issues with pain...presently, she is going through legal proceedings to get some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Levin goes on to comment on this passage from Dr. Oluyede's report, concluding with the following sentence at page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one of the major issues identified in Ms. La Porte's case is reportedly, "Legal proceedings to get some compensation as she was the injured party..." However, Dr. Oluyede does not discuss any specific psychiatric or psychological injury sustained in the subject MVA that would require any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What Dr. Oluyede actually said in her consultation report at page 1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Three days later she noticed an increasing pain in her right leg and her right arm. She described the pain as spasmodic. On the day of the accident she was seen in emergency and had been medically cleared.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this she has had subsequent issues with pain and has seen a chiropractor for a while. Both car insurance companies have been involved and her car has been fixed. She took four days off of work at that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Presently she is going through legal proceedings to get some compensation as she was the injured party and has been incapacitated since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describes not feeling good most of the time, feeling easily stressed out and overwhelmed. She has had to cut down her hours of work from forty hours previously per week to thirty-five hours.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noticed a continuous decline in both her physical and mental health. With regards to her mental health she describes easy fatigability, worry and anxiety about her future and with regards to finances. She describes feeling drained most of the time and has noticed that on certain occasions she does have what she describes as overwhelming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my view, Dr. Levin did not accurately or fairly paraphrase Dr. Oluyede's consultation report. Even more problematically, when Dr. Levin was cross-examined on the above passage from his report, he again said this was either a typographical error or he misspoke himself in his dictation and meant to say "assistance" not compensation. Again, given the context of the passage, in which Dr. Levin seems to be at pains to show that Ms. La Porte is seeking compensation, I cannot accept this explanation from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addition, I found Dr. Levin to be argumentative and somewhat non-responsive in the answers he gave in cross-examination. Finally, I am concerned that Dr. Levin had some animus towards Ms. La Porte. At the outset of his notes on his interview with Ms. La Porte he recorded that he felt she was being unreasonable and uncooperative with him. None of the other doctors who conducted independent medical examinations at the request of the defendants made any such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therefore give no weight to Dr. Levin's opinion in this matter.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Weight Given to Dr. Ancill's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The defendants objected to the admissibility of Dr. Ancill's report and were critical of his report in their closing submissions. I admitted Dr. Ancill's report into evidence during the trial and indicated that I considered that the objections raised went to the weight to be given it, rather than the threshold question of its admissibility.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defendants submit that Dr. Ancill's report should be given little weight for five reasons: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Ancill interviewed Ms. La Porte's sister as part of his assessment and was unable to specify what information he relied upon came from Ms. La Porte and what came from her sister.</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Ancill assumed the role of advocate in comments he made to the effect that Ms. La Porte had suffered numerous losses and he could see no emotional advantage to her sustaining her symptoms for secondary gain.</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Dr. Ancill prepares reports almost exclusively for plaintiffs and had written a letter to the </w:t>
      </w:r>
      <w:r>
        <w:rPr>
          <w:rFonts w:ascii="arial" w:eastAsia="arial" w:hAnsi="arial" w:cs="arial"/>
          <w:i/>
          <w:color w:val="000000"/>
          <w:sz w:val="20"/>
          <w:lang w:val="en-US" w:eastAsia="en-US" w:bidi="ar-SA"/>
        </w:rPr>
        <w:t>B.C. Medical Journal</w:t>
      </w:r>
      <w:r>
        <w:rPr>
          <w:rFonts w:ascii="arial" w:eastAsia="arial" w:hAnsi="arial" w:cs="arial"/>
          <w:color w:val="000000"/>
          <w:sz w:val="20"/>
          <w:lang w:val="en-US" w:eastAsia="en-US" w:bidi="ar-SA"/>
        </w:rPr>
        <w:t xml:space="preserve"> dated June 2012 in which he stated that in his experience, claimants litigate because insurers deny liability or take advantage of patients' naivety by offering very low settlements.</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Ancill had been the subject of judicial criticism in the past.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 Ancill identified an error in his report in which he had said that Ms. La Porte had a pre-existing vulnerability to developing a mood disorder and could not advise how that information came to be included, but Dr. Oluyede had confirmed that Ms. La Porte had experienced depressive symptoms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do not accept the defendants' submission that these factors should cause me to give Dr. Ancill's opinion little or no weight. With regard to Dr. Ancill's interview of Ms. La Porte's sister, Dr. Ancill clarified in his oral evidence that he relied on the sister only to confirm collateral information provided by Ms. La Porte. Dr. Ancill also made it clear that the only facts and assumptions he was relying on were those set out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do not think Dr. Ancill assumed the role of an advocate by addressing the question of secondary gain. The DSM-V specifically cautions that all psychiatric symptoms that are considered in a forensic setting may be motivated by secondary gain, and that psychiatrists must be vigilant about possible malingering. In my view, Dr. Ancill was addressing that issue in this portion of his report. There is no question that Dr. Ancill was sympathetic to Ms. La Porte, but I do not think that sympathy caused him to lack professional objectivity in preparing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fact that Dr. Ancill works almost exclusively for plaintiffs does not lead me to conclude that his opinions are unreliable. It is no secret that medical experts who provide opinions to this Court very often appear much more frequently for plaintiffs or defendants. For example, Dr. Levin provides the great majority of his opinions for defendants and insurance companies.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I have carefully considered Dr. Ancill's letter to the </w:t>
      </w:r>
      <w:r>
        <w:rPr>
          <w:rFonts w:ascii="arial" w:eastAsia="arial" w:hAnsi="arial" w:cs="arial"/>
          <w:i/>
          <w:color w:val="000000"/>
          <w:sz w:val="20"/>
          <w:lang w:val="en-US" w:eastAsia="en-US" w:bidi="ar-SA"/>
        </w:rPr>
        <w:t>B.C. Medical Journal</w:t>
      </w:r>
      <w:r>
        <w:rPr>
          <w:rFonts w:ascii="arial" w:eastAsia="arial" w:hAnsi="arial" w:cs="arial"/>
          <w:color w:val="000000"/>
          <w:sz w:val="20"/>
          <w:lang w:val="en-US" w:eastAsia="en-US" w:bidi="ar-SA"/>
        </w:rPr>
        <w:t>. That letter was written in response to an editorial in a previous edition that suggested that many plaintiffs exaggerate their claims and unnecessarily clog up the courts. In my view, the fact that Dr. Ancill has opinions about how some plaintiffs are treated by insurance companies does not mean that his opinion in this specific case must be disregarded. I think that the important question with respect to the reliability of any opinion from an otherwise qualified expert, is whether it presents convincing evidence that stands up to effective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also do not find the fact that Dr. Ancill's reports have been criticized by some judges in the past to be of much assistance to me in assessing his opinion in this case. In this case, both counsel were able to find cases in which the other party's psychiatrist was criticized or his report rejected. Without being familiar with the facts or circumstances of those cases, I cannot reach any conclusion about the relevance of those cases to the opinion which is before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Finally, I do not attach great significance to the fact that Dr. Ancill withdrew one paragraph of his report in his evidence in chief. It appears that he may have cut and pasted some wording from another report into his report. The subject matter of the paragraph was whether Ms. La Porte had a pre-existing vulnerability to developing a mood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From reading the whole of Dr. Ancill's report, it is clear that he did not find that Ms. La Porte had such vulnerability. In para. 23 of the facts and assumptions on which his opinion is based, Dr. Ancill stated that Ms. La Porte had no previous psychiatric history. Dr. Levin agreed with this conclusion. In any event, the existence of any such vulnerability would, in most cases, assist a plaintiff by explaining why a relatively minor accident could have serious consequences for that particular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 therefore do consider Dr. Ancill's reports to be of assistance in this case. However, I do not accept all of the conclusions of Dr. Ancill and Dr. Oluyede. In particular, I do not accept their opinions that Ms. La Porte's cognitive difficulties and her pronounced problems with memory are attributable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Conclusions Regarding Psychiatric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There is no evidence that Ms. La Porte suffered a concussion or any brain injury in the Accident. If there is a substantial connection between her cognitive and memory deficits and the Accident, that connection can therefore arise only from the psychiatric conditions diagnosed by Drs. Ancill and Oluyede. However, neither doctor was able to explain how depression or anxiety could cause Ms. La Porte the cognitive and memory difficulties she exhibits. Dr. Ancill's first report is dated January 30, 2013. He diagnosed a moderate Major Depressive Disorder, an adjustment disorder with anxiety (chronic type) and a pain disorder associated with both psychological factors and a general medical condition (chronic). At that time Dr. Ancill did not identify significant memory deficits associated with any of the diagnosed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Dr. Oluyede identifies Ms. La Porte's cognitive impairment as a factor in explaining her mental state. She does attribute Ms. La Porte's cognitive decline to the Accident, but does so solely on the basis that there was no indication of memory deficits before the Accident. Thus Dr. Oluyede appears to rely exclusively on the fact that Ms. La Porte's cognitive functioning had not begun to decline before December 2010. However, she gave no explanation as to how the psychiatric problems she and Dr. Ancill have identified would lead to the type of cognitive deficits Ms. La Porte displayed in giving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In her first report prepared in April 2014, Dr. Oluyede describes Ms. La Porte as having mild cognitive impairment. However, in her second report she is of the view that she is developing dementia. However, I can find nothing in any of the psychiatric evidence that links dementia to any of the psychiatric conditions diagnosed for Ms. La Porte.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After considering all of the medical evidence, I conclude that Ms. La Porte's cognitive difficulties are not caused by the Accident, but are more likely the early stages of a dementing process. I note that Dr. Oluyede's prognosis is that Ms. La Porte is exhibiting cognitive impairment that will eventually lead to dementia. I conclude that her cognitive and memory problems are caused by her developing dementia and not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do, however, accept Dr. Ancill's and Dr. Oluyede's opinions that Ms. La Porte is suffering from a major depressive disorder. I find that the major depression she exhibits is caused in part by the injuries she suffered in the Accident, and in part by her awareness of her increasingly declining cognitive abilities. I therefore find that the Accident is a cause of the moderate Major Depressive Disorder and that there is a substantial connection between the Accident and this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 am satisfied that the depression and anxiety disorders caused by the Accident were a cause of Ms. La Porte's being unable to continue in her employment beyond September 2012. I find that it was the combined effect of the pain she experienced from her physical injuries, the psychological injuries identified in Drs. Ancill's and Oluyede's reports and Ms. La Porte's declining cognitive functioning that rendered her unable to work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Therefore, before turning to an assessment of Ms. La Porte's damages, I must determine how long she would have been able to continue working as a HandyDart driver or in any occupation, but for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Evidence of Occupational Requirements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this regard, I have considered the report of Gary Worthington-White, an occupational therapist and certified capacity evaluator. Mr. Worthington-White concluded that the occupation of a HandyDart driver primarily involved light to medium strength work with occasional bursts of heavy strength work, such as lifting the wheels of wheelchairs over curbs and door frames. He described the demands of the job at page 8 of his January 9, 2013 report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 accurately the actual physical demands of Ms. La Porte's pre-accident job as a HandyDart driver can therefore be classified as LIGHT to MEDIUM strength work requiring sitting, standing, walking, kneeling, crouching, stooping and multiple limb coordination. Upper limb demands can involve prolonged reaching requiring sustained or repetitive exposure to shoulder postures of flexion and/or abduction.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Based on the results of functional testing, Ms. La Porte does present as physically/functionally capable of performing the basic physical demands required of her pre-accident role as a HandyDART bus driver. Results of testing however did show that demands/postures placing increased strain through her right shoulder/neck musculature consistently resulted in symptom aggravation as well as activity and postural tolerance limitations. As well, tasks placing increased strain on her back also resulted in consistent symptom aggravation. It is therefore likely that exposure to the physical demands of her pre-injury driving job would result in aggravation of her symptoms. Actual level of symptom/pain intensity would likely vary depending on the specific task being performed or exposed to on that day. For example on days when there is greater exposure to passenger assistance such as pushing/handling wheelchairs, lifting/carrying equipment, driving requiring repetitive reaching/wheel turning, etc. symptom aggravation is likely greater than days when there is reduced exposure to such demands. However even on "lighter" days the basic demands of driving, most notably right arm steering wheel operation would result in some degree of symptom aggravation.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identified during work capacity testing, there are a number of demands required of her work as a HandyDart driver that would likely result in aggravation of her symptoms and subsequent activity and postural tolerance limitations which would likely impact her overall work durability. These findings are consistent with Ms. La Porte's reported work history since the accident, in that she has been able to return to her job but she experienced aggravation of her symptoms with exposure to the demands of her job and she eventually made the decision to stop working for overall symptom control. With eliminating exposure to such demands she has reportedly experienced reduction in her symptomatology.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This evaluation is consistent with the symptoms to which Ms. La Porte testified.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La Porte returned to work within days of the Accident. With one interruption she continued to work until September 5, 2012, when she had the emotional breakdown during her shift. At that time Ms. La Porte was 61 years of age. At the time of trial she had just turned 65. Based on my observations of her memory and cognitive functioning at the time she gave her evidence, I conclude that she would have been unable to safely operate a HandyDart by reason of her cognitive impairments alone at the time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I am satisfied, however, that but for the Accident, Ms. La Porte would have been able to continue to operate a HandyDart beyond September 5, 2012. It is impossible to determine with certainty at what point Ms. La Porte would have lost the ability to safely operate the HandyDart between September 2012 and the date of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La Porte was motivated to continue to work as long as possible. She needed the income from her job to meet the financial obligations arising from her house purchase. She also derived enjoyment and satisfaction from dealing with her passengers. On the other hand, at some point her increasing cognitive impairment would have made it unsafe and overwhelming for her to continue in that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Oluyede's report of January 15, 2016 identifies very significant cognitive impairments on Ms. La Porte's part as of that date. At trial in June 2016, she exhibited a good deal of confusion and significant deficits in her memory.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Taking all of the circumstances into account, I conclude that if Ms. La Porte had not been injured in the Accident she would have worked up to her 65th birthday, but not beyond.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Assessment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xml:space="preserve">  The purpose of non-pecuniary damages is to compensate the plaintiff for pain, suffering, loss of enjoyment and amenities of life. In </w:t>
      </w:r>
      <w:r>
        <w:rPr>
          <w:rFonts w:ascii="arial" w:eastAsia="arial" w:hAnsi="arial" w:cs="arial"/>
          <w:i/>
          <w:color w:val="000000"/>
          <w:sz w:val="20"/>
          <w:lang w:val="en-US" w:eastAsia="en-US" w:bidi="ar-SA"/>
        </w:rPr>
        <w:t>Chong v. Lee</w:t>
      </w:r>
      <w:r>
        <w:rPr>
          <w:rFonts w:ascii="arial" w:eastAsia="arial" w:hAnsi="arial" w:cs="arial"/>
          <w:color w:val="000000"/>
          <w:sz w:val="20"/>
          <w:lang w:val="en-US" w:eastAsia="en-US" w:bidi="ar-SA"/>
        </w:rPr>
        <w:t xml:space="preserve">, </w:t>
      </w:r>
      <w:hyperlink r:id="rId531" w:history="1">
        <w:r>
          <w:rPr>
            <w:rFonts w:ascii="arial" w:eastAsia="arial" w:hAnsi="arial" w:cs="arial"/>
            <w:i/>
            <w:color w:val="0077CC"/>
            <w:sz w:val="20"/>
            <w:u w:val="single"/>
            <w:shd w:val="clear" w:color="auto" w:fill="FFFFFF"/>
            <w:lang w:val="en-US" w:eastAsia="en-US" w:bidi="ar-SA"/>
          </w:rPr>
          <w:t>2014 BCSC 2258</w:t>
        </w:r>
      </w:hyperlink>
      <w:r>
        <w:rPr>
          <w:rFonts w:ascii="arial" w:eastAsia="arial" w:hAnsi="arial" w:cs="arial"/>
          <w:color w:val="000000"/>
          <w:sz w:val="20"/>
          <w:lang w:val="en-US" w:eastAsia="en-US" w:bidi="ar-SA"/>
        </w:rPr>
        <w:t>, Justice Pearlman stated at para. 163 that the award must be fair to both parties and fairness is measured against awards in comparable cases. Nonetheless, he emphasized that the outcome in a given case depends on the facts at 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The factors to be considered by the court in assessing non-pecuniary damages were set out by the majority of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leave to appeal ref'd </w:t>
      </w:r>
      <w:hyperlink r:id="rId532" w:history="1">
        <w:r>
          <w:rPr>
            <w:rFonts w:ascii="arial" w:eastAsia="arial" w:hAnsi="arial" w:cs="arial"/>
            <w:i/>
            <w:color w:val="0077CC"/>
            <w:sz w:val="20"/>
            <w:u w:val="single"/>
            <w:shd w:val="clear" w:color="auto" w:fill="FFFFFF"/>
            <w:lang w:val="en-US" w:eastAsia="en-US" w:bidi="ar-SA"/>
          </w:rPr>
          <w:t>[2006] S.C.C.A. No. 100</w:t>
        </w:r>
      </w:hyperlink>
      <w:r>
        <w:rPr>
          <w:rFonts w:ascii="arial" w:eastAsia="arial" w:hAnsi="arial" w:cs="arial"/>
          <w:color w:val="000000"/>
          <w:sz w:val="20"/>
          <w:lang w:val="en-US" w:eastAsia="en-US" w:bidi="ar-SA"/>
        </w:rPr>
        <w:t xml:space="preserve">. The list is non-exhaustive and includes the following: the age of the plaintiff; the nature of the injury; severity and duration of the pain; disability; emotional suffering; loss or impairment of life; impairment of family, marital and social relationships; impairment of physical and mental abilities; and loss of lifestyle. (See also </w:t>
      </w:r>
      <w:r>
        <w:rPr>
          <w:rFonts w:ascii="arial" w:eastAsia="arial" w:hAnsi="arial" w:cs="arial"/>
          <w:i/>
          <w:color w:val="000000"/>
          <w:sz w:val="20"/>
          <w:lang w:val="en-US" w:eastAsia="en-US" w:bidi="ar-SA"/>
        </w:rPr>
        <w:t>Chong</w:t>
      </w:r>
      <w:r>
        <w:rPr>
          <w:rFonts w:ascii="arial" w:eastAsia="arial" w:hAnsi="arial" w:cs="arial"/>
          <w:color w:val="000000"/>
          <w:sz w:val="20"/>
          <w:lang w:val="en-US" w:eastAsia="en-US" w:bidi="ar-SA"/>
        </w:rPr>
        <w:t xml:space="preserve"> at para. 164)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I am satisfied that the injuries suffered by Ms. La Porte have had a very significant impact on her quality of life. The evidence establishes that before the Accident Ms. La Porte had no significant medical problems. She was employed in a steady, well-paying job that she enjoyed. She was active in her church and had just purchased a house in which she intended to live with her daughter-in-law and her family.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I have also accepted that Ms. La Porte now suffers from a moderate Major Depressive Disorder as well as an anxiety disorder that causes her to suffer symptoms that are far more disabling than those that would have been caused solely by the psychical injuries she sustained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Ms. La Porte has continued to attend church since the Accident, but has lost enthusiasm for the level of involvement in the church she had before she was injured. While she continued to be employed for almost two years post-accident, she clearly did not get the same enjoyment and sense of accomplishment from her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She suffers from anxiety and insomnia, although the medications prescribed by Dr. Oluyede provide some relief from these symptoms when Ms. La Porte takes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Ms. La Porte's social life has also diminished. It is likely that some of the social isolation she now experiences is attributable to her declining cognitive state. However, I am satisfied that the pain and psychiatric difficulties she suffered as a result of the Accident have a substantial connection to her diminished personal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am in substantial agreement with Dr. Chu's comments on Ms. La Porte's characterization of her current condition made in the report dated June 1, 2013:</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top of that she has also been getting significant sleep disturbance because of the shoulder pain more than anything else and also because of anxiety. This in turn has produced, in combination with chronic pain, a degree of mood disturbance. She also has significant anxiety. I think the mood disturbance is enough to label her as having mild to moderate degree of depression but I would leave that diagnosis up to the psychiatrist. She certainly demonstrates significant mood alterations and depressive symptoms. It is not severe though. She also demonstrates significant anxiety when I was talking to her surrounding circumstances of her life and the pain. I don't think she has a very good grasp of why she is having this pain and I think that degree of uncertainty in her knowledge is causing her a lot of anxiety too. I think there is a certain degree of catastrophization with the pain that goes along with the anxiety.</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mood has been better more recently since she has been off work with less stress, less pain, and using medication for the mood through a psychiatrist. Recently she took herself off the anti-depressant and now that things have gotten worse she has been re-started by her psychiatrist.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also has a mild degree of anxiety surrounding motor vehicles, not a full-blown post-traumatic stress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xml:space="preserve">  The plaintiff submits that an award of non-pecuniary damages of $140,000 is warranted in this case. Plaintiff's counsel relies on awards made in </w:t>
      </w:r>
      <w:r>
        <w:rPr>
          <w:rFonts w:ascii="arial" w:eastAsia="arial" w:hAnsi="arial" w:cs="arial"/>
          <w:i/>
          <w:color w:val="000000"/>
          <w:sz w:val="20"/>
          <w:lang w:val="en-US" w:eastAsia="en-US" w:bidi="ar-SA"/>
        </w:rPr>
        <w:t>Marois v. Pelech</w:t>
      </w:r>
      <w:r>
        <w:rPr>
          <w:rFonts w:ascii="arial" w:eastAsia="arial" w:hAnsi="arial" w:cs="arial"/>
          <w:color w:val="000000"/>
          <w:sz w:val="20"/>
          <w:lang w:val="en-US" w:eastAsia="en-US" w:bidi="ar-SA"/>
        </w:rPr>
        <w:t xml:space="preserve">, </w:t>
      </w:r>
      <w:hyperlink r:id="rId533" w:history="1">
        <w:r>
          <w:rPr>
            <w:rFonts w:ascii="arial" w:eastAsia="arial" w:hAnsi="arial" w:cs="arial"/>
            <w:i/>
            <w:color w:val="0077CC"/>
            <w:sz w:val="20"/>
            <w:u w:val="single"/>
            <w:shd w:val="clear" w:color="auto" w:fill="FFFFFF"/>
            <w:lang w:val="en-US" w:eastAsia="en-US" w:bidi="ar-SA"/>
          </w:rPr>
          <w:t>2007 BCSC 1969</w:t>
        </w:r>
      </w:hyperlink>
      <w:r>
        <w:rPr>
          <w:rFonts w:ascii="arial" w:eastAsia="arial" w:hAnsi="arial" w:cs="arial"/>
          <w:color w:val="000000"/>
          <w:sz w:val="20"/>
          <w:lang w:val="en-US" w:eastAsia="en-US" w:bidi="ar-SA"/>
        </w:rPr>
        <w:t xml:space="preserve">, aff'd </w:t>
      </w:r>
      <w:hyperlink r:id="rId534" w:history="1">
        <w:r>
          <w:rPr>
            <w:rFonts w:ascii="arial" w:eastAsia="arial" w:hAnsi="arial" w:cs="arial"/>
            <w:i/>
            <w:color w:val="0077CC"/>
            <w:sz w:val="20"/>
            <w:u w:val="single"/>
            <w:shd w:val="clear" w:color="auto" w:fill="FFFFFF"/>
            <w:lang w:val="en-US" w:eastAsia="en-US" w:bidi="ar-SA"/>
          </w:rPr>
          <w:t>2009 BCCA 286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Khosa v. Kalamatimaleki</w:t>
      </w:r>
      <w:r>
        <w:rPr>
          <w:rFonts w:ascii="arial" w:eastAsia="arial" w:hAnsi="arial" w:cs="arial"/>
          <w:color w:val="000000"/>
          <w:sz w:val="20"/>
          <w:lang w:val="en-US" w:eastAsia="en-US" w:bidi="ar-SA"/>
        </w:rPr>
        <w:t xml:space="preserve">, </w:t>
      </w:r>
      <w:hyperlink r:id="rId535" w:history="1">
        <w:r>
          <w:rPr>
            <w:rFonts w:ascii="arial" w:eastAsia="arial" w:hAnsi="arial" w:cs="arial"/>
            <w:i/>
            <w:color w:val="0077CC"/>
            <w:sz w:val="20"/>
            <w:u w:val="single"/>
            <w:shd w:val="clear" w:color="auto" w:fill="FFFFFF"/>
            <w:lang w:val="en-US" w:eastAsia="en-US" w:bidi="ar-SA"/>
          </w:rPr>
          <w:t>2014 BCSC 2060</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Litt v. Guo</w:t>
      </w:r>
      <w:r>
        <w:rPr>
          <w:rFonts w:ascii="arial" w:eastAsia="arial" w:hAnsi="arial" w:cs="arial"/>
          <w:color w:val="000000"/>
          <w:sz w:val="20"/>
          <w:lang w:val="en-US" w:eastAsia="en-US" w:bidi="ar-SA"/>
        </w:rPr>
        <w:t xml:space="preserve">, </w:t>
      </w:r>
      <w:hyperlink r:id="rId536" w:history="1">
        <w:r>
          <w:rPr>
            <w:rFonts w:ascii="arial" w:eastAsia="arial" w:hAnsi="arial" w:cs="arial"/>
            <w:i/>
            <w:color w:val="0077CC"/>
            <w:sz w:val="20"/>
            <w:u w:val="single"/>
            <w:shd w:val="clear" w:color="auto" w:fill="FFFFFF"/>
            <w:lang w:val="en-US" w:eastAsia="en-US" w:bidi="ar-SA"/>
          </w:rPr>
          <w:t>2015 BCSC 2207</w:t>
        </w:r>
      </w:hyperlink>
      <w:r>
        <w:rPr>
          <w:rFonts w:ascii="arial" w:eastAsia="arial" w:hAnsi="arial" w:cs="arial"/>
          <w:color w:val="000000"/>
          <w:sz w:val="20"/>
          <w:lang w:val="en-US" w:eastAsia="en-US" w:bidi="ar-SA"/>
        </w:rPr>
        <w:t>. In these cases the court awarded non-pecuniary damages in the range of $120,000 to $140,000.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Litt</w:t>
      </w:r>
      <w:r>
        <w:rPr>
          <w:rFonts w:ascii="arial" w:eastAsia="arial" w:hAnsi="arial" w:cs="arial"/>
          <w:color w:val="000000"/>
          <w:sz w:val="20"/>
          <w:lang w:val="en-US" w:eastAsia="en-US" w:bidi="ar-SA"/>
        </w:rPr>
        <w:t xml:space="preserve">, Justice Schultes helpfully reviewed </w:t>
      </w:r>
      <w:r>
        <w:rPr>
          <w:rFonts w:ascii="arial" w:eastAsia="arial" w:hAnsi="arial" w:cs="arial"/>
          <w:i/>
          <w:color w:val="000000"/>
          <w:sz w:val="20"/>
          <w:lang w:val="en-US" w:eastAsia="en-US" w:bidi="ar-SA"/>
        </w:rPr>
        <w:t>Marois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Khosa</w:t>
      </w:r>
      <w:r>
        <w:rPr>
          <w:rFonts w:ascii="arial" w:eastAsia="arial" w:hAnsi="arial" w:cs="arial"/>
          <w:color w:val="000000"/>
          <w:sz w:val="20"/>
          <w:lang w:val="en-US" w:eastAsia="en-US" w:bidi="ar-SA"/>
        </w:rPr>
        <w:t xml:space="preserve"> at para. 374, and I agree with what he said about those cases. The plaintiff in </w:t>
      </w:r>
      <w:r>
        <w:rPr>
          <w:rFonts w:ascii="arial" w:eastAsia="arial" w:hAnsi="arial" w:cs="arial"/>
          <w:i/>
          <w:color w:val="000000"/>
          <w:sz w:val="20"/>
          <w:lang w:val="en-US" w:eastAsia="en-US" w:bidi="ar-SA"/>
        </w:rPr>
        <w:t>Litt</w:t>
      </w:r>
      <w:r>
        <w:rPr>
          <w:rFonts w:ascii="arial" w:eastAsia="arial" w:hAnsi="arial" w:cs="arial"/>
          <w:color w:val="000000"/>
          <w:sz w:val="20"/>
          <w:lang w:val="en-US" w:eastAsia="en-US" w:bidi="ar-SA"/>
        </w:rPr>
        <w:t xml:space="preserve"> was 33 years old and had suffered from anorexia nervosa as a teenager. She was involved in an accident in November 2003 and suffered soft tissue injuries that caused her very great pain. Her neck and back constantly hurt her, and her leg became painful if she sat for prolonged periods. She found it painful to exercise, but was reluctant to curtail her diet because of a fear of a recurrence of her anorexia nervosa. She gained 40 pounds and her sexual life with her husband was impaired. She attempted suicide on one occasion. In August 2013, she was involved in a second accident which resulted in an increase in her pain symptoms. Ms. Litt was diagnosed with chronic pain or somatic symptom disorder that resulted in her experiencing pain at a greater level of intensity than the underlying injuries would suggest. Justice Schultes distinguished cases relied on by the defendants in that case on the basis that they did not involve serious psychological injuries. He awarded non-pecuniary damages of $120,000.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defendants rely on cases in which the court awarded damages in the range of $70,000 to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Chong</w:t>
      </w:r>
      <w:r>
        <w:rPr>
          <w:rFonts w:ascii="arial" w:eastAsia="arial" w:hAnsi="arial" w:cs="arial"/>
          <w:color w:val="000000"/>
          <w:sz w:val="20"/>
          <w:lang w:val="en-US" w:eastAsia="en-US" w:bidi="ar-SA"/>
        </w:rPr>
        <w:t>, the plaintiff was found to have suffered mild to moderate soft tissue injuries to the muscles and ligaments of her neck, shoulder girdle and back. The plaintiff's pain had become chronic and was present at trial some seven years after the accident. However, the court also found that the plaintiff had recovered to the point that she was physically able to perform all of the household tasks she had performed prior to the accident. The plaintiff suffered from anxiety, but there was no psychiatric evidence establishing any psychiatric consequences of the accident. The court awarded non-pecuniary damages of $70,000.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Guitierrez v. Covvey</w:t>
      </w:r>
      <w:r>
        <w:rPr>
          <w:rFonts w:ascii="arial" w:eastAsia="arial" w:hAnsi="arial" w:cs="arial"/>
          <w:color w:val="000000"/>
          <w:sz w:val="20"/>
          <w:lang w:val="en-US" w:eastAsia="en-US" w:bidi="ar-SA"/>
        </w:rPr>
        <w:t xml:space="preserve">, </w:t>
      </w:r>
      <w:hyperlink r:id="rId537" w:history="1">
        <w:r>
          <w:rPr>
            <w:rFonts w:ascii="arial" w:eastAsia="arial" w:hAnsi="arial" w:cs="arial"/>
            <w:i/>
            <w:color w:val="0077CC"/>
            <w:sz w:val="20"/>
            <w:u w:val="single"/>
            <w:shd w:val="clear" w:color="auto" w:fill="FFFFFF"/>
            <w:lang w:val="en-US" w:eastAsia="en-US" w:bidi="ar-SA"/>
          </w:rPr>
          <w:t>2015 BCSC 369</w:t>
        </w:r>
      </w:hyperlink>
      <w:r>
        <w:rPr>
          <w:rFonts w:ascii="arial" w:eastAsia="arial" w:hAnsi="arial" w:cs="arial"/>
          <w:color w:val="000000"/>
          <w:sz w:val="20"/>
          <w:lang w:val="en-US" w:eastAsia="en-US" w:bidi="ar-SA"/>
        </w:rPr>
        <w:t xml:space="preserve">, the plaintiff was a 43-year-old food production assistant. The trial was five years after the accident. The plaintiff was back at work by the time of trial. Ms. Guitierrez suffered soft tissue injuries which caused pain in her neck, left arm and low back. She also experienced pain to her left knee and numbness in her left arm and hand. No psychiatrist gave evidence, but a psychologist did provide an opinion that the plaintiff suffered from several mental health conditions including PTSD, relating to being struck in a crosswalk. Justice Schultes awarded damages of $75,000. </w:t>
      </w:r>
      <w:r>
        <w:rPr>
          <w:rFonts w:ascii="arial" w:eastAsia="arial" w:hAnsi="arial" w:cs="arial"/>
          <w:i/>
          <w:color w:val="000000"/>
          <w:sz w:val="20"/>
          <w:lang w:val="en-US" w:eastAsia="en-US" w:bidi="ar-SA"/>
        </w:rPr>
        <w:t>Guitierrez</w:t>
      </w:r>
      <w:r>
        <w:rPr>
          <w:rFonts w:ascii="arial" w:eastAsia="arial" w:hAnsi="arial" w:cs="arial"/>
          <w:color w:val="000000"/>
          <w:sz w:val="20"/>
          <w:lang w:val="en-US" w:eastAsia="en-US" w:bidi="ar-SA"/>
        </w:rPr>
        <w:t xml:space="preserve"> is somewhat distinguishable from this case because the plaintiff was considerably younger and was able to return to work on a permanent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third case referred to by the defendants, </w:t>
      </w:r>
      <w:r>
        <w:rPr>
          <w:rFonts w:ascii="arial" w:eastAsia="arial" w:hAnsi="arial" w:cs="arial"/>
          <w:i/>
          <w:color w:val="000000"/>
          <w:sz w:val="20"/>
          <w:lang w:val="en-US" w:eastAsia="en-US" w:bidi="ar-SA"/>
        </w:rPr>
        <w:t>Smith v. Neil</w:t>
      </w:r>
      <w:r>
        <w:rPr>
          <w:rFonts w:ascii="arial" w:eastAsia="arial" w:hAnsi="arial" w:cs="arial"/>
          <w:color w:val="000000"/>
          <w:sz w:val="20"/>
          <w:lang w:val="en-US" w:eastAsia="en-US" w:bidi="ar-SA"/>
        </w:rPr>
        <w:t xml:space="preserve">, </w:t>
      </w:r>
      <w:hyperlink r:id="rId538" w:history="1">
        <w:r>
          <w:rPr>
            <w:rFonts w:ascii="arial" w:eastAsia="arial" w:hAnsi="arial" w:cs="arial"/>
            <w:i/>
            <w:color w:val="0077CC"/>
            <w:sz w:val="20"/>
            <w:u w:val="single"/>
            <w:shd w:val="clear" w:color="auto" w:fill="FFFFFF"/>
            <w:lang w:val="en-US" w:eastAsia="en-US" w:bidi="ar-SA"/>
          </w:rPr>
          <w:t>2015 BCSC 9</w:t>
        </w:r>
      </w:hyperlink>
      <w:r>
        <w:rPr>
          <w:rFonts w:ascii="arial" w:eastAsia="arial" w:hAnsi="arial" w:cs="arial"/>
          <w:color w:val="000000"/>
          <w:sz w:val="20"/>
          <w:lang w:val="en-US" w:eastAsia="en-US" w:bidi="ar-SA"/>
        </w:rPr>
        <w:t xml:space="preserve">, involved a 56-year-old woman who was injured in a two-car collision. The plaintiff suffered soft tissue injuries that were treated conservatively with rest, muscle relaxants and some physiotherapy. As I read </w:t>
      </w:r>
      <w:r>
        <w:rPr>
          <w:rFonts w:ascii="arial" w:eastAsia="arial" w:hAnsi="arial" w:cs="arial"/>
          <w:i/>
          <w:color w:val="000000"/>
          <w:sz w:val="20"/>
          <w:lang w:val="en-US" w:eastAsia="en-US" w:bidi="ar-SA"/>
        </w:rPr>
        <w:t>Smith</w:t>
      </w:r>
      <w:r>
        <w:rPr>
          <w:rFonts w:ascii="arial" w:eastAsia="arial" w:hAnsi="arial" w:cs="arial"/>
          <w:color w:val="000000"/>
          <w:sz w:val="20"/>
          <w:lang w:val="en-US" w:eastAsia="en-US" w:bidi="ar-SA"/>
        </w:rPr>
        <w:t>, there was no claim for psychiatric injury. The plaintiff missed a few days' work, but not any loss of income because her employer paid her while she was off work. The plaintiff's injuries became chronic and limited her participation in golf and hiking, pursuits she had enjoyed prior to the accident. Justice Harvey awarded $85,000 in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In this case I have found that Ms. La Porte did develop psychiatric illness as a result of the Accident. With the exception of Dr. Levin, whose evidence I have rejected, all the medical evidence agrees that her condition is chronic. While there is evidence that Ms. La Porte would get some benefit from a structured fitness program, I question whether she would be able to comply with the requirements of such a program. On the other hand, I have not forgotten that some part of her psychological difficulties is caused by her cognitive deterioration.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Taking all of these considerations into account, I assess non-pecuniary damages at $120,000.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Past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It is trite law that awards for loss of income earning capacity, both past and future, are awards for the loss or impairment of a capital asset: the capacity to earn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However, that loss can be measured by taking into account the injured person's actual lost income in cases in which that person has been employed with a particular employer at a particular job, and there is no evidence that that employment history would have changed had there been no tortious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In this case, therefore, I will assess damages for past loss of income by determining what Ms. La Porte would have earned working as a HandyDart driver for Peace Transit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I have already found that but for the Accident, Ms. La Porte would probably have been able to continue working until she reached age 65. The parties have agreed that, subject to causation, Ms. La Porte's wage loss as of May 30, 2016 was $231,059. I have found that Ms. La Porte has established causation; however, she turned 65 on March 2, 2016, meaning she would have stopped working some three months prior to May 30,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At the time of trial the wage rate for Ms. La Porte's position was $30.59 per hour. As damages are to be assessed and not calculated, I have not done a mathematical calculation of the difference between the agreed amount of lost wages to May 30 and to March 2. Based on the above hourly wage, the difference is approximately $12,000. I therefore assess damages for loss of past income earning capacity at $220,000.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It was not clear to me whether the agreed wage loss takes into account s. 98 of the </w:t>
      </w:r>
      <w:r>
        <w:rPr>
          <w:rFonts w:ascii="arial" w:eastAsia="arial" w:hAnsi="arial" w:cs="arial"/>
          <w:i/>
          <w:color w:val="000000"/>
          <w:sz w:val="20"/>
          <w:lang w:val="en-US" w:eastAsia="en-US" w:bidi="ar-SA"/>
        </w:rPr>
        <w:t>Insurance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231</w:t>
      </w:r>
      <w:r>
        <w:rPr>
          <w:rFonts w:ascii="arial" w:eastAsia="arial" w:hAnsi="arial" w:cs="arial"/>
          <w:color w:val="000000"/>
          <w:sz w:val="20"/>
          <w:lang w:val="en-US" w:eastAsia="en-US" w:bidi="ar-SA"/>
        </w:rPr>
        <w:t>. If it does not, the parties may make further submissions to me with respect to an adjustment to comply with that provision.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Loss of Future Income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I have found on a balance of probabilities that Ms. La Porte would not have been able to work beyond the age of 65, even if she had not been involved in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 am aware that loss of future income earning capacity, involving as it does uncertain future events, may be awarded if the evidence shows a substantial possibility of such future loss. However, in this case I find that there was no substantial possibility that Ms. La Porte could work beyond age 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Accordingly, even though Ms. La Porte indicated that she intended to work beyond age 65, I can find no basis for an award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Ms. La Porte claims the following items for her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One course of physiotherapy $1,800 One session of Cognitive Behavioural Therapy $3,000 Medication for five years </w:t>
      </w:r>
      <w:r>
        <w:rPr>
          <w:rFonts w:ascii="arial" w:eastAsia="arial" w:hAnsi="arial" w:cs="arial"/>
          <w:color w:val="000000"/>
          <w:sz w:val="20"/>
          <w:u w:val="single"/>
          <w:lang w:val="en-US" w:eastAsia="en-US" w:bidi="ar-SA"/>
        </w:rPr>
        <w:t>$5,000</w:t>
      </w:r>
      <w:r>
        <w:rPr>
          <w:rFonts w:ascii="arial" w:eastAsia="arial" w:hAnsi="arial" w:cs="arial"/>
          <w:color w:val="000000"/>
          <w:sz w:val="20"/>
          <w:lang w:val="en-US" w:eastAsia="en-US" w:bidi="ar-SA"/>
        </w:rPr>
        <w:t xml:space="preserve"> Total $9,800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xml:space="preserve">  Ms. La Porte is entitled to be compensated for the cost of future care arising out of the injuries she suffered in the Accident. In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83-84, </w:t>
      </w:r>
      <w:hyperlink r:id="rId425" w:history="1">
        <w:r>
          <w:rPr>
            <w:rFonts w:ascii="arial" w:eastAsia="arial" w:hAnsi="arial" w:cs="arial"/>
            <w:i/>
            <w:color w:val="0077CC"/>
            <w:sz w:val="20"/>
            <w:u w:val="single"/>
            <w:shd w:val="clear" w:color="auto" w:fill="FFFFFF"/>
            <w:lang w:val="en-US" w:eastAsia="en-US" w:bidi="ar-SA"/>
          </w:rPr>
          <w:t>[1985] B.C.J. No. 2762</w:t>
        </w:r>
      </w:hyperlink>
      <w:r>
        <w:rPr>
          <w:rFonts w:ascii="arial" w:eastAsia="arial" w:hAnsi="arial" w:cs="arial"/>
          <w:color w:val="000000"/>
          <w:sz w:val="20"/>
          <w:lang w:val="en-US" w:eastAsia="en-US" w:bidi="ar-SA"/>
        </w:rPr>
        <w:t xml:space="preserve"> at paras. 198-201 (S.C.), aff'd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Justice McLachlin, as she then was, set out the basis on which damages for the cost of future care are to be assessed: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198 If there was any doubt as to whether the award for cost of future care must be justified on a medical basis, it was dispelled by MacDonald v. Alderson, </w:t>
      </w:r>
      <w:hyperlink r:id="rId539" w:history="1">
        <w:r>
          <w:rPr>
            <w:rFonts w:ascii="arial" w:eastAsia="arial" w:hAnsi="arial" w:cs="arial"/>
            <w:i/>
            <w:color w:val="0077CC"/>
            <w:sz w:val="20"/>
            <w:u w:val="single"/>
            <w:shd w:val="clear" w:color="auto" w:fill="FFFFFF"/>
            <w:lang w:val="en-US" w:eastAsia="en-US" w:bidi="ar-SA"/>
          </w:rPr>
          <w:t>[1982] 3 W.W.R. 385</w:t>
        </w:r>
      </w:hyperlink>
      <w:r>
        <w:rPr>
          <w:rFonts w:ascii="arial" w:eastAsia="arial" w:hAnsi="arial" w:cs="arial"/>
          <w:color w:val="000000"/>
          <w:sz w:val="20"/>
          <w:lang w:val="en-US" w:eastAsia="en-US" w:bidi="ar-SA"/>
        </w:rPr>
        <w:t>, leave to appeal to the Supreme Court of Canada refused. In that case it was suggested that the plaintiff, a quadriplegic, should be awarded sufficient funds to purchase and maintain his own house on the non-medical grounds that this would give him a greater sense of " 'autonomy, privacy, financial stability and pride of ownership . . . and greater opportunities for gardening, owning a pet, and more space for hobbies' ". The Manitoba Court of Appeal rejected this evidence as "subjective theorizing" and reduced the award made at trial. The test for determining the appropriate award under the heading of cost of future care, it may be inferred, is an objective one based on medical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199 These authorities establish (1) that there must be a medical justification for claims for cost of future care; and (2) that the claims must be reasonable. On the latter point, Dickson J. stated in Andrews at p. 586: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 award must be moderate, and fair to both parties . . . But, in a case like the present, where both courts have favoured a home environment, "reasonable" means reasonableness in what is to be provided in that home environment.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200 This then must be the basis upon which damages for costs of future care are assessed.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201 It follows that I must reject the plaintiff's submission that damages for cost of future care should take into account the cost of amenities which serve the sole function of making the plaintiff's life more bearable or enjoyable. The award for cost of care should reflect what the evidence establishes is reasonably necessary to preserve the plaintiff's health. At the same time, it must be recognized that happiness and health are often intertwined.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The defendants concede that the costs of treatment to address Ms. La Porte's physical symptoms are recoverable if recommended by a physician. Dr. Parker recommended a course of physiotherapy for Ms. La Porte and Dr. Chu was of the opinion that 15 sessions with an exercise therapist to strengthen Ms. La Porte's core muscles may provide some relief for her back problems. I am therefore satisfied that the claim for physiotherapy is justified on a medical basis and that the cost is reasonable. That claim is therefore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The defendants oppose any compensation for the cost of treatment for Ms. La Porte's psychiatric difficulties. However, I have made a finding that there is a substantial connection between the injuries Ms. La Porte suffered in the Accident and her major depressive and pain disorders. The Cognitive Behavioural Therapy was recommended by Dr. Oluyede, Ms. La Porte's treating psychiatrist. There is evidence that the cost is reasonable. I therefore allow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I have more difficulty with the claim for the cost of future medication. There is evidence that Ms. La Porte was not fully compliant with taking prescribed medications but she has given an explanation for that noncompliance in her evidence. She will clearly need to continue to take medication in the future. However, I am not satisfied that she has provided sufficient evidence to allow me to make the award sought for such medication. There was little evidence as to the specific medications she should take, the recommended dosage, or the cost or duration of the medications. There is evidence that Ms. La Porte does benefit from the medications prescribed by Dr. Oluyede, but no evidence as to their actual costs. I would reduce the amount of this claim to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In summary, Ms. La Porte is entitled to damages for the cost of future care in the amount of $6,800, which I round up to $7,000.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In the Agreed Statement of Facts, the parties agree, subject to causation, that Ms. La Porte has incurred special damages of $2,159.24. I am satisfied that these damages are recoverable as being caused or contributed to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 defendants submit that if Ms. La Porte has suffered psychological injuries she has failed to mitigate her damages from those injuries. The defendants seek a reduction of 15% to 25% for that failure to mitigate.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The defendants say that Ms. La Porte was noncompliant in taking the medications prescribed to her by Dr. Oluyede. They point to portions of Dr. Oluyede's report in which she noted that Ms. La Porte's sleep and emotional health improved when she took her medications. They also rely on Dr. Oluyede's cross-examination, in which she agreed that Ms. La Porte struggled with complying with taking her prescribed medications.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xml:space="preserve">  The defendants bear the onus of establishing that Ms. La Porte failed to mitigate her loss. To establish a failure to mitigate, the defendants must prove that Ms. La Porte unreasonably failed to follow medical advice to undertake a recommended treatment and the extent, if any, to which her damages would have been reduced had she acted reasonably. The principle was succinctly summarized by Justice Low in </w:t>
      </w:r>
      <w:r>
        <w:rPr>
          <w:rFonts w:ascii="arial" w:eastAsia="arial" w:hAnsi="arial" w:cs="arial"/>
          <w:i/>
          <w:color w:val="000000"/>
          <w:sz w:val="20"/>
          <w:lang w:val="en-US" w:eastAsia="en-US" w:bidi="ar-SA"/>
        </w:rPr>
        <w:t>Chiu v. Chiu</w:t>
      </w:r>
      <w:r>
        <w:rPr>
          <w:rFonts w:ascii="arial" w:eastAsia="arial" w:hAnsi="arial" w:cs="arial"/>
          <w:color w:val="000000"/>
          <w:sz w:val="20"/>
          <w:lang w:val="en-US" w:eastAsia="en-US" w:bidi="ar-SA"/>
        </w:rPr>
        <w:t xml:space="preserve">, </w:t>
      </w:r>
      <w:hyperlink r:id="rId230" w:history="1">
        <w:r>
          <w:rPr>
            <w:rFonts w:ascii="arial" w:eastAsia="arial" w:hAnsi="arial" w:cs="arial"/>
            <w:i/>
            <w:color w:val="0077CC"/>
            <w:sz w:val="20"/>
            <w:u w:val="single"/>
            <w:shd w:val="clear" w:color="auto" w:fill="FFFFFF"/>
            <w:lang w:val="en-US" w:eastAsia="en-US" w:bidi="ar-SA"/>
          </w:rPr>
          <w:t>2002 BCCA 618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[57] The onus is on the defendant to prove that the plaintiff could have avoided all or a portion of his loss. In a personal injury case in which the plaintiff has not pursued a course of medical treatment recommended to him by doctors, the defendant must prove two things: (1) that the plaintiff acted unreasonably in eschewing the recommended treatment, and (2) the extent, if any, to which the plaintiff's damages would have been reduced had he acted reasonably. These principles are found in </w:t>
      </w:r>
      <w:r>
        <w:rPr>
          <w:rFonts w:ascii="arial" w:eastAsia="arial" w:hAnsi="arial" w:cs="arial"/>
          <w:i/>
          <w:color w:val="000000"/>
          <w:sz w:val="20"/>
          <w:lang w:val="en-US" w:eastAsia="en-US" w:bidi="ar-SA"/>
        </w:rPr>
        <w:t>Janiak v. Ippolito</w:t>
      </w:r>
      <w:r>
        <w:rPr>
          <w:rFonts w:ascii="arial" w:eastAsia="arial" w:hAnsi="arial" w:cs="arial"/>
          <w:color w:val="000000"/>
          <w:sz w:val="20"/>
          <w:lang w:val="en-US" w:eastAsia="en-US" w:bidi="ar-SA"/>
        </w:rPr>
        <w:t xml:space="preserve">, </w:t>
      </w:r>
      <w:hyperlink r:id="rId495" w:history="1">
        <w:r>
          <w:rPr>
            <w:rFonts w:ascii="arial" w:eastAsia="arial" w:hAnsi="arial" w:cs="arial"/>
            <w:i/>
            <w:color w:val="0077CC"/>
            <w:sz w:val="20"/>
            <w:u w:val="single"/>
            <w:shd w:val="clear" w:color="auto" w:fill="FFFFFF"/>
            <w:lang w:val="en-US" w:eastAsia="en-US" w:bidi="ar-SA"/>
          </w:rPr>
          <w:t>[1985] 1 S.C.R. 146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I am not satisfied that the defendants have met the onus on them with respect to either of the elements necessary to establish a failure to mitigate. The evidence with respect to Ms. La Porte's noncompliance comes from Dr. Oluyede, who said that Ms. La Porte struggled to comply with recommendations to take prescribed medication. The evidence is that Ms. La Porte did fail to take her prescription medications from time to time. However, her evidence was that there were also times when she did take it. The tenor of her evidence was that she sometimes stopped taking medication because she ran out and at other times to see if she could manage without it. While her memory was poor, she also indicated that she did take those medications from which she thought she was obtaining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However, the fundamental difficulty with the claim that Ms. La Porte failed to mitigate is that the defendants did not lead any evidence as to the extent to which her damages would have been reduced had she complied. The medications in question were not cures for Ms. La Porte's injuries. They were prescribed to help her with her mood and sleep. I have taken the fact that she is able to get some relief from her medications into account in assessing non-pecuniary damages. Given that fact, I cannot see any basis for a further reduction in her damages on the facts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Summary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I award Ms. La Porte the following damages:</w:t>
      </w:r>
      <w:r>
        <w:rPr>
          <w:rFonts w:ascii="arial" w:eastAsia="arial" w:hAnsi="arial" w:cs="arial"/>
          <w:sz w:val="20"/>
          <w:lang w:val="en-US" w:eastAsia="en-US" w:bidi="ar-SA"/>
        </w:rPr>
        <w:cr/>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$120,000.00</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Past Income Earning Capacity $220,000.00</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$7,000.00</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Special Damages </w:t>
      </w:r>
      <w:r>
        <w:rPr>
          <w:rFonts w:ascii="arial" w:eastAsia="arial" w:hAnsi="arial" w:cs="arial"/>
          <w:color w:val="000000"/>
          <w:sz w:val="20"/>
          <w:u w:val="single"/>
          <w:lang w:val="en-US" w:eastAsia="en-US" w:bidi="ar-SA"/>
        </w:rPr>
        <w:t>$2,159.24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Total $349,159.24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Rounded to $350,000.00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consider this award to be fair and reasonable to the plaintiff and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Subject to any application the parties may make, the plaintiff is entitled to her costs as a matter of ordinary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R.J. SEWELL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86" style="position:absolute;z-index:2518702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40"/>
          <w:headerReference w:type="default" r:id="rId541"/>
          <w:footerReference w:type="even" r:id="rId542"/>
          <w:footerReference w:type="default" r:id="rId543"/>
          <w:headerReference w:type="first" r:id="rId544"/>
          <w:footerReference w:type="first" r:id="rId54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46" w:history="1">
        <w:r>
          <w:rPr>
            <w:rFonts w:ascii="arial" w:eastAsia="arial" w:hAnsi="arial" w:cs="arial"/>
            <w:b/>
            <w:bCs/>
            <w:i/>
            <w:color w:val="0077CC"/>
            <w:kern w:val="32"/>
            <w:sz w:val="28"/>
            <w:szCs w:val="32"/>
            <w:u w:val="single"/>
            <w:shd w:val="clear" w:color="auto" w:fill="FFFFFF"/>
            <w:lang w:val="en-US" w:eastAsia="en-US" w:bidi="ar-SA"/>
          </w:rPr>
          <w:t>Paller v. Regan, [2013] B.C.J. No. 1986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L. Fenlon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July 29-31, August 1-2, 6-8,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August 23,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M110733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1986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1672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Timothy David Paller, Plaintiff, and Gregory Steven Regan and Teresita Racca Semilla,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87" style="position:absolute;z-index:251670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78" w:name="Keywords_11"/>
      <w:bookmarkEnd w:id="78"/>
      <w:r>
        <w:rPr>
          <w:rFonts w:ascii="arial" w:eastAsia="arial" w:hAnsi="arial" w:cs="arial"/>
          <w:b/>
          <w:color w:val="000000"/>
          <w:sz w:val="20"/>
          <w:lang w:val="en-US" w:eastAsia="en-US" w:bidi="ar-SA"/>
        </w:rPr>
        <w:t>Damages — Physical and psychological injuries — Physical injuries — Body injuries — Back and spine — Neck — Head injuries — Headaches — Psychological injuries — Arising subsequent to incident — Considerations impacting on award — Age of claimant — Determination of damages for injuries arising from motor vehicle accident — Plaintiff was awarded $85,000 in non-pecuniary damages, $7869 for past wage loss, $102,000 for loss of earning capacity, $4510 for cost of future care and $1262 in special damages — Plaintiff's vehicle was struck on rear passenger side when defendant accelerated into plaintiff's lane from parking lot — Plaintiff was 49 and worked full- and part-time — Plaintiff suffered back and neck injuries, headaches and, year later, anxiety — Prognosis was poor.</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Employment status — Cost of future care — Loss of earning capacity — Retroactive loss of income — Special damages — Non-pecuniary loss — Determination of damages for injuries arising from motor vehicle accident — Plaintiff was awarded $85,000 in non-pecuniary damages, $7869 for past wage loss, $102,000 for loss of earning capacity, $4510 for cost of future care and $1262 in special damages — Plaintiff's vehicle was struck on rear passenger side when defendant accelerated into plaintiff's lane from parking lot — Plaintiff was 49 and worked full- and part-time — Plaintiff suffered back and neck injuries, headaches and, year later, anxiety — Prognosis was poor.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79" w:name="Case Summary_11"/>
            <w:bookmarkEnd w:id="7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plaintiff's vehicle was struck on the rear passenger side when the defendant accelerated into the plaintiff's lane from a parking lot. The plaintiff was 49. Before the accident, he worked full-time as a general maintenance worker at a hospital and part-time as an ice facility maintenance worker and regularly played recreational hockey. A year and a half after the accident, he left the hospital work and took full-time work as an ice man at a different rink from where he did his part-time work, which he continued.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0" w:name="Holdings of Court_10"/>
            <w:bookmarkEnd w:id="80"/>
            <w:r>
              <w:rPr>
                <w:rFonts w:ascii="arial" w:eastAsia="arial" w:hAnsi="arial" w:cs="arial"/>
                <w:color w:val="000000"/>
                <w:sz w:val="20"/>
                <w:lang w:val="en-US" w:eastAsia="en-US" w:bidi="ar-SA"/>
              </w:rPr>
              <w:t>HELD: The plaintiff was awarded $85,000 in non-pecuniary damages, $7869 for past wage loss, $102,000 for loss of earning capacity, $4510 for cost of future care and $1262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suffered back and neck injuries, headaches and, a year later, anxiety as a result of the accident. He did not play hockey as well and his enjoyment of the game was diminished. His relationship with his family was affected. He was more irritable and less patient, did not sleep well and could no longer do yard work. His prognosis was poor. The award for loss of earning capacity was based on his income for one year and his doctor's recommendation that he take three months off. There was a real and substantial possibility that he would lose income either because he would not be able to work two jobs or because he would not be able to meet the physical demands of his full-time job. If so, then he would be less likely to find work, given his physical limitations. The award for cost of future care included amounts for counselling and physiotherapy.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1" w:name="Legislation Cited_7"/>
      <w:bookmarkEnd w:id="8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88" style="position:absolute;z-index:2517217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Rules,</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2" w:name="Counsel_11"/>
      <w:bookmarkEnd w:id="8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89" style="position:absolute;z-index:2517729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T.F. Braidwood and Z.J.D. Vilvang.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C.J. Bolan.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83" w:name="Judgment_11"/>
      <w:bookmarkEnd w:id="83"/>
      <w:r>
        <w:pict>
          <v:line id="_x0000_s1090" style="position:absolute;z-index:25182412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84" w:name="L. FENLON J. (orally)"/>
            <w:bookmarkEnd w:id="84"/>
            <w:r>
              <w:rPr>
                <w:rFonts w:ascii="arial" w:eastAsia="arial" w:hAnsi="arial" w:cs="arial"/>
                <w:b/>
                <w:color w:val="000000"/>
                <w:sz w:val="30"/>
                <w:lang w:val="en-US" w:eastAsia="en-US" w:bidi="ar-SA"/>
              </w:rPr>
              <w:t>L. FENLON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sues for compensation for injuries sustained in a car accident. Liability for the accident is admitted, but the defendants take the position that the mechanism of the accident could not have caused the injuries claimed by the plaintiff. Causation is thus in issue, as is the amount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the day of the accident, February 24, 2009, Mr. Paller was on his way to work at the Coliseum ice rink on the grounds of the PNE. As he drove along a narrow, two-way street, he noticed a van inching out into his lane from a parking lot ahead and to his right. Assuming the defendant driver, Gregory Regan, saw him approaching, he steered over the centre line slightly to give Mr. Regan's vehicle a wide berth. As Mr. Paller drove past, he looked back over his right shoulder at Mr. Regan's van. The defendant did not see Mr. Paller's car for some reason and accelerated into the lane, striking the rear passenger side door and wheel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After the accident, Mr. Paller continued on to the ice rink. Within about two hours his back and neck began hurting, and by that evening the pain was worse. The next morning he could hardly get out of bed due to neck and low back pain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Since the motor vehicle accident Mr. Paller has suffered from back and neck pain, as well as headaches. The worst injury is to the low back, which causes him nearly constant ongoing pain and pain that sometimes radiates to the buttocks and down to the knees. He sometimes experiences symptoms into his arms. Mr. Paller described the low back pain fluctuating from about 2 out of 10 to 8 out of 10 when it flares up. His neck he described as about 1 out of 10 to 7 out of 10 if it flares.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About one year after the accident Mr. Paller began experiencing symptoms of anxiety. He becomes panicked if he has to ride in the back of a vehicle, has developed a fear of flying, and has to check multiple times to ensure that doors are locked at night. He is also overly emotional and teary at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defendants do not dispute that Mr. Paller is suffering from the physical complaints he described at trial, but they say that the manner in which the accident occurred could not have caused these injuries. They submit that Mr. Paller's problems are due to pre-existing osteoarthritis of the spine.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turn to the issue of causation, which is at the heart of this case. Based on a detailed cross-examination on the motion of Mr. Paller's body following impact, (including a demonstration and measurements of the distance of his shoulders and back from the back of the witness box at trial), the defence argues that Mr. Paller's body movement was rotational only, resulting in torsion or twisting forces applied to Mr. Paller's spine. The defendants argue that with his lower back flush against the seat and his head turned to the right looking just behind the passenger head rest at the van as he was passing it, his left hand on the steering wheel, and his right hand down by his leg on the gear shift, Mr. Paller's left shoulder was only 8 to 12 inches off the seat. On impact, the defence submits, Mr. Paller's body rotated on its axis so that his right shoulder pressed into the seat. On this theory, Mr. Paller's back did not move forward. This is significant because the medical experts relied on by the plaintiff on the issue of causation agree that some forward flexion would be required in order to cause an annular tear, also described as a disc herniation, which they say is the source of Mr. Paller's low back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mechanism of the accident relied on by the defence is based on this detailed cross-examination of Mr. Paller about the motion of his body at the time of impact. Mr. Paller did his best to model in the courtroom the way his body moved at the time of collision, but I do not find that there was no aspect of forward flexion when the two vehicles collided.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First, as Mr. Paller so colourfully stated, he is not a crash test dummy with the ability to reconstruct his body movement and recall how many inches his left shoulder moved from the back of the car seat. He was first asked to recall his detailed body movements at the examination for discovery in May and July 2013, three and a half years after the accident. He had nothing to refresh his memory and said, in redirect, that he could not recall every movement his body went through.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Second, the collision happened in an instant and was unexpected. It is not reasonable to expect the plaintiff to remember precisely how his body moved within the vehicle, including the degree of forward as opposed to lateral movement. In my view, a defence based on this degree of specificity of movement upon collision would require some expert opinion evidence about the forces caused by the collision and their impact on the human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Third, the damage to the two vehicles suggests that it is probable that there was some forward movement of Mr. Paller's body. The damage to the defendants' van was on the left front bumper at the left edge, which is consistent with Mr. Regan having completed a good portion of his right turn prior to impact with Mr. Paller, who was in the middle of the two lanes and moving in the same direction. In short, this was not a pure T-bone type collision at 90 degrees. Mr. Paller described Mr. Regan's van pushing the back end of the car, but he was also moving in the same direction as Mr. Paller, which common sense suggests would cause a jolt forward as well as to the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Fourth, the defendants' theory that osteoarthritis in Mr. Paller's spine is the cause of his ongoing pain would require the Court to find that Mr. Paller's pre-existing asymptomatic condition coincidently became symptomatic within two hours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pause here to note that it is, of course, the plaintiff's burden to prove on a balance of probabilities that the injuries he now has were caused by the motor vehicle accident. I am addressing there the defendants' alternate explanation for how the injuries could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is no dispute on the facts that prior to the accident Mr. Paller felt well and strong. He has been an athlete most of his life, excelling in amateur hockey and playing two levels below the NHL. Mr. Paller had experienced various injuries from athletics, including a left shoulder separation while playing rugby in high school (an injury which required arthroscopic surgery in 1995); injuries to his knees (which required arthroscopic surgery in 2000 and in April 2008); and a torn right bicep in the fall of 2007. None of these injuries affected his ability to function at work, perform chores at home or play hockey.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 plaintiff must establish on a balance of probabilities that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an injury.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need not be the sole cause of the injury, so long as it is part of the cause beyond the range of </w:t>
      </w:r>
      <w:r>
        <w:rPr>
          <w:rFonts w:ascii="arial" w:eastAsia="arial" w:hAnsi="arial" w:cs="arial"/>
          <w:i/>
          <w:color w:val="000000"/>
          <w:sz w:val="20"/>
          <w:lang w:val="en-US" w:eastAsia="en-US" w:bidi="ar-SA"/>
        </w:rPr>
        <w:t>de minimis.</w:t>
      </w:r>
      <w:r>
        <w:rPr>
          <w:rFonts w:ascii="arial" w:eastAsia="arial" w:hAnsi="arial" w:cs="arial"/>
          <w:color w:val="000000"/>
          <w:sz w:val="20"/>
          <w:lang w:val="en-US" w:eastAsia="en-US" w:bidi="ar-SA"/>
        </w:rPr>
        <w:t xml:space="preserve"> Causation need not be determined by scientific precision: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13-17, and </w:t>
      </w:r>
      <w:r>
        <w:rPr>
          <w:rFonts w:ascii="arial" w:eastAsia="arial" w:hAnsi="arial" w:cs="arial"/>
          <w:i/>
          <w:color w:val="000000"/>
          <w:sz w:val="20"/>
          <w:lang w:val="en-US" w:eastAsia="en-US" w:bidi="ar-SA"/>
        </w:rPr>
        <w:t>Farrant v. Laktin</w:t>
      </w:r>
      <w:r>
        <w:rPr>
          <w:rFonts w:ascii="arial" w:eastAsia="arial" w:hAnsi="arial" w:cs="arial"/>
          <w:color w:val="000000"/>
          <w:sz w:val="20"/>
          <w:lang w:val="en-US" w:eastAsia="en-US" w:bidi="ar-SA"/>
        </w:rPr>
        <w:t xml:space="preserve">, </w:t>
      </w:r>
      <w:hyperlink r:id="rId520" w:history="1">
        <w:r>
          <w:rPr>
            <w:rFonts w:ascii="arial" w:eastAsia="arial" w:hAnsi="arial" w:cs="arial"/>
            <w:i/>
            <w:color w:val="0077CC"/>
            <w:sz w:val="20"/>
            <w:u w:val="single"/>
            <w:shd w:val="clear" w:color="auto" w:fill="FFFFFF"/>
            <w:lang w:val="en-US" w:eastAsia="en-US" w:bidi="ar-SA"/>
          </w:rPr>
          <w:t>2011 BCCA 336</w:t>
        </w:r>
      </w:hyperlink>
      <w:r>
        <w:rPr>
          <w:rFonts w:ascii="arial" w:eastAsia="arial" w:hAnsi="arial" w:cs="arial"/>
          <w:color w:val="000000"/>
          <w:sz w:val="20"/>
          <w:lang w:val="en-US" w:eastAsia="en-US" w:bidi="ar-SA"/>
        </w:rPr>
        <w: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most basic principle of tort law is that the plaintiff must be placed in the position he or she would have been in if not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 better or worse. Tortfeasors must take their victims as they find them, even if the plaintiff's injuries are more severe than they would be for a normal person. This is the "thin skull" rule. However, the defendant need not compensate the plaintiff for any debilitating effects of a pre-existing condition which the plaintiff would have experienced anyway, sometimes called the "crumbling skull" rule,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at paras. 32-35.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Mr. Paller experienced occasional minor low back pain over the years, it, too, had no effect on his normal functioning. He last reported lower back pain to his family doctor in 2006, three years before the accident. His family doctor, Dr. Whittington, confirmed that Mr. Paller's occasional lower back pain was treated with a visit to the chiropractor. She said that his flare-ups were likely due to pre-existing arthritis in his lumbar spine. Both Dr. Whittington and Dr. Chu, a physical medicine and rehabilitation specialist, agree that pre-existing degenerative changes to the spine made Mr. Paller more susceptible to injury, but the defendant must take the plaintiff as he finds him. There was no medical evidence that Mr. Paller's prior low back condition would have become worse or would have interfered with his functioning in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Paller's general good health prior to the accident is evidenced both by his regular participation in men's recreational hockey, as well as his demanding work schedule, which involved a full-time position as a maintenance worker at Peace Arch Hospital, as well as casual shifts as an engineer at the Coliseum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conclude that the medical evidence establishes that Mr. Paller's injuries were due to the car accident. Dr. Whittington has been Mr. Paller's family doctor since 2006. She is a skilled physician with a no-nonsense attitude. Dr. Whittington has extensive experience with injuries of this type and described Mr. Paller as stoic, who under-reported the extent of his injuries, his pain, and the impact of those injuries on his daily functioning. She said that she was aware of that, in part, because of the reporting she received from Mr. Paller's wife, who was also her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Whittington diagnosed whiplash and cervical facet injury, disc lesions at L2, S1, ligamentous strain to the right side of his spine and SI joints and lumbosacral disc herniations and an annular tear to the L4/L5 disc. In addition, she reported that Mr. Paller has headaches and a panic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As I have noted, the defendants did not seriously challenge the whiplash and cervical facet joint injury, headaches and panic disorder. The defendants focussed on causation of the lower back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Dr. Chu diagnosed a disc herniation or tear at the L4/L5 level and a moderate disc protrusion. He stated in cross-examination that the disc tear was new and more likely than not occurred after the accident. Both he and Dr. Whittington said this was consistent with the more acute disc tear protrusion at the L4/L5 level evident on the MRI performed on July 27,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Both Dr. Chu and Dr. Whittington were aware of the views expressed by an orthopedic surgeon, Dr. Sweeting, who treated Mr. Paller in 2009 at Dr. Whittington's request. Dr. Sweeting diagnosed musculoligamentous strain in the spine rather than a disc tear. Neither party filed an opinion report from Dr. Sweeting in accordance with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Accordingly, his report is before the Court only as information available to and considered by the doctors who provided opinion 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Dr. Chu said in cross-examination, whether the cause of the pain is musculoligamentous injury or disc lesion, the result is the same. Mr. Paller has pain and a restriction in his lower back due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only medical opinion evidence tendered by the defence is a report of Dr. Dommisse, an orthopedic surgeon. He did not examine Mr. Paller, but reviewed medical records, imaging, and the reports of Drs. Whittington and Chu. Dr. Dommisse opined that it is unlikely that the accident caused a disc tear or herniation. He stated in his written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outlined above, I have not had the benefit of examining Mr. Paller. I am therefore unable to fully comment on Dr. Chu's report. In my opinion, however, it is unlikely that Mr. Paller suffered a disc tear and/or disc protrusion at L4/5 in a motor vehicle accident of this magnitude.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clinical experience, I have seen approximately four lumbar disc herniations as a result of motor vehicle accidents. These accidents were higher velocity collisions, two of which occurred when the driver drove head on into a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Dr. Dommisse assumed that the speed of Mr. Regan's vehicle was 5 km/h, a number provided by Mr. Regan in a statement given to ICBC shortly after the accident. In cross-examination Mr. Regan was unable to be precise about his speed. He agreed that he was accelerating on to the street, that his speed was moderate, and that he did not brake before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conclude that the opinions of Dr. Chu and Dr. Whittington are to be preferred to that of Dr. Dommisse. As he acknowledged, Dr. Dommisse's opinion was restricted by lack of an examination of the plaintiff. Further, it was largely anecdotal and was based on a fact, the speed of Mr. Regan's vehicle at 5 km/h, that was not proved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Dr. Jung is a psychologist who has treated Mr. Paller on two occasions. He provided an opinion that Mr. Paller is suffering from Anxiety Disorder, NOS, as defined in the DSM 4, the Diagnostic and Statistical Manual of Mental Disorders. Dr. Jung is of the opinion that the anxiety developed as a result of a reaction to chronic injury and pain. I accept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summary on this issue, I find that Mr. Paller's injuries, physical and psychological, were caused by the accident on February 24,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Non-Pecuniary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 turn now to the assessment of damages. First, non-pecuniary damages. The list of factors to be considered in an award of non-pecuniary damages was set by the Court of Appeal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at para. 46:</w:t>
      </w:r>
      <w:r>
        <w:rPr>
          <w:rFonts w:ascii="arial" w:eastAsia="arial" w:hAnsi="arial" w:cs="arial"/>
          <w:sz w:val="20"/>
          <w:lang w:val="en-US" w:eastAsia="en-US" w:bidi="ar-SA"/>
        </w:rPr>
        <w:cr/>
      </w:r>
    </w:p>
    <w:p>
      <w:pPr>
        <w:numPr>
          <w:numId w:val="4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nature of the injury;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stoicism (as a factor that should not, generally speaking, penalize the plaintiff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All of these factors come into play in this case. Mr. Paller is 49 years old. He is, I think it is fair to say, not a complicated man. His life centres around hockey and his family, perhaps in that order. Mr. Paller has played hockey since he was four years old. During his teens he played competitive hockey, obtaining a scholarship to SAIT in Alberta. He also played in the Western Hockey League before abandoning his dream of making the NHL.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Paller began working as an ice man at the arena at SAIT while still a student. This led to obtaining his power engineering ticket and eventually to the position he holds currently as the ice man responsible for the plant and ice at the Abbotsford Recreation Centre. Mrs. Paller, who met her husband when she was 16 years old, smilingly described herself as Mr. Paller's second love, hockey being his first.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Paller has always been the bread-winner in the family, working two jobs to cover expenses so that his wife could stay home and raise their daughter, Lola, an arrangement important to both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Before the accident, Mr. Paller took pride in his skill as a hockey player, his strength and fitness, and his ability to provide for his family and to care for his home. The injuries Mr. Paller suffered in the accident have affected all areas of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 number of men Mr. Paller played hockey with testified at trial; some called by the plaintiff, some called by the defendants. All agreed with Mr. Paller's self-assessment that he no longer plays as well as he did before the accident. The witnesses disagreed on the percentage of decline in the level of Mr. Paller's play, but little turns on that. It is evident that Mr. Paller was at one time one of the best defensemen in the league. Since the accident he is described as an average player. He plays with less intensity and plays fewer and shorter shifts. His enjoyment of the game has been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Paller continues to be a family man and to have a close relationship with his wife and 8-year-old daughter, Lola, but his relationship with both of them has been affected by his injuries. Mr. Paller broke down describing his irritability with his daughter on days when his back is bad. He described not being able to pick her up when she runs to him on his return home, and not being able to play with her the way he used to, despite doing his best -- for example, sitting on a chair to play one of their favourite games of hall hockey in the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Paller is not as patient as he used to be. He has always been easy-going, but his wife described him as worn out now and far less likely to engage in the humour that was a big part of his personality. He does not sleep well, often waking with pain, and walking about the house at night. Mr. Paller can no longer do the yard work around the house and feels badly that those chores, too, have fallen to his wife and sometimes to a friend and neighbour.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Paller is not one to dwell on his injuries. He is a particularly stoic individual who pushes through chronic pain and pushes himself to keep working and playing hockey. He played hockey even in the first two weeks after the accident while still off work, as he said, "Sometimes forcing yourself to move and exercise, even with pain, can loosen you up and help." Mrs. Paller testified that she encouraged Mr. Paller to play then, right after the accident, and to keep playing, because the weekly games are a big part of his social life and friendships, and help improve his mood. Dr. Whittington, too, said it was fine for Mr. Paller to play hockey because he is sensible and will not overdo things if he starts to hurt.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similar vein, Mr. Paller has continued to work two jobs. About a year and a half after the accident, he gave up the full-time work at Peace Arch Hospital in White Rock, which involved a two-hour drive from Abbotsford, and took a position as ice man at the Abbotsford Recreation Centre, which is only 10 minutes from home. Mr. Paller now works full-time at Abbotsford Rec Centre, and part-time at Peace Ach, regularly working 70 to 80 hours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accept his evidence that he pushes through the pain and tries to spread out the physical tasks at work, for example by mopping one dressing room and then taking a break before doing the next. I find he is becoming worn down by the toll this is taking 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only opinion evidence of prognoses is Dr. Chu's. He stated that there is a poor prognosis for resolution of chronic mechanical neck and back pain. He is of the opinion that it is unlikely to resolve, given how long it has been present and the fact that it has plateaued for two years. I accept that evidence and find Mr. Paller's condition is not likely to improve and may possibly worsen.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Whittington recommended that the plaintiff take at least three months off work to rehabilitate and decrease the risk of worsening. Mr. Paller has not been able to follow that advice because of the need to continue to meet the expenses of his family, which he can only do if he is working.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Paller was given a painful epidural injection into his lumbar spine, and also received prolotherapy treatment on six occasions over the course of 2010 and 2011. This involved 25 needle injections per visit. The injections were painful at the time, and Mr. Paller was extremely sore for days after, at times missing work because of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Paller's anxiety about not being able to continue in this way is palpable. He and his wife have always wanted to have her at home caring for Lola, but recently they agreed that Mrs. Paller should return to work. She accepted a job with the City part-time in the hope of getting a full-time job at some point in the event Mr. Paller can no longer work to meet the family's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Paller also sufferers because of the anxiety disorder. He says he would do anything just to go back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What is an appropriate award of damages for pain and suffering and loss of enjoyment of life in a case of this kind? The defendants submit that $7,000 is appropriate. That figure is based on a finding that the accident caused only a temporary ligamentous back strain. I have not accepted that underlying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 submits an award of $85,000 is appropriate, relying on cases involving similar injuries and facts: </w:t>
      </w:r>
      <w:r>
        <w:rPr>
          <w:rFonts w:ascii="arial" w:eastAsia="arial" w:hAnsi="arial" w:cs="arial"/>
          <w:i/>
          <w:color w:val="000000"/>
          <w:sz w:val="20"/>
          <w:lang w:val="en-US" w:eastAsia="en-US" w:bidi="ar-SA"/>
        </w:rPr>
        <w:t>Tomashewsky v. Linnebank</w:t>
      </w:r>
      <w:r>
        <w:rPr>
          <w:rFonts w:ascii="arial" w:eastAsia="arial" w:hAnsi="arial" w:cs="arial"/>
          <w:color w:val="000000"/>
          <w:sz w:val="20"/>
          <w:lang w:val="en-US" w:eastAsia="en-US" w:bidi="ar-SA"/>
        </w:rPr>
        <w:t xml:space="preserve">, </w:t>
      </w:r>
      <w:hyperlink r:id="rId547" w:history="1">
        <w:r>
          <w:rPr>
            <w:rFonts w:ascii="arial" w:eastAsia="arial" w:hAnsi="arial" w:cs="arial"/>
            <w:i/>
            <w:color w:val="0077CC"/>
            <w:sz w:val="20"/>
            <w:u w:val="single"/>
            <w:shd w:val="clear" w:color="auto" w:fill="FFFFFF"/>
            <w:lang w:val="en-US" w:eastAsia="en-US" w:bidi="ar-SA"/>
          </w:rPr>
          <w:t>2013 BCSC 814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Stull v. Cunningham</w:t>
      </w:r>
      <w:r>
        <w:rPr>
          <w:rFonts w:ascii="arial" w:eastAsia="arial" w:hAnsi="arial" w:cs="arial"/>
          <w:color w:val="000000"/>
          <w:sz w:val="20"/>
          <w:lang w:val="en-US" w:eastAsia="en-US" w:bidi="ar-SA"/>
        </w:rPr>
        <w:t xml:space="preserve">, </w:t>
      </w:r>
      <w:hyperlink r:id="rId548" w:history="1">
        <w:r>
          <w:rPr>
            <w:rFonts w:ascii="arial" w:eastAsia="arial" w:hAnsi="arial" w:cs="arial"/>
            <w:i/>
            <w:color w:val="0077CC"/>
            <w:sz w:val="20"/>
            <w:u w:val="single"/>
            <w:shd w:val="clear" w:color="auto" w:fill="FFFFFF"/>
            <w:lang w:val="en-US" w:eastAsia="en-US" w:bidi="ar-SA"/>
          </w:rPr>
          <w:t>2013 BCSC 1140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Neigel v. Weiler</w:t>
      </w:r>
      <w:r>
        <w:rPr>
          <w:rFonts w:ascii="arial" w:eastAsia="arial" w:hAnsi="arial" w:cs="arial"/>
          <w:color w:val="000000"/>
          <w:sz w:val="20"/>
          <w:lang w:val="en-US" w:eastAsia="en-US" w:bidi="ar-SA"/>
        </w:rPr>
        <w:t xml:space="preserve">, </w:t>
      </w:r>
      <w:hyperlink r:id="rId549" w:history="1">
        <w:r>
          <w:rPr>
            <w:rFonts w:ascii="arial" w:eastAsia="arial" w:hAnsi="arial" w:cs="arial"/>
            <w:i/>
            <w:color w:val="0077CC"/>
            <w:sz w:val="20"/>
            <w:u w:val="single"/>
            <w:shd w:val="clear" w:color="auto" w:fill="FFFFFF"/>
            <w:lang w:val="en-US" w:eastAsia="en-US" w:bidi="ar-SA"/>
          </w:rPr>
          <w:t>2013 BCSC 1033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Szymanski v. Morin</w:t>
      </w:r>
      <w:r>
        <w:rPr>
          <w:rFonts w:ascii="arial" w:eastAsia="arial" w:hAnsi="arial" w:cs="arial"/>
          <w:color w:val="000000"/>
          <w:sz w:val="20"/>
          <w:lang w:val="en-US" w:eastAsia="en-US" w:bidi="ar-SA"/>
        </w:rPr>
        <w:t xml:space="preserve">, </w:t>
      </w:r>
      <w:hyperlink r:id="rId550" w:history="1">
        <w:r>
          <w:rPr>
            <w:rFonts w:ascii="arial" w:eastAsia="arial" w:hAnsi="arial" w:cs="arial"/>
            <w:i/>
            <w:color w:val="0077CC"/>
            <w:sz w:val="20"/>
            <w:u w:val="single"/>
            <w:shd w:val="clear" w:color="auto" w:fill="FFFFFF"/>
            <w:lang w:val="en-US" w:eastAsia="en-US" w:bidi="ar-SA"/>
          </w:rPr>
          <w:t>2010 BCSC 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Having considered these cases, I conclude that an award of $85,000 is appropriate, and I award the plaintiff that sum for non-pecuniary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turn now to past wage loss. The first question to address is whether the plaintiff's injuries have impaired his ability to work. I find that they have, and continue to impair his capacity for performing work tasks. Dominic Shew, an occupational therapist, performed a functional capacity evaluation and gave opinion evidence at trial. Mr. Shew described the plaintiff's work at ARC as requiring a heavy or very heavy level of strength. He noted that over the course of his two-day evaluation of the plaintiff, Mr. Paller demonstrated a decreased residual capacity at the end of each day and also a greater impairment on the second day. This is consistent with the plaintiff's description of his increased difficulty performing physical tasks as his work week progresses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addition, the plaintiff's supervisor, Randy Frier, testified that Mr. Paller had been performing below the standards that he expects. He said other employees have approached Mr. Frier to complain that Mr. Paller is not getting the work done. Management has spoken to Mr. Frier about Mr. Paller's performance and has instructed Mr. Frier to push Mr. Paller harder. These comments flowed from the most recent review of Mr. Paller's performance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Finally, Mr. Paller left his job at Peace Arch Hospital in October 2010 because he could no longer handle the effects of the two-hour drive because it caused his back to seize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next question is whether the plaintiff has lost income due to the injuries sustained in the accident. I find that he has. First, he was off work for two weeks immediately following the accident, and has since missed work intermittently on days when his back is bad and he is too seized up in the morning to go to work. The plaintiff has proved the days, hours, and hourly rates lost. I award the sum claimed of $6,475.26 in relation to his employment with Peace Arch Hospital. Fraser Health Authority claims this under a subrogation agreement, and therefore no tax is deducted from that sum.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One shift was lost from work at the Coliseum, amounting to $330.40 less 25% tax, for a net figure of $240.30. As for lost income from work with the City of Abbotsford, Mr. Paller missed nine shifts for a total gross wage loss of $1,859.36, less 25% tax, leaving $1,394.52.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 summary, on the claim for past wage loss, I award Mr. Paller $7,869.87.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the plaintiff submits that Mr. Paller also lost the opportunity to earn a third class engineering ticket available to him while he worked at the larger plant at Peace Arch Hospital, an opportunity not available at ARC. The plaintiff had not taken steps to pursue his third class ticket while he was at Peace Arch Hospital, and there are a number of other factors which have to fall into place before Mr. Paller could obtain such a designation. I find that the plaintiff has failed to prove that obtaining that level was a real and substantial possibility either up to the point of trial or in the future.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turn now to future loss of earning capacity. Future loss of earning capacity is a pecuniary head of damages. The plaintiff must establish a real and substantial possibility that his injuries will result in a loss of income in future. I conclude that the plaintiff has met that burden.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All of Mr. Paller's work experience has been physical in nature. He began as an ice maintenance worker at SAIT and then repaired and maintained airplanes and worked on location in the movie industry as a special effects worker, setting up and moving heavy equipment. He left that work in 2007 after his daughter was born, seeking steadier and more secure employment. That led to the job as a general maintenance worker at Peace Arch Hospital and part-time work as an ice facility maintenance worker at a number of ice arenas, including the Coliseum, and ARC.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Dr. Whittington gave evidence that Mr. Paller may not be able to continue in his current work if the pain does not remit. Mr. Paller is evidently doing his best to continue with this work, but I accept that he is struggling and is becoming worn down by the effort. As set out in </w:t>
      </w: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51"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consideration should be given to the common experience that a person with a stable but energy draining condition will find it more difficult to continue working as he or she grows older.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Paller has considered real estate investment as a possibility for future employment and has attended some lectures in this area, but he has no experience in this type of work. In all the circumstances, I find there is a real and substantial possibility that Mr. Paller will lose income in the future, either because he will no longer be able to work two jobs or because he may lose the full-time job he has because of an inability to meet its physical demands. If that happens, Mr. Paller is less likely to find employment given his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defendants submit that some of Mr. Paller's issues are due to the increased physicality of the work he took on by moving to full-time work as an ice man at the Abbotsford Recreation Centre,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moving from a less physically demanding job at Peace Arch, a decision he made in October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I do not accept that argument. While the job at the ice arena is more consistently physical than the job at Peace Arch Hospital, the latter too involved physical work and over-head work when the air and power systems needed servicing. More importantly, I find that Mr. Paller was unable to tolerate the two-hour drive to Peace Arch each way. The defendants' suggestion that Mr. Paller could stop along the way to rest and stretch is unrealistic, given both the nature of highway driving, the length of the drive, and the need for him to report to a second job on some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As set out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loss of the capital asset of earning capacity may be quantified on either a mathematical or capital asset basis. Mr. Paller's future income loss is difficult to quantify mathematically. His annual income is $88,000. Dr. Whittington has strongly recommended that Mr. Paller take three months off to rehabilitate and prevent worsening of his condition. That would result in $22,000 in lost wages. I am satisfied that Mr. Paller will do whatever is recommended by his physicians in order to improve his health, and I award $22,000 for the lost wages he will incur in taking time off work. I also award about one year's annual earnings of $80,000 as a rough assessment of the likely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for out-of-pocket expenses, the defendants do not take issue with the special damages claimed by the plaintiff. I award $1,262.64 under this head of damages.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I turn now to the cost of future care. The plaintiff is entitled to future care costs that are reasonably necessary, on the medical evidence, to promote the mental and physical health of the plaintiff. The claims must be both medically justified and reasonable: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(C.A.), aff'd </w:t>
      </w:r>
      <w:hyperlink r:id="rId426" w:history="1">
        <w:r>
          <w:rPr>
            <w:rFonts w:ascii="arial" w:eastAsia="arial" w:hAnsi="arial" w:cs="arial"/>
            <w:i/>
            <w:color w:val="0077CC"/>
            <w:sz w:val="20"/>
            <w:u w:val="single"/>
            <w:shd w:val="clear" w:color="auto" w:fill="FFFFFF"/>
            <w:lang w:val="en-US" w:eastAsia="en-US" w:bidi="ar-SA"/>
          </w:rPr>
          <w:t>(1987), 49 B.C.L.R. (2d) 99</w:t>
        </w:r>
      </w:hyperlink>
      <w:r>
        <w:rPr>
          <w:rFonts w:ascii="arial" w:eastAsia="arial" w:hAnsi="arial" w:cs="arial"/>
          <w:color w:val="000000"/>
          <w:sz w:val="20"/>
          <w:lang w:val="en-US" w:eastAsia="en-US" w:bidi="ar-SA"/>
        </w:rPr>
        <w:t xml:space="preserve"> (C.A.), at paras. 184 and 211. Dr. Chu recommends 12 sessions of psychological treatment to address symptoms and anxiety and adjustment to dealing with ongoing pain and limitations. The cost of each session is $200 per hour for a total of $2,400.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Shew recommends a treatment program with a physiotherapist for 6 to 8 weeks, involving 12 to 16 sessions, at a cost of $50 to $75 per session. Using the approximate midpoint off $65 per session for 14 sessions, the total is $910.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Mr. Shew recommends, as well, follow-up with a kinesiologist for 16 sessions over 8 weeks to develop an exercise program which Mr. Paller could then continue on his own with a gym pass. I find it is highly probable that Mr. Paller will follow such a regime, given his statement on a number of occasions at trial that he would like to engage in an exercise program but is concerned about injuring his back. He stated that he would like to have some guidance about how he can exercise safely in the years ahead. I award $800, based on $50 per session, for this future care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gym pass is also recommended at $400 per year for one year only. I find that to be both medically justified and reasonable, as it will permit Mr. Paller to work with a kinesiologist and develop his ability to work out on his own and improve his overall condition. This is a cost flowing from the injuries in this case. Prior to the accident, Mr. Paller did not use a gym membership, relying on hockey as his fitness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summary, I award Mr. Paller a total of $2,400 for counselling, $910 for physiotherapy, $800 for a kinesiologist, and $400 for a one-time gym pass, for a total of $4,510.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summary, the plaintiff is awarded the following damages: Non-pecuniary damages of $85,000; past wage loss of $7,869.87; for loss of capacity, $102,000; for future care $4,510; and for special damages, $1,262.64. The total damages awarded are $200,642.51.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In terms of costs, the plaintiff has been successful and is entitled to his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Is there anything arising,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[SUBMISSIONS RE COSTS AND DISBURSEMENTS]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COURT: In the absence of counsel for the defendants it would not be fair to ask Ms. Szilagyi-Mago, a paralegal, to provide submissions. In light of the amount of the offer, the recovery of Mr. Paller at trial, what I know of the financial circumstances of the parties, and considering all of the factors that must be considered in terms of an award of double costs, including the primary question of whether the offer of $75,000 was an offer that should have been accepted by the defendants at the time, my preliminary view is that double costs should be awarded to the plaintiff from seven days after the date of the offer, which was made June 28, 2013. I am going to specify the dates so we do not have any dispute about that. June 28 was a Friday, so it is costs incurred from July 6 on, up to and including today's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are at liberty to request an oral hearing to address the issue of costs if the parties cannot agree. My preliminary view is just that, and is not a decision. I recognize that the defendant has a right to be heard. The defendants therefore have liberty to set down a hearing before me at 9:00 a.m. if the parties cannot agree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That hearing must actually take place before me within three months. Today is August 23, so that will be by November 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MR. VILVANG: My Lady, one last thing. The plaintiff obviously has some financial concerns and would request that some money be provided ahead of the final cost determination. We are at the Court's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COURT: You are asking for a judgment to be paid prior to the determination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VILVANG: Yes, perhaps not the full amount of the judgment, as depending what arises out of the costs hearing, there may be some shortfall there; however, given the sum that was awarded, perhaps a non-pecuniary amount or the loss of capacity amount be payable forthwith and the remainder of the funds to be assessed upon a hearing of the costs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COURT: Well, the judgment has been pronounced today; that amount is a sum certain and in effect is due now.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VILVANG: Okay.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COURT: Of course a cheque is not going to be issued today, but the judgment stands as of today, even before the order is entered with the costs. So, in my view, that should be taken up with the defendants. Certainly the costs award has to be determined, and that may take some time. If difficulties arise, then you may appear back before me at 9:00 a.m. I do not expect that you should have difficulties about payment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 FENLON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1" style="position:absolute;z-index:2518712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52"/>
          <w:headerReference w:type="default" r:id="rId553"/>
          <w:footerReference w:type="even" r:id="rId554"/>
          <w:footerReference w:type="default" r:id="rId555"/>
          <w:headerReference w:type="first" r:id="rId556"/>
          <w:footerReference w:type="first" r:id="rId55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58" w:history="1">
        <w:r>
          <w:rPr>
            <w:rFonts w:ascii="arial" w:eastAsia="arial" w:hAnsi="arial" w:cs="arial"/>
            <w:b/>
            <w:bCs/>
            <w:i/>
            <w:color w:val="0077CC"/>
            <w:kern w:val="32"/>
            <w:sz w:val="28"/>
            <w:szCs w:val="32"/>
            <w:u w:val="single"/>
            <w:shd w:val="clear" w:color="auto" w:fill="FFFFFF"/>
            <w:lang w:val="en-US" w:eastAsia="en-US" w:bidi="ar-SA"/>
          </w:rPr>
          <w:t>Picton v. Fredericks, [2016] B.C.J. No. 1707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J.W. Williams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23-27,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11,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M100845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1707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1470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Allie Picton, Plaintiff, and Lisa Fredericks and John Ledingham,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(106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2" style="position:absolute;z-index:251671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85" w:name="Keywords_12"/>
      <w:bookmarkEnd w:id="85"/>
      <w:r>
        <w:rPr>
          <w:rFonts w:ascii="arial" w:eastAsia="arial" w:hAnsi="arial" w:cs="arial"/>
          <w:b/>
          <w:color w:val="000000"/>
          <w:sz w:val="20"/>
          <w:lang w:val="en-US" w:eastAsia="en-US" w:bidi="ar-SA"/>
        </w:rPr>
        <w:t>Damages — Physical and psychological injuries — Physical injuries — Body injuries — Back and spine — Neck — Soft tissue — Head injuries — Headaches — Considerations impacting on award — Degree of impairment — Pre-existing injury — Determination of damages for injuries arising from motor vehicle accident — Plaintiff was awarded $85,000 in non-pecuniary damages — Plaintiff suffered soft tissue injuries, resulting in neck, shoulder and back pain and headaches — Injuries from accident had moderately serious impact on plaintiff's life — She experienced pain and suffering and her enjoyment of life was compromised — Her pre-existing psychological problems had real role in causing her difficulties — Her situation was in keeping with "crumbling skull" rule.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Duration of loss — Extent of incapacity — Pre-existing medical conditions — Non-pecuniary loss — Pain and suffering — Determination of damages for injuries arising from motor vehicle accident — Plaintiff was awarded $85,000 in non-pecuniary damages — Plaintiff suffered soft tissue injuries, resulting in neck, shoulder and back pain and headaches — Injuries from accident had moderately serious impact on plaintiff's life — She experienced pain and suffering and her enjoyment of life was compromised — Her pre-existing psychological problems had real role in causing her difficulties — Her situation was in keeping with "crumbling skull" rule.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Limiting factors — Pre-existing conditions — Thin or crumbling skull rule — Determination of damages for injuries arising from motor vehicle accident — Plaintiff was awarded $85,000 in non-pecuniary damages — Plaintiff suffered soft tissue injuries, resulting in neck, shoulder and back pain and headaches — Injuries from accident had moderately serious impact on plaintiff's life — She experienced pain and suffering and her enjoyment of life was compromised — Her pre-existing psychological problems had real role in causing her difficulties — Her situation was in keeping with "crumbling skull" rule.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86" w:name="Case Summary_12"/>
            <w:bookmarkEnd w:id="8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Determination of damages for injuries arising from a motor vehicle accident. The 32-year-old plaintiff was a passenger in a vehicle that collided with the defendant's after he entered an intersection against a stop sign. The plaintiff suffered soft tissue injuries, resulting in neck, shoulder and back pain and headaches. Her pain continued, less intensely, and she occasionally had very significant discomfort from the headaches. The pain and discomfort impacted upon various aspects of her life, including her work as a hairdresser and social life. Before the accident, her physical health was reasonably good and she was reasonably active, but had psychological difficulties. The trial took place almost eight years after the accident.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87" w:name="Holdings of Court_11"/>
            <w:bookmarkEnd w:id="87"/>
            <w:r>
              <w:rPr>
                <w:rFonts w:ascii="arial" w:eastAsia="arial" w:hAnsi="arial" w:cs="arial"/>
                <w:color w:val="000000"/>
                <w:sz w:val="20"/>
                <w:lang w:val="en-US" w:eastAsia="en-US" w:bidi="ar-SA"/>
              </w:rPr>
              <w:t>HELD: The plaintiff was awarded $85,000 in non-pecuniary damages, $8500 for past loss of income, $90,000 for loss of future earning capacity, $2000 for loss of housekeeping capacity, $133,427 for cost of future care and $7860 in special damages.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injuries resulting from the accident had a moderately serious impact on the plaintiff's life. She experienced pain and suffering and her enjoyment of life was compromised in a number of ways. Her pre-existing psychological problems had a real role in causing her difficulties. Her situation was in keeping with the "crumbling skull" rule. The capital asset approach was used to quantify the loss of future earning capacity. The award for cost of future care included amounts for ongoing Botox treatment and physical therapy.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88" w:name="Legislation Cited_8"/>
      <w:bookmarkEnd w:id="8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3" style="position:absolute;z-index:2517227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89" w:name="Counsel_12"/>
      <w:bookmarkEnd w:id="8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4" style="position:absolute;z-index:2517739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H. MacDonald, M. Elliott.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C. York.</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0" w:name="Judgment_12"/>
      <w:bookmarkEnd w:id="90"/>
      <w:r>
        <w:pict>
          <v:line id="_x0000_s1095" style="position:absolute;z-index:25182515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1" w:name="J.W. WILLIAMS J._0"/>
            <w:bookmarkEnd w:id="91"/>
            <w:r>
              <w:rPr>
                <w:rFonts w:ascii="arial" w:eastAsia="arial" w:hAnsi="arial" w:cs="arial"/>
                <w:b/>
                <w:color w:val="000000"/>
                <w:sz w:val="30"/>
                <w:lang w:val="en-US" w:eastAsia="en-US" w:bidi="ar-SA"/>
              </w:rPr>
              <w:t>J.W. WILLIAMS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Allie Picton, brings suit to recover damages she says arise from a motor vehicle collision. The defendant has admitted liability. Accordingly, the task of this Court is to assess the damages to which the plaintiff is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an intersection in the Kitsilano area of Vancouver on the afternoon of February 27, 2008. At the time, Ms. Picton was a passenger in a vehicle being driven by her friend Lisa Fredericks. Ms. Fredericks' vehicle had the right-of-way in the intersection; the other vehicle, driven by John Ledingham, entered the intersection against a stop sign. In the collision, the Ledingham vehicle was spun around.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was no attendance at the scene by emergency personnel. Ms. Picton went home. She saw a doctor the day following, and since that time she says she has experienced a number of consequences that have persisted and have impacted her life. Her testimony and the evidence adduced by her speak to the extent of the injuries and the effect they have had upon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Picton claims damages under a number of heads:</w:t>
      </w:r>
      <w:r>
        <w:rPr>
          <w:rFonts w:ascii="arial" w:eastAsia="arial" w:hAnsi="arial" w:cs="arial"/>
          <w:sz w:val="20"/>
          <w:lang w:val="en-US" w:eastAsia="en-US" w:bidi="ar-SA"/>
        </w:rPr>
        <w:cr/>
      </w:r>
    </w:p>
    <w:p>
      <w:pPr>
        <w:numPr>
          <w:numId w:val="4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and</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will deal with each of these heads of damages individually. Before doing so, I will set out the plaintiff's background and circumstances and the description she has provided with respect to the injuries and their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There is an important matter to be addressed at the outset, in that it very significantly affects the way the Court will assess Ms. Picton's claims: that is the plaintiff's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quite forcefully urges the Court to find that Ms. Picton's credibility is suspect and dubious. Defence counsel contends that, when the evidence is examined carefully, there are a host of reasons to conclude that the plaintiff has greatly exaggerated the effect of her injuries upon her life and, accordingly, she has not proven the claims she advances. The plaintiff, on the other hand, says that she is a truthful and reliable witness and the claims she makes in this case are legitimate and worthy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have given this aspect of the case careful consideration because it is important. In fact, it is pivotal. In order to succeed, the plaintiff must meet the burden of proof that lies upon her: she must satisfy the Court on a balance of probabilities that her claims are made out: that the injuries she says give rise to her damages are proven and that they were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Her testimony is a significant component of the evidence which is relied upon to prove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Ultimately, I have come to the conclusion that the plaintiff is an essentially truthful witness. I reject any suggestion that she has been deliberately untruthful.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same time, I must recognize that Ms. Picton is a complicated personality. In part, in terms of the issue of her credibility at this trial, I attribute that to what seems to be a somewhat stoic nature, seemingly related to an inclination to be a notably private person. My assessment must include acknowledgement of the fact that some psychological difficulties have been a long-standing feature of her makeup and that those issues have been responsible for periods of functional difficulty she has experienced. That condition predated the motor vehicle accident and its effects.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Finally, with respect to the issue of the plaintiff's credibility, it is evident to me that she is not an especially good or particularly reliable historian.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To summarize, I reject the suggestion the defendant urges upon me, that she is a witness of seriously limited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I must of course consider her evidence carefully and critically, particularly given the fact that the claims have such a substantially subjective quality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the course of trial, in addition to testifying herself, the plaintiff called six lay witnesses, persons who are friends or co-workers. Additionally, she relies upon the expert evidence of five witnesses--three of them being medical professionals, one being a functional capacity examiner, and one being an economist.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defence called one witness at trial: the owner of a business where the plaintiff worked for a number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My conclusion, as detailed below, is that the accident caused injuries to Ms. Picton that have resulted in her sustaining damages for which the defendant is liable to compensate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Picton was 32 years of age at the date of trial. She is unmarried but was at the time in a common-law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Picton is originally from the South Okanagan. She graduated from high school in 2001 and went on to attend Okanagan University College. She then moved to Vancouver to pursue a career in hairdressing.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Picton says that the effects of the motor vehicle accident have been serious and have impacted her life in significant ways and continue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Generally, the plaintiff appears to have been a reasonably active person. Personal fitness training and running were the focus for her. She was socially active, often entertaining and going out with friends. Her emotional health had, in her words, "ups and downs; [she] had experienced depression intermittently since [she] was young and experienced social anxiety from time to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Generally, her physical health appears to have been reasonably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Near the end of 2003, the plaintiff began an apprenticeship in hairdressing at a Vancouver salon chain. In September 2004, she and others from that establishment moved to a new operation, Halo Salon. She continued her apprenticeship there for a further 18 months and then graduated. From that point, she continued as a hairdresser at Halo.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best I can discern, Ms. Picton was reasonably successful in her vocation. She enjoyed the work and was apparently well suited to it. She testified, as did others, that hairdressing can be quite demanding in a physical way. There is a substantial amount of standing and reaching, having arms up and out, extended from the body, that forms part of the work. As I understand, she was able to do that without great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Those were her circumstances as at the date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 and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Dealing with the actual collision, Ms. Picton described being in the automobile, wearing her seatbelt, and having her headrest properly adjusted. She described the force of the collision as "hard." She testified that she began to experience neck pain and shoulder pain at the scene and later that evening at home. The next day, she went to work but was experiencing headaches and other discomfort. She left early in order to see a doctor at a walk-in clinic. At that point, in addition to the headache, she says that the discomfort was in her neck and shoulders and in her back, both upper and lower.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According to the plaintiff, the discomfort was bad after the motor vehicle accident, then grew worse and plateaued. Describing her circumstances generally, I conclude that there were good days and bad days but that the discomfort persisted.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terms of treatment, Ms. Picton tried a number of modalities including physiotherapy, acupuncture, yoga, kinesiology services, and massage therapy. She found the physiotherapy to be unhelpful; however, the kinesiology treatments provided her some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principal discomfort, as I understand, was the ongoing headache. She described that as being persistent and very painful. Eventually, she began to receive Botox treatment. That, when administered every three months, provides substantial relief for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for the effects of her injuries on other aspects of her life, the plaintiff says one consequence is that she was no longer able to run, principally because the headache caused such pain. Her gym workouts were less affected. She says her social life was curtailed--she had less energy and the headaches made her less sociable. Another area in which she says the effect of the accident has been quite significant is with respect to housekeeping. Previously, she was apparently very focused on having a home that was extremely neat and clean. She testifies that, because of the discomfort she experiences in her back and shoulders, her ability to keep her home to the standard she likes has been materially diminished.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As at the date of trial, Ms. Picton's testimony was that the neck pain and upper-back pain continues. The low-back discomfort is substantially resolved. The headaches continue. She believes that now, more than seven years post-accident, her symptoms have essentially plateaued.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Ms. Picton has experienced other health issues, unrelated to the accident, from time to time. In 2010, she had a hip problem and was on crutches for a while. She was also in an accident where she was a passenger in a taxicab; I do not understand that any meaningful injury resulted from that. Additionally, she sustained a foot injury that resulted in her being on crutches for a number of months. That caused her to miss significant time from work. In 2012 or 2013, she was involved in an incident while boating. She suffered a cut chin that required sutures. I do not believe that the effect of that event is particularly relevant to the issue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There have also been incidents of a psychological nature which appear relevant. From time to time in her life, Ms. Picton has had to deal with depression and related difficulty. That has entailed a need for psychiatric counselling, and she has had the benefit of medication in that regard. As I understand, she has experienced what she describes as social anxiety and panic attacks. In addition to her psychological difficulties, she also found that her job at Halo was very stressful because of certain interpersonal issues she had with her employer. She left that position in September 2011 and, by her account, her circumstances since then have been much less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In addition to the physical discomfort that Ms. Picton describes, she claims that the effect of the injuries sustained in the motor vehicle accident have had meaningful impact upon her work. Although she does not have precise records, she says that she has, in the years since the accident, missed many days of work and, as well, there have been many days where she was unable to deal with her workload through the day and so took parts of the day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As Ms. Picton explains, the effect of the injuries and continuing resultant condition has impacted upon her income. She says that is both because of days she has had to miss, but also because her reliability and ability to honour appointments with her clientele have been affected. That, she says, has had the effect of reducing 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Picton was quite thoroughly cross-examined with respect to her testimony and in the course of that was referred to a number of comments and notes recorded in assorted medical records arising from her attendance upon various professionals. She was also very closely cross-examined with respect to certain testimony she provided in the course of her examination for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do not intend to deal in any detail with the testimony of the lay witnesses called by the plaintiff. For the most part, they testified in ways that supported her evidence. They spoke of having observed changes to her and concluding that she was experiencing substantial discomfort. The general thrust of the evidence is that she is a person who is not an egregious complainer and that she tries to work her way through the discomfort she experiences. In short, she is stoic.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conclude that Ms. Picton did sustain injuries in the course of the motor vehicle accident and that substantial discomfort has persisted for her. I am not minded to accept that all of the discomfort and all of the lost time is attributable to the accident. I also conclude that, while there was not insignificant discomfort, its effect upon her ability to do her usual activities and to engage in physical activities was significant but not to the extent she seemed to suggest. For example, I am inclined to accept that, from time to time, she engaged in activities such as golfing and snowboarding. I also believe that she continued to pursue her fitness regime, although in a somewhat diminished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satisfied that Ms. Picton sustained soft tissue injuries in the accident, resulting in neck, shoulder, and back pain and headaches. The neck, shoulder, and back pain have not resolved but continue, albeit less intensely. I am satisfied that she continues to deal with headaches; the frequency may not be as great as she contends, but I accept that she does occasionally experience very significant discomfort from those headaches. I also accept the evidence before me that the Botox treatments she receives are substantially effective in enabling her to deal with the discomfort of those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Insofar as the medical evidence is concerned, the Court was provided with several reports from medical professionals regarding Ms. Picton's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One such report was prepared by Dr. H. Thomas Peters. Dr. Peters is a general practitioner and was practicing at the walk-in clinic attended by Ms. Picton on February 28, 2008. Dr. Peters' report is based on his observations of the plaintiff that day as well as clinical records prepared by other medical professionals since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am able to place little weight upon the opinion of Dr. Peters. In my view, his contact with the plaintiff was minimal. I will essentially disregard the opinion he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Ms. Picton also relies upon the evidence of a physiatrist, Dr. Andrew Travlos.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Travlos examined the plaintiff on three separate occasions: February 2009, June 2011, and July 2013. He prepared a total of four reports and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From his evidence, I conclude that he initially noted neck and upper-back pain and headache conditions present at the time of his first examination. He was, at that point, optimistic that these conditions would result. At the time of his second examination, the symptoms were noted to be continuing and had not resolved as he had previously expected. Similarly, in July 2013, he observed that Ms. Picton's recovery was not as he would have expected. He concluded that the situation was affected by her psychological and emotional difficulties and the presence of multiple joint hyperlaxity.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His opinion at trial, as reflected in his final report, is that her recovery had likely reached a plateau.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While I would observe that the opinion of Dr. Travlos is to some extent based upon the plaintiff's self-reporting of her condition--that is, there is a subjectivity to the situation--I find his evidence to be of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also rely upon the testimony and opinion of Dr. Gordon Robinson, a neurologist. He testified with respect to the headache issue, which he sees as being chronic, and the Botox treatment model. According to Dr. Robinson, the plaintiff's injuries are consistent with a diagnosis of chronic post-traumatic headache. He stated in a report dated October 2, 2014, that Ms. Picton's response to the Botox treatments has been "dramatic and consistent" and that the effects of a treatment last for approximately three months. I find no basis to discount or disregard his testimony.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well, the plaintiff relies upon the opinion of Mr. Andrew Hosking, a functional capacity evaluator. Mr. Hosking conducted a detailed assessment of the plaintiff's functional capacity in July 2013 and prepared a report. He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conclusion I take from Mr. Hosking's evidence is that Ms. Picton has functional restrictions that impact upon her ability to do her work. The particular area where he noted difficulty was with respect to working with her arms in an elevated position for sustained periods of time. Based upon that observation, he concludes that Ms. Picton's competitive employability in her vocation--that is, as a hair technician--has been affected by the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Hosking also expressed his opinion that the plaintiff would benefit from ongoing physical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summary, I conclude that Ms. Picton has suffered pain and discomfort from the accident, that it has impacted upon various aspects of her life, and that those effects continue. I am also satisfied that the ongoing Botox treatment is a meaningful contributor to mitigating the discomfort she experiences. I accept that the effects of the accident impacted upon her work and social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That said, I also recognize that there were other factors at play, including the psychological distress that she has experienced separate and apart from the accident. I find no basis to attribute that to the defendant's conduct, and, accordingly, the effect of that cannot be included in the analysis of what award of damages will properly compensate the plaintiff for her pain, suffering, and loss of enjoyment of life as resulting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determining the appropriate quantum of damages to compensate the plaintiff for her pain, suffering, and loss of enjoyment of life, the Court must determine a sum that is both fair to the plaintiff and to the defendant and that provides a full and proper one-time compensation for all of the effects that have been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effects past, present, and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 and the defendant have referred the Court to a number of authorities to guide the determination of an award. Principal among those is the decision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case authorities relied upon by the plaintiff are the following:</w:t>
      </w:r>
      <w:r>
        <w:rPr>
          <w:rFonts w:ascii="arial" w:eastAsia="arial" w:hAnsi="arial" w:cs="arial"/>
          <w:sz w:val="20"/>
          <w:lang w:val="en-US" w:eastAsia="en-US" w:bidi="ar-SA"/>
        </w:rPr>
        <w:cr/>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Morlan v. Barrett</w:t>
      </w:r>
      <w:r>
        <w:rPr>
          <w:rFonts w:ascii="arial" w:eastAsia="arial" w:hAnsi="arial" w:cs="arial"/>
          <w:color w:val="000000"/>
          <w:sz w:val="20"/>
          <w:lang w:val="en-US" w:eastAsia="en-US" w:bidi="ar-SA"/>
        </w:rPr>
        <w:t xml:space="preserve">, </w:t>
      </w:r>
      <w:hyperlink r:id="rId559" w:history="1">
        <w:r>
          <w:rPr>
            <w:rFonts w:ascii="arial" w:eastAsia="arial" w:hAnsi="arial" w:cs="arial"/>
            <w:i/>
            <w:color w:val="0077CC"/>
            <w:sz w:val="20"/>
            <w:u w:val="single"/>
            <w:shd w:val="clear" w:color="auto" w:fill="FFFFFF"/>
            <w:lang w:val="en-US" w:eastAsia="en-US" w:bidi="ar-SA"/>
          </w:rPr>
          <w:t>2010 BCSC 1767</w:t>
        </w:r>
      </w:hyperlink>
      <w:r>
        <w:rPr>
          <w:rFonts w:ascii="arial" w:eastAsia="arial" w:hAnsi="arial" w:cs="arial"/>
          <w:color w:val="000000"/>
          <w:sz w:val="20"/>
          <w:lang w:val="en-US" w:eastAsia="en-US" w:bidi="ar-SA"/>
        </w:rPr>
        <w:t xml:space="preserve">, var'd on other grounds </w:t>
      </w:r>
      <w:hyperlink r:id="rId551" w:history="1">
        <w:r>
          <w:rPr>
            <w:rFonts w:ascii="arial" w:eastAsia="arial" w:hAnsi="arial" w:cs="arial"/>
            <w:i/>
            <w:color w:val="0077CC"/>
            <w:sz w:val="20"/>
            <w:u w:val="single"/>
            <w:shd w:val="clear" w:color="auto" w:fill="FFFFFF"/>
            <w:lang w:val="en-US" w:eastAsia="en-US" w:bidi="ar-SA"/>
          </w:rPr>
          <w:t>2012 BCCA 66</w:t>
        </w:r>
      </w:hyperlink>
      <w:r>
        <w:rPr>
          <w:rFonts w:ascii="arial" w:eastAsia="arial" w:hAnsi="arial" w:cs="arial"/>
          <w:color w:val="000000"/>
          <w:sz w:val="20"/>
          <w:lang w:val="en-US" w:eastAsia="en-US" w:bidi="ar-SA"/>
        </w:rPr>
        <w:t>: $125,000;</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Kirkham v. Richardson</w:t>
      </w:r>
      <w:r>
        <w:rPr>
          <w:rFonts w:ascii="arial" w:eastAsia="arial" w:hAnsi="arial" w:cs="arial"/>
          <w:color w:val="000000"/>
          <w:sz w:val="20"/>
          <w:lang w:val="en-US" w:eastAsia="en-US" w:bidi="ar-SA"/>
        </w:rPr>
        <w:t xml:space="preserve">, </w:t>
      </w:r>
      <w:hyperlink r:id="rId560" w:history="1">
        <w:r>
          <w:rPr>
            <w:rFonts w:ascii="arial" w:eastAsia="arial" w:hAnsi="arial" w:cs="arial"/>
            <w:i/>
            <w:color w:val="0077CC"/>
            <w:sz w:val="20"/>
            <w:u w:val="single"/>
            <w:shd w:val="clear" w:color="auto" w:fill="FFFFFF"/>
            <w:lang w:val="en-US" w:eastAsia="en-US" w:bidi="ar-SA"/>
          </w:rPr>
          <w:t>2014 BCSC 1068</w:t>
        </w:r>
      </w:hyperlink>
      <w:r>
        <w:rPr>
          <w:rFonts w:ascii="arial" w:eastAsia="arial" w:hAnsi="arial" w:cs="arial"/>
          <w:color w:val="000000"/>
          <w:sz w:val="20"/>
          <w:lang w:val="en-US" w:eastAsia="en-US" w:bidi="ar-SA"/>
        </w:rPr>
        <w:t>: $120,000;</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Brown v. Bevan</w:t>
      </w:r>
      <w:r>
        <w:rPr>
          <w:rFonts w:ascii="arial" w:eastAsia="arial" w:hAnsi="arial" w:cs="arial"/>
          <w:color w:val="000000"/>
          <w:sz w:val="20"/>
          <w:lang w:val="en-US" w:eastAsia="en-US" w:bidi="ar-SA"/>
        </w:rPr>
        <w:t xml:space="preserve">, </w:t>
      </w:r>
      <w:hyperlink r:id="rId561" w:history="1">
        <w:r>
          <w:rPr>
            <w:rFonts w:ascii="arial" w:eastAsia="arial" w:hAnsi="arial" w:cs="arial"/>
            <w:i/>
            <w:color w:val="0077CC"/>
            <w:sz w:val="20"/>
            <w:u w:val="single"/>
            <w:shd w:val="clear" w:color="auto" w:fill="FFFFFF"/>
            <w:lang w:val="en-US" w:eastAsia="en-US" w:bidi="ar-SA"/>
          </w:rPr>
          <w:t>2013 BCSC 2136</w:t>
        </w:r>
      </w:hyperlink>
      <w:r>
        <w:rPr>
          <w:rFonts w:ascii="arial" w:eastAsia="arial" w:hAnsi="arial" w:cs="arial"/>
          <w:color w:val="000000"/>
          <w:sz w:val="20"/>
          <w:lang w:val="en-US" w:eastAsia="en-US" w:bidi="ar-SA"/>
        </w:rPr>
        <w:t>: $95,000 (additionally $5,000 was awarded in respect of a second accident, which aggravated symptoms);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Smith v. Fremlin</w:t>
      </w:r>
      <w:r>
        <w:rPr>
          <w:rFonts w:ascii="arial" w:eastAsia="arial" w:hAnsi="arial" w:cs="arial"/>
          <w:color w:val="000000"/>
          <w:sz w:val="20"/>
          <w:lang w:val="en-US" w:eastAsia="en-US" w:bidi="ar-SA"/>
        </w:rPr>
        <w:t xml:space="preserve">, </w:t>
      </w:r>
      <w:hyperlink r:id="rId562" w:history="1">
        <w:r>
          <w:rPr>
            <w:rFonts w:ascii="arial" w:eastAsia="arial" w:hAnsi="arial" w:cs="arial"/>
            <w:i/>
            <w:color w:val="0077CC"/>
            <w:sz w:val="20"/>
            <w:u w:val="single"/>
            <w:shd w:val="clear" w:color="auto" w:fill="FFFFFF"/>
            <w:lang w:val="en-US" w:eastAsia="en-US" w:bidi="ar-SA"/>
          </w:rPr>
          <w:t>2013 BCSC 800</w:t>
        </w:r>
      </w:hyperlink>
      <w:r>
        <w:rPr>
          <w:rFonts w:ascii="arial" w:eastAsia="arial" w:hAnsi="arial" w:cs="arial"/>
          <w:color w:val="000000"/>
          <w:sz w:val="20"/>
          <w:lang w:val="en-US" w:eastAsia="en-US" w:bidi="ar-SA"/>
        </w:rPr>
        <w:t xml:space="preserve">, aff'd </w:t>
      </w:r>
      <w:hyperlink r:id="rId563" w:history="1">
        <w:r>
          <w:rPr>
            <w:rFonts w:ascii="arial" w:eastAsia="arial" w:hAnsi="arial" w:cs="arial"/>
            <w:i/>
            <w:color w:val="0077CC"/>
            <w:sz w:val="20"/>
            <w:u w:val="single"/>
            <w:shd w:val="clear" w:color="auto" w:fill="FFFFFF"/>
            <w:lang w:val="en-US" w:eastAsia="en-US" w:bidi="ar-SA"/>
          </w:rPr>
          <w:t>2014 BCCA 253</w:t>
        </w:r>
      </w:hyperlink>
      <w:r>
        <w:rPr>
          <w:rFonts w:ascii="arial" w:eastAsia="arial" w:hAnsi="arial" w:cs="arial"/>
          <w:color w:val="000000"/>
          <w:sz w:val="20"/>
          <w:lang w:val="en-US" w:eastAsia="en-US" w:bidi="ar-SA"/>
        </w:rPr>
        <w:t>: $90,000;</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Dorosh v. John</w:t>
      </w:r>
      <w:r>
        <w:rPr>
          <w:rFonts w:ascii="arial" w:eastAsia="arial" w:hAnsi="arial" w:cs="arial"/>
          <w:color w:val="000000"/>
          <w:sz w:val="20"/>
          <w:lang w:val="en-US" w:eastAsia="en-US" w:bidi="ar-SA"/>
        </w:rPr>
        <w:t xml:space="preserve">, </w:t>
      </w:r>
      <w:hyperlink r:id="rId564" w:history="1">
        <w:r>
          <w:rPr>
            <w:rFonts w:ascii="arial" w:eastAsia="arial" w:hAnsi="arial" w:cs="arial"/>
            <w:i/>
            <w:color w:val="0077CC"/>
            <w:sz w:val="20"/>
            <w:u w:val="single"/>
            <w:shd w:val="clear" w:color="auto" w:fill="FFFFFF"/>
            <w:lang w:val="en-US" w:eastAsia="en-US" w:bidi="ar-SA"/>
          </w:rPr>
          <w:t>2013 BCSC 1442</w:t>
        </w:r>
      </w:hyperlink>
      <w:r>
        <w:rPr>
          <w:rFonts w:ascii="arial" w:eastAsia="arial" w:hAnsi="arial" w:cs="arial"/>
          <w:color w:val="000000"/>
          <w:sz w:val="20"/>
          <w:lang w:val="en-US" w:eastAsia="en-US" w:bidi="ar-SA"/>
        </w:rPr>
        <w:t>: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cases relied upon by the defendant are these:</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Rosso v. Balubal</w:t>
      </w:r>
      <w:r>
        <w:rPr>
          <w:rFonts w:ascii="arial" w:eastAsia="arial" w:hAnsi="arial" w:cs="arial"/>
          <w:color w:val="000000"/>
          <w:sz w:val="20"/>
          <w:lang w:val="en-US" w:eastAsia="en-US" w:bidi="ar-SA"/>
        </w:rPr>
        <w:t xml:space="preserve">, </w:t>
      </w:r>
      <w:hyperlink r:id="rId565" w:history="1">
        <w:r>
          <w:rPr>
            <w:rFonts w:ascii="arial" w:eastAsia="arial" w:hAnsi="arial" w:cs="arial"/>
            <w:i/>
            <w:color w:val="0077CC"/>
            <w:sz w:val="20"/>
            <w:u w:val="single"/>
            <w:shd w:val="clear" w:color="auto" w:fill="FFFFFF"/>
            <w:lang w:val="en-US" w:eastAsia="en-US" w:bidi="ar-SA"/>
          </w:rPr>
          <w:t>2014 BCSC 1786</w:t>
        </w:r>
      </w:hyperlink>
      <w:r>
        <w:rPr>
          <w:rFonts w:ascii="arial" w:eastAsia="arial" w:hAnsi="arial" w:cs="arial"/>
          <w:color w:val="000000"/>
          <w:sz w:val="20"/>
          <w:lang w:val="en-US" w:eastAsia="en-US" w:bidi="ar-SA"/>
        </w:rPr>
        <w:t>: $20,000;</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Pond v. Bucsis</w:t>
      </w:r>
      <w:r>
        <w:rPr>
          <w:rFonts w:ascii="arial" w:eastAsia="arial" w:hAnsi="arial" w:cs="arial"/>
          <w:color w:val="000000"/>
          <w:sz w:val="20"/>
          <w:lang w:val="en-US" w:eastAsia="en-US" w:bidi="ar-SA"/>
        </w:rPr>
        <w:t xml:space="preserve">, </w:t>
      </w:r>
      <w:hyperlink r:id="rId566" w:history="1">
        <w:r>
          <w:rPr>
            <w:rFonts w:ascii="arial" w:eastAsia="arial" w:hAnsi="arial" w:cs="arial"/>
            <w:i/>
            <w:color w:val="0077CC"/>
            <w:sz w:val="20"/>
            <w:u w:val="single"/>
            <w:shd w:val="clear" w:color="auto" w:fill="FFFFFF"/>
            <w:lang w:val="en-US" w:eastAsia="en-US" w:bidi="ar-SA"/>
          </w:rPr>
          <w:t>2013 BCSC 2001</w:t>
        </w:r>
      </w:hyperlink>
      <w:r>
        <w:rPr>
          <w:rFonts w:ascii="arial" w:eastAsia="arial" w:hAnsi="arial" w:cs="arial"/>
          <w:color w:val="000000"/>
          <w:sz w:val="20"/>
          <w:lang w:val="en-US" w:eastAsia="en-US" w:bidi="ar-SA"/>
        </w:rPr>
        <w:t>: $30,000;</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Rogalsky v. Harrett</w:t>
      </w:r>
      <w:r>
        <w:rPr>
          <w:rFonts w:ascii="arial" w:eastAsia="arial" w:hAnsi="arial" w:cs="arial"/>
          <w:color w:val="000000"/>
          <w:sz w:val="20"/>
          <w:lang w:val="en-US" w:eastAsia="en-US" w:bidi="ar-SA"/>
        </w:rPr>
        <w:t xml:space="preserve">, </w:t>
      </w:r>
      <w:hyperlink r:id="rId567" w:history="1">
        <w:r>
          <w:rPr>
            <w:rFonts w:ascii="arial" w:eastAsia="arial" w:hAnsi="arial" w:cs="arial"/>
            <w:i/>
            <w:color w:val="0077CC"/>
            <w:sz w:val="20"/>
            <w:u w:val="single"/>
            <w:shd w:val="clear" w:color="auto" w:fill="FFFFFF"/>
            <w:lang w:val="en-US" w:eastAsia="en-US" w:bidi="ar-SA"/>
          </w:rPr>
          <w:t>2014 BCSC 1255</w:t>
        </w:r>
      </w:hyperlink>
      <w:r>
        <w:rPr>
          <w:rFonts w:ascii="arial" w:eastAsia="arial" w:hAnsi="arial" w:cs="arial"/>
          <w:color w:val="000000"/>
          <w:sz w:val="20"/>
          <w:lang w:val="en-US" w:eastAsia="en-US" w:bidi="ar-SA"/>
        </w:rPr>
        <w:t>: $35,000;</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i/>
          <w:color w:val="000000"/>
          <w:sz w:val="20"/>
          <w:lang w:val="en-US" w:eastAsia="en-US" w:bidi="ar-SA"/>
        </w:rPr>
        <w:t>Kelly v. Kotz</w:t>
      </w:r>
      <w:r>
        <w:rPr>
          <w:rFonts w:ascii="arial" w:eastAsia="arial" w:hAnsi="arial" w:cs="arial"/>
          <w:color w:val="000000"/>
          <w:sz w:val="20"/>
          <w:lang w:val="en-US" w:eastAsia="en-US" w:bidi="ar-SA"/>
        </w:rPr>
        <w:t xml:space="preserve">, </w:t>
      </w:r>
      <w:hyperlink r:id="rId568" w:history="1">
        <w:r>
          <w:rPr>
            <w:rFonts w:ascii="arial" w:eastAsia="arial" w:hAnsi="arial" w:cs="arial"/>
            <w:i/>
            <w:color w:val="0077CC"/>
            <w:sz w:val="20"/>
            <w:u w:val="single"/>
            <w:shd w:val="clear" w:color="auto" w:fill="FFFFFF"/>
            <w:lang w:val="en-US" w:eastAsia="en-US" w:bidi="ar-SA"/>
          </w:rPr>
          <w:t>2014 BCSC 244</w:t>
        </w:r>
      </w:hyperlink>
      <w:r>
        <w:rPr>
          <w:rFonts w:ascii="arial" w:eastAsia="arial" w:hAnsi="arial" w:cs="arial"/>
          <w:color w:val="000000"/>
          <w:sz w:val="20"/>
          <w:lang w:val="en-US" w:eastAsia="en-US" w:bidi="ar-SA"/>
        </w:rPr>
        <w:t>: $45,000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observation of N. Smith J. in </w:t>
      </w:r>
      <w:r>
        <w:rPr>
          <w:rFonts w:ascii="arial" w:eastAsia="arial" w:hAnsi="arial" w:cs="arial"/>
          <w:i/>
          <w:color w:val="000000"/>
          <w:sz w:val="20"/>
          <w:lang w:val="en-US" w:eastAsia="en-US" w:bidi="ar-SA"/>
        </w:rPr>
        <w:t>Edmondson v. Payer</w:t>
      </w:r>
      <w:r>
        <w:rPr>
          <w:rFonts w:ascii="arial" w:eastAsia="arial" w:hAnsi="arial" w:cs="arial"/>
          <w:color w:val="000000"/>
          <w:sz w:val="20"/>
          <w:lang w:val="en-US" w:eastAsia="en-US" w:bidi="ar-SA"/>
        </w:rPr>
        <w:t xml:space="preserve">, </w:t>
      </w:r>
      <w:hyperlink r:id="rId569" w:history="1">
        <w:r>
          <w:rPr>
            <w:rFonts w:ascii="arial" w:eastAsia="arial" w:hAnsi="arial" w:cs="arial"/>
            <w:i/>
            <w:color w:val="0077CC"/>
            <w:sz w:val="20"/>
            <w:u w:val="single"/>
            <w:shd w:val="clear" w:color="auto" w:fill="FFFFFF"/>
            <w:lang w:val="en-US" w:eastAsia="en-US" w:bidi="ar-SA"/>
          </w:rPr>
          <w:t>2011 BCSC 118</w:t>
        </w:r>
      </w:hyperlink>
      <w:r>
        <w:rPr>
          <w:rFonts w:ascii="arial" w:eastAsia="arial" w:hAnsi="arial" w:cs="arial"/>
          <w:color w:val="000000"/>
          <w:sz w:val="20"/>
          <w:lang w:val="en-US" w:eastAsia="en-US" w:bidi="ar-SA"/>
        </w:rPr>
        <w:t>, at paras. 94-95, that prior cases are useful only as a guide in determining the proper compensation under this head, is relevant to the exercise at hand. Each case must be decided on its own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As stated above, my conclusion is that the injuries resulting from the accident had a moderately serious impact upon Ms. Picton's life. She has experienced pain and suffering, and her enjoyment of life has been compromised in a number of ways. I also conclude that the effects of the collision are not the sole cause for her difficulties; her pre-existing psychological problems have had a real role in causing those. Ms. Picton's situation is in keeping with the "crumbling skull" rule as noted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at paras. 34-35. The damages that this Court awards must reflect that distinction. The defendant should not be required to compensate Ms. Picton for effects she would have experienced anyway.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As well, my award is informed by my view that she has, fortunately, by availing herself of the Botox treatment program, been able to find a way to substantially overcome the discomfort of headache. I intend to provide an award of damages for her future care that will provide for that relief, going forward. Accordingly, I expect that her discomfort will be quite significantly relieved.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the result, I find that a fit and appropriate award of damages under this head is $85,000.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plaintiff contends that, as a result of the accident, she missed work approximately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091"/>
        <w:gridCol w:w="1359"/>
        <w:gridCol w:w="1150"/>
        <w:gridCol w:w="48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2008:</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days</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2012:</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days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2009:</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days</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2013:</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days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2010:</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days</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2014:</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days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04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2011:</w:t>
            </w:r>
          </w:p>
        </w:tc>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 days</w:t>
            </w:r>
          </w:p>
        </w:tc>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2015:</w:t>
            </w:r>
          </w:p>
        </w:tc>
        <w:tc>
          <w:tcPr>
            <w:tcW w:w="47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10 days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04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b/>
                <w:color w:val="000000"/>
                <w:sz w:val="18"/>
                <w:lang w:val="en-US" w:eastAsia="en-US" w:bidi="ar-SA"/>
              </w:rPr>
              <w:t>Total</w:t>
            </w:r>
            <w:r>
              <w:rPr>
                <w:rFonts w:ascii="arial" w:eastAsia="arial" w:hAnsi="arial" w:cs="arial"/>
                <w:color w:val="000000"/>
                <w:sz w:val="18"/>
                <w:lang w:val="en-US" w:eastAsia="en-US" w:bidi="ar-SA"/>
              </w:rPr>
              <w:t>:</w:t>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68 days</w:t>
            </w:r>
          </w:p>
        </w:tc>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7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addition, Ms. Picton says that she was required to leave work early on just as many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plaintiff says that her commission income would be in the range of $125-175 per day. As well, she says that there is a loss in terms of tips in the order of $80 per day. By that analysis, the plaintiff says that her loss under this head, both for days missed and time she left early, totals $23,640.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As well, Ms. Picton says that the evidence establishes that she lost clients because of her either having to cancel appointments or being less than engaging and pleasant on account of the effect of her injuries. That, says the plaintiff, together with the fact that her tip income would have been diminished, warrants an award under this head in the order of $25,000. The plaintiff says that that sum should be reduced by 20% to allow for statutory deductions. Accordingly, it is the plaintiff's submission that a proper award of damages under this head is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defendant takes a very different view of this aspect of the claim. He says that the evidence called from the plaintiff's former employer at Halo Salon, Mr. Biernes, does not support the claim. Mr. Biernes testified that he did not see the extensive effects upon the plaintiff's workplace performance as she has claimed. The defendant also notes that the plaintiff chose not to call evidence from her current employer to provide the necessary evidence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defendant emphasizes the onus borne by the plaintiff to prove her claim. In his submission, the Court must be wary of proceeding on generally stated rough estimates. He also raises the concern that the plaintiff in this matter has evidently not declared her tips as income. In the submission of the defendant, that is a consideration that weighs against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Finally, the defendant says that any estimate of time missed must be examined in the light of real concerns that the plaintiff may have missed work due to anxiety or illness and the variable nature of her work and that she may have re-booked missed appointments with 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As a final point, the defendant points to the income history of the plaintiff between 2007 and 2013:</w:t>
      </w:r>
      <w:r>
        <w:rPr>
          <w:rFonts w:ascii="arial" w:eastAsia="arial" w:hAnsi="arial" w:cs="arial"/>
          <w:sz w:val="20"/>
          <w:lang w:val="en-US" w:eastAsia="en-US" w:bidi="ar-SA"/>
        </w:rPr>
        <w:cr/>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2007: $32,666</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2008: $43,540</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2009: $60,942</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2010: $66,721</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2011: $53,486</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2012: $45,749</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2013: $41,040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In the submission of the defendant, that record of employment earning does not provide support for the plaintiff's claim. The defendant also points out that Dr. Travlos' report of June 15, 2011, notes the plaintiff told Dr. Travlos that her work had slowed down in recent years and so she had reduced her finances (at p. 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In my respectful view, there are concerns with the plaintiff's claim under this head. I accept that she did experience some diminution of her income as a consequence of her injury. Nevertheless, there are other considerations at play that could reasonably be seen to account for time missed from work. As well, the actual earnings over those years do not provide support for the claim she advances.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Ultimately, it becomes something of a matter of the Court making its best assessment of what the effect of the accident was upon the plaintiff's ability to earn income between the date of the accident and the date of trial. I accept that there was some effect; to determine its monetary value is admittedly very much a matter of a rough estimation. To my mind, an appropriate award under this head is $8,500.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Future Income-Earning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The approach to be taken to a claim under this head of damages has been the subject of much judicial discussion in recent times. A succinct and accurate summary of the principles to apply was set out by Savage J. in </w:t>
      </w:r>
      <w:r>
        <w:rPr>
          <w:rFonts w:ascii="arial" w:eastAsia="arial" w:hAnsi="arial" w:cs="arial"/>
          <w:i/>
          <w:color w:val="000000"/>
          <w:sz w:val="20"/>
          <w:lang w:val="en-US" w:eastAsia="en-US" w:bidi="ar-SA"/>
        </w:rPr>
        <w:t>Parker v. Lemmon</w:t>
      </w:r>
      <w:r>
        <w:rPr>
          <w:rFonts w:ascii="arial" w:eastAsia="arial" w:hAnsi="arial" w:cs="arial"/>
          <w:color w:val="000000"/>
          <w:sz w:val="20"/>
          <w:lang w:val="en-US" w:eastAsia="en-US" w:bidi="ar-SA"/>
        </w:rPr>
        <w:t xml:space="preserve">, </w:t>
      </w:r>
      <w:hyperlink r:id="rId570" w:history="1">
        <w:r>
          <w:rPr>
            <w:rFonts w:ascii="arial" w:eastAsia="arial" w:hAnsi="arial" w:cs="arial"/>
            <w:i/>
            <w:color w:val="0077CC"/>
            <w:sz w:val="20"/>
            <w:u w:val="single"/>
            <w:shd w:val="clear" w:color="auto" w:fill="FFFFFF"/>
            <w:lang w:val="en-US" w:eastAsia="en-US" w:bidi="ar-SA"/>
          </w:rPr>
          <w:t>2012 BCSC 27</w:t>
        </w:r>
      </w:hyperlink>
      <w:r>
        <w:rPr>
          <w:rFonts w:ascii="arial" w:eastAsia="arial" w:hAnsi="arial" w:cs="arial"/>
          <w:color w:val="000000"/>
          <w:sz w:val="20"/>
          <w:lang w:val="en-US" w:eastAsia="en-US" w:bidi="ar-SA"/>
        </w:rPr>
        <w:t>, at para. 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[42] The approach to such claims is well set out in the decision of Garson J.A.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paras. 25-32, which I summarize as follows:</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must first prove there is a real and substantial possibility of a future event leading to an income loss before the Court will embark on an assessment of the loss;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future or hypothetical possibility will be taken into consideration as long as it is a real and substantial possibility and not mere speculation;</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plaintiff may be able to prove that there is a substantial possibility of a future income loss despite having returned to his or her employment;</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inability to perform an occupation that is not a realistic alternative occupation is not proof of a future loss;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not the loss of earnings but rather the loss of earning capacity for which compensation must be made;</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plaintiff discharges the burden of proof, then there must be quantification of that loss;</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Two available methods of quantifying the loss are (a) an earnings approach or (b) a capital asset approach;</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earnings approach will be more useful when the loss is more easily measurable;</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capital asset approach will be more useful when the loss is not easily measurable.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 has testified that she continues to suffer pain and limitations at her current job. She says that the requirement for her to stand for sustained periods of time, to bend over, and to work with her hands above her shoulders are all made more difficult because of the condition of her neck, shoulders, and upper back. She says that has caused her to lose productivity at work. She also says that she has lost clients because of her need to reschedule appointments and the fact that, when her symptoms are active, she demonstrates a frustration and an irritability that is unhelpful to her relationship with her clients.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this regard, the plaintiff relies upon the functional capacity report of Mr. Hosking. Mr. Hosking has testified that he believes the plaintiff's competitive employability has been adversely affected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plaintiff also relies upon the testimony of her co-worker, Ms. Hyunh. Ms. Hyunh testified that she has observed the plaintiff dealing with apparent distress when working with her hands above her shoulders and that Ms. Picton has from time to time had to make accommodations for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quantification of loss under this head can be notoriously difficult. Certainly it seems to me that in the circumstances at hand, the task is a challenging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accept that Ms. Picton continues to experience some discomfort. I accept as well that impacts upon her ability to do her work. There is good reason to believe that condition will continue going forward. Therefore, I find that there is a real and substantial possibility that she will experience future income loss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The extent of the effect and the determination of a proper monetary award of damages required to provide compensation for that are difficult.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plaintiff submits that an appropriate award of damages is $140,000, which represents, in accordance with the capital asset approach, the equivalent of two years' income at $70,000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support of that claim, the plaintiff relies upon two decisions of this Court: </w:t>
      </w:r>
      <w:r>
        <w:rPr>
          <w:rFonts w:ascii="arial" w:eastAsia="arial" w:hAnsi="arial" w:cs="arial"/>
          <w:i/>
          <w:color w:val="000000"/>
          <w:sz w:val="20"/>
          <w:lang w:val="en-US" w:eastAsia="en-US" w:bidi="ar-SA"/>
        </w:rPr>
        <w:t>Moritz v. Schmitz</w:t>
      </w:r>
      <w:r>
        <w:rPr>
          <w:rFonts w:ascii="arial" w:eastAsia="arial" w:hAnsi="arial" w:cs="arial"/>
          <w:color w:val="000000"/>
          <w:sz w:val="20"/>
          <w:lang w:val="en-US" w:eastAsia="en-US" w:bidi="ar-SA"/>
        </w:rPr>
        <w:t xml:space="preserve">, </w:t>
      </w:r>
      <w:hyperlink r:id="rId571" w:history="1">
        <w:r>
          <w:rPr>
            <w:rFonts w:ascii="arial" w:eastAsia="arial" w:hAnsi="arial" w:cs="arial"/>
            <w:i/>
            <w:color w:val="0077CC"/>
            <w:sz w:val="20"/>
            <w:u w:val="single"/>
            <w:shd w:val="clear" w:color="auto" w:fill="FFFFFF"/>
            <w:lang w:val="en-US" w:eastAsia="en-US" w:bidi="ar-SA"/>
          </w:rPr>
          <w:t>2013 BCSC 668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Chahal v. Righele</w:t>
      </w:r>
      <w:r>
        <w:rPr>
          <w:rFonts w:ascii="arial" w:eastAsia="arial" w:hAnsi="arial" w:cs="arial"/>
          <w:color w:val="000000"/>
          <w:sz w:val="20"/>
          <w:lang w:val="en-US" w:eastAsia="en-US" w:bidi="ar-SA"/>
        </w:rPr>
        <w:t xml:space="preserve">, </w:t>
      </w:r>
      <w:hyperlink r:id="rId572" w:history="1">
        <w:r>
          <w:rPr>
            <w:rFonts w:ascii="arial" w:eastAsia="arial" w:hAnsi="arial" w:cs="arial"/>
            <w:i/>
            <w:color w:val="0077CC"/>
            <w:sz w:val="20"/>
            <w:u w:val="single"/>
            <w:shd w:val="clear" w:color="auto" w:fill="FFFFFF"/>
            <w:lang w:val="en-US" w:eastAsia="en-US" w:bidi="ar-SA"/>
          </w:rPr>
          <w:t>2014 BCSC 1086</w:t>
        </w:r>
      </w:hyperlink>
      <w:r>
        <w:rPr>
          <w:rFonts w:ascii="arial" w:eastAsia="arial" w:hAnsi="arial" w:cs="arial"/>
          <w:color w:val="000000"/>
          <w:sz w:val="20"/>
          <w:lang w:val="en-US" w:eastAsia="en-US" w:bidi="ar-SA"/>
        </w:rPr>
        <w:t>. In the former decision, the plaintiff was awarded $160,000 under this head; in the latter, an award of $150,000, equivalent to two years' salary, was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defendant's position is straightforward. He says that the plaintiff has essentially continued to work full time and that she should be considered fully capable of continuous employment. He notes as well that the fact the plaintiff's headache symptoms are well managed by the ongoing Botox injections is a factor to be considered. He says that if the Court were to make an award for future care that included coverage for Botox treatments, that would essentially negate any claim for loss of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My conclusion, as stated, is that there has been a diminishment. Given the difficulty in measuring the loss, I consider the appropriate method of quantifying the loss to be the capital asset approach. The award I consider proper and warranted in the situation is $90,000.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Housekeeping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plaintiff advances a claim under this head in the amount of $10,000. In her submission, the doctrinal basis for this award is as set out in </w:t>
      </w:r>
      <w:r>
        <w:rPr>
          <w:rFonts w:ascii="arial" w:eastAsia="arial" w:hAnsi="arial" w:cs="arial"/>
          <w:i/>
          <w:color w:val="000000"/>
          <w:sz w:val="20"/>
          <w:lang w:val="en-US" w:eastAsia="en-US" w:bidi="ar-SA"/>
        </w:rPr>
        <w:t>Campbell v. Banman</w:t>
      </w:r>
      <w:r>
        <w:rPr>
          <w:rFonts w:ascii="arial" w:eastAsia="arial" w:hAnsi="arial" w:cs="arial"/>
          <w:color w:val="000000"/>
          <w:sz w:val="20"/>
          <w:lang w:val="en-US" w:eastAsia="en-US" w:bidi="ar-SA"/>
        </w:rPr>
        <w:t xml:space="preserve">, </w:t>
      </w:r>
      <w:hyperlink r:id="rId573" w:history="1">
        <w:r>
          <w:rPr>
            <w:rFonts w:ascii="arial" w:eastAsia="arial" w:hAnsi="arial" w:cs="arial"/>
            <w:i/>
            <w:color w:val="0077CC"/>
            <w:sz w:val="20"/>
            <w:u w:val="single"/>
            <w:shd w:val="clear" w:color="auto" w:fill="FFFFFF"/>
            <w:lang w:val="en-US" w:eastAsia="en-US" w:bidi="ar-SA"/>
          </w:rPr>
          <w:t>2009 BCCA 484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Picton claims that she has sustained a loss of housekeeping capacity. She says that she is a person who places a substantial premium on keeping her house clean and tidy and was, prior to the accident, a diligent housekeeper. She says she is now limited in that regard and has difficulty with some chores. As a result, she says she relies upon her friends to help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accept that the effect of the injuries has had some impact upon Ms. Picton's abilities in terms of keeping house and that those limitations will occasionally hamper her ability to do so. At the same time, I expect that effect will be a modest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 conclude that an award in the amount of $2,000 will be sufficient to provide Ms. Picton with the means to engage extra help on those occasions that it may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 substantial component of Ms. Picton's claim is under the head of future care. The bulk of that is with respect to her position that she requires ongoing regular Botox treatment as that is an effective means of dealing with the discomfort of her headaches. In support of that, she relies principally upon the evidence of Dr. Robinson, noted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The plaintiff makes reference to the decision of the Supreme Court of Canada in </w:t>
      </w:r>
      <w:r>
        <w:rPr>
          <w:rFonts w:ascii="arial" w:eastAsia="arial" w:hAnsi="arial" w:cs="arial"/>
          <w:i/>
          <w:color w:val="000000"/>
          <w:sz w:val="20"/>
          <w:lang w:val="en-US" w:eastAsia="en-US" w:bidi="ar-SA"/>
        </w:rPr>
        <w:t>Andrews v. Grand Toy Alberta Ltd.</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particularly the remarks of Dickson J. at 241-42: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Money is a barren substitute for health and personal happiness, but to the exent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within reason that money can be used to sustain or improve the mental or physical health of the injured person it may properly form part of a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In the matter at bar, I am satisfied that the plaintiff has established a claim for future cost of care; I am satisfied that the cost of providing ongoing Botox treatment for the plaintiff, not an insignificant cost, is warranted in that it provides substantial relief from an otherwise painful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Picton has been availing herself of this treatment since late 2013. The evidence of Dr. Robinson, Ms. Picton's treating neurologist, addresses the necessity and efficacy of the treatment and the costs going forward. I accept his evidence that it is an effective treatment and is appropriately administered quarterly. I also accept the cost as set out by the plaintiff in her submissions--namely, a total annual cost of the medication of $3,217 and the injection fees ranging between $400 and $480.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his submission, I understood the defendant to suggest that, even if Botox treatments were needed, the frequency sought by the plaintiff was generous.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With respect, I am not persuaded that is the case. As I indicated earlier in these reasons, I accept that the plaintiff's headache condition is a serious problem. My analysis of the claims she has advanced and the awards I have determined to be appropriate are premised on the proposition that she will receive meaningful, effective care for her headache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The plaintiff also seeks other awards under this head to provide for massage therapy, physiotherapy, or kinesiology treatments. As well, she seeks to be awarded a sum based upon an annual cost for medication of $50.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While I am prepared to make an award that fully meets the claim for the Botox treatment, in my view, the practical reality is that a more modest award should be made to cover whatever physical therapy Ms. Picton may see fit to engage and to provide for the medication. I conclude that $250 per year will satisfy those needs.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In the result, I consider a proper award under this head to provide the sum of $3,947 per year for the plaintiff, on an indefinite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plaintiff tendered the evidence of Mr. Darren Benning, an economist, providing the present value of that cost. He states that for Ms. Picton, the lump sum present value is determined by applying a multiplier of 32.195. That produces a lump sum present value of $127,074.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addition, I consider this to be an appropriate situation to adjust that figure to reflect a contingency of a substantial increase in cost. I do that on the basis that the numbers that have been used to calculate the cost of the Botox treatment are, as I understand the evidence, conservative. It is quite reasonable to expect that Ms. Picton will incur increases in those costs going forward, both with respect to the cost of the medication and the fees for injection.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Accordingly, I will apply a positive contingency factor of 5%. The total sum to be awarded for the cost of future care is $133,427.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Ms. Picton seeks an award of $7,860.15 under this head. She says those are expenses reasonably incurred as a consequence of the injuries resulting from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On the other hand, the defendant says that the proven claims under this head extended only to 2010, which is in accordance with the defendant's position that the injuries resulting from the accident had resolved by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 have examined the particulars of the plaintiff's claim. They are comprised of a series of physiotherapy treatments between March and November 2008, three massage treatments, and Botox treatments. In fact, the Botox treatments make up the significant bulk of the claim. As well, there is a claim for mileage to attend at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Given the view I have expressed with respect to the necessity of the Botox treatments, I am satisfied that the plaintiff has proven her claim under this head and will award the sum of $7,860.15.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 of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summary, the plaintiff is awarded damages as follows:</w:t>
      </w:r>
      <w:r>
        <w:rPr>
          <w:rFonts w:ascii="arial" w:eastAsia="arial" w:hAnsi="arial" w:cs="arial"/>
          <w:sz w:val="20"/>
          <w:lang w:val="en-US" w:eastAsia="en-US" w:bidi="ar-SA"/>
        </w:rPr>
        <w:cr/>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 in the sum of $85,000;</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past income loss in the sum of $8,500;</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future earning capacity in the sum of $90,000;</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housekeeping capacity in the sum of $2,000;</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cost of future care in the sum of $133,427; and</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damages in the sum of $7,860.15.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total awarded to the plaintiff is $326,787.15.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There will be pre-judgment interest in accordance with the </w:t>
      </w:r>
      <w:r>
        <w:rPr>
          <w:rFonts w:ascii="arial" w:eastAsia="arial" w:hAnsi="arial" w:cs="arial"/>
          <w:i/>
          <w:color w:val="000000"/>
          <w:sz w:val="20"/>
          <w:lang w:val="en-US" w:eastAsia="en-US" w:bidi="ar-SA"/>
        </w:rPr>
        <w:t>Court Order Interest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Subject to any submissions by the parties, the plaintiff is entitled to her costs on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Though the plaintiff made brief mention of tax gross-up in closing, no substantive submissions were made on that point. I therefore decline to order a tax gross-up on the cost of future care at this time. That is not, however, to say that the claim has been dismissed. If necessary, counsel are at liberty to make written submissions through the Registry with regard to costs or tax gross-up for the costs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J.W. WILLIAMS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096" style="position:absolute;z-index:25187225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574"/>
          <w:headerReference w:type="default" r:id="rId575"/>
          <w:footerReference w:type="even" r:id="rId576"/>
          <w:footerReference w:type="default" r:id="rId577"/>
          <w:headerReference w:type="first" r:id="rId578"/>
          <w:footerReference w:type="first" r:id="rId57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580" w:history="1">
        <w:r>
          <w:rPr>
            <w:rFonts w:ascii="arial" w:eastAsia="arial" w:hAnsi="arial" w:cs="arial"/>
            <w:b/>
            <w:bCs/>
            <w:i/>
            <w:color w:val="0077CC"/>
            <w:kern w:val="32"/>
            <w:sz w:val="28"/>
            <w:szCs w:val="32"/>
            <w:u w:val="single"/>
            <w:shd w:val="clear" w:color="auto" w:fill="FFFFFF"/>
            <w:lang w:val="en-US" w:eastAsia="en-US" w:bidi="ar-SA"/>
          </w:rPr>
          <w:t>Saik'uz First Nation v. Rio Tinto Alcan Inc., [2013] B.C.J. No. 2748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B.I. 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10-14,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13,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S116524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2748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2013 BCSC 2303</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581" w:history="1">
        <w:r>
          <w:rPr>
            <w:rFonts w:ascii="arial" w:eastAsia="arial" w:hAnsi="arial" w:cs="arial"/>
            <w:i/>
            <w:color w:val="0077CC"/>
            <w:sz w:val="20"/>
            <w:u w:val="single"/>
            <w:shd w:val="clear" w:color="auto" w:fill="FFFFFF"/>
            <w:lang w:val="en-US" w:eastAsia="en-US" w:bidi="ar-SA"/>
          </w:rPr>
          <w:t>[2014] 2 C.N.L.R. 330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Jackie Thomas on her own behalf and on behalf of all members of the Saik'uz First Nation, and Reginald Louis on his own behalf and on behalf of all members of the Stellat'en First Nation, Plaintiffs, and Rio Tinto Alcan Inc.,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097" style="position:absolute;z-index:2516725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2" w:name="Keywords_13"/>
      <w:bookmarkEnd w:id="92"/>
      <w:r>
        <w:rPr>
          <w:rFonts w:ascii="arial" w:eastAsia="arial" w:hAnsi="arial" w:cs="arial"/>
          <w:b/>
          <w:color w:val="000000"/>
          <w:sz w:val="20"/>
          <w:lang w:val="en-US" w:eastAsia="en-US" w:bidi="ar-SA"/>
        </w:rPr>
        <w:t>Aboriginal law — Aboriginal status and rights — Aboriginal rights — Infringement — Civil actions and liabilities — Application by defendant mining company for summary judgment dismissed — Application by defendant to strike claim allowed — Plaintiff First Nations argued defendant's water storage and diversion activities constituted nuisance and riparian rights breach — Summary judgment argument based on statutory authorization dismissed — Impacts alleged by plaintiffs not same as acts authorized by defendant's licence — Evidence necessary to determine whether practical non-harmful alternatives available to defendant — Plaintiff's claim struck for having no reasonable chance of success — No cause of action existed based on unproven claims to Aboriginal title or rights or plaintiffs' reserve interest — Supreme Court Civil Rules, Rules 9-5 and 9-6.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Aboriginal law — Aboriginal lands — Types — Reserve lands — Aboriginal title lands — Aboriginal right lands — Application by defendant mining company for summary judgment dismissed — Application by defendant to strike claim allowed — Plaintiff First Nations argued defendant's water storage and diversion activities constituted nuisance and riparian rights breach — Summary judgment argument based on statutory authorization dismissed — Impacts alleged by plaintiffs not same as acts authorized by defendant's licence — Evidence necessary to determine whether practical non-harmful alternatives available to defendant — Plaintiff's claim struck for having no reasonable chance of success — No cause of action existed based on unproven claims to Aboriginal title or rights or plaintiffs' reserve interest — Supreme Court Civil Rules, Rules 9-5 and 9-6.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Pleadings — Striking out pleadings or allegations — Grounds — Failure to disclose a cause of action or defence — Judgments and orders — Summary judgments — Availability — To dismiss action — Application by defendant mining company for summary judgment dismissed — Application by defendant to strike claim allowed — Plaintiff First Nations argued defendant's water storage and diversion activities constituted nuisance and riparian rights breach — Summary judgment argument based on statutory authorization dismissed — Impacts alleged by plaintiffs not same as acts authorized by defendant's licence — Evidence necessary to determine whether practical non-harmful alternatives available to defendant — Plaintiff's claim struck for having no reasonable chance of success — No cause of action existed based on unproven claims to Aboriginal title or rights or plaintiffs' reserve interest — Supreme Court Civil Rules, Rules 9-5 and 9-6.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Mines and minerals — Nuisance — Application by defendant mining company for summary judgment dismissed — Application by defendant to strike claim allowed — Plaintiff First Nations argued defendant's water storage and diversion activities constituted nuisance and riparian rights breach — Summary judgment argument based on statutory authorization dismissed — Impacts alleged by plaintiffs not same as acts authorized by defendant's licence — Evidence necessary to determine whether practical non-harmful alternatives available to defendant — Plaintiff's claim struck for having no reasonable chance of success — No cause of action existed based on unproven claims to Aboriginal title or rights or plaintiffs' reserve interest — Supreme Court Civil Rules, Rules 9-5 and 9-6.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Natural resources law — Water — Riparian rights — Licensing and permits — Application by defendant mining company for summary judgment dismissed — Application by defendant to strike claim allowed — Plaintiff First Nations argued defendant's water storage and diversion activities constituted nuisance and riparian rights breach — Summary judgment argument based on statutory authorization dismissed — Impacts alleged by plaintiffs not same as acts authorized by defendant's licence — Evidence necessary to determine whether practical non-harmful alternatives available to defendant — Plaintiff's claim struck for having no reasonable chance of success — No cause of action existed based on unproven claims to Aboriginal title or rights or plaintiffs' reserve interest — Supreme Court Civil Rules, Rules 9-5 and 9-6.</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93" w:name="Case Summary_13"/>
            <w:bookmarkEnd w:id="9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summary judgment. Application by the defendant to strike the plaintiffs' claim. The plaintiff First Nations argued that the defendant mining company's water diversion activities harmed its waters and constituted a nuisance and breach of riparian rights. The defendant sought summary judgment on the basis that its mining licence gave rise to the defence of statutory authorization. The defendant also argued that the plaintiffs' claim had no reasonable chance of success. The defendant argued that holders of unproven Aboriginal title and rights did not have a cause of action against private persons in private or public nuisance or for breach of riparian rights. It also argued that no cause of action existed for private nuisance or for breach of riparian rights incidental to the plaintiffs' reserve interests.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94" w:name="Holdings of Court_12"/>
            <w:bookmarkEnd w:id="94"/>
            <w:r>
              <w:rPr>
                <w:rFonts w:ascii="arial" w:eastAsia="arial" w:hAnsi="arial" w:cs="arial"/>
                <w:color w:val="000000"/>
                <w:sz w:val="20"/>
                <w:lang w:val="en-US" w:eastAsia="en-US" w:bidi="ar-SA"/>
              </w:rPr>
              <w:t>HELD: The application for summary judgment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application to strike the plaintiffs' claim was allowed. In circumstances where an alleged nuisance was the same as the conduct authorized by statute, a summary judgment application could be resolved without the necessity of assessing whether the nuisance was the inevitable result of the authorization. However, the harm alleged by plaintiffs was not based on the defendant's right to store and divert water generally, but that the particular manner in which water was stored and diverted caused specific harm. The impacts alleged by the plaintiffs were not the same as the acts authorized by the defendant's licence. Evidence was therefore necessary to determine whether there were practical alternatives available to the defendant which would not cause the harm alleged by the plaintiffs. The plaintiffs' claim was struck because it had no reasonable chance of success. A First Nation did not have a cause of action for private or public nuisance or for breach of riparian rights based on asserted but unproven claims to Aboriginal title and Aboriginal rights. The plaintiffs could not use their reserve interest as a basis to claim a breach of common law riparian rights to adjoining waters because the reserve was created after all riparian rights vested in the province.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95" w:name="Legislation Cited_9"/>
      <w:bookmarkEnd w:id="9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098" style="position:absolute;z-index:2517237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Constitution Act, 1867, R.S.C. 1985, App. II, No. 5, s. 91(24)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1982, R.S.C. 1985, App. II, No. 44, Schedule B, s. 35(2)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Indian Act, </w:t>
      </w:r>
      <w:hyperlink r:id="rId582" w:history="1">
        <w:r>
          <w:rPr>
            <w:rFonts w:ascii="arial" w:eastAsia="arial" w:hAnsi="arial" w:cs="arial"/>
            <w:i/>
            <w:color w:val="0077CC"/>
            <w:sz w:val="20"/>
            <w:u w:val="single"/>
            <w:shd w:val="clear" w:color="auto" w:fill="FFFFFF"/>
            <w:lang w:val="en-US" w:eastAsia="en-US" w:bidi="ar-SA"/>
          </w:rPr>
          <w:t>R.S.C. 1985, c. I-5, s. 2</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Industrial Development Act, S.B.C. 1949, c. 31,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9-5, Rule 9-5(1)(a), Rule 9-5(1)(d), Rule 9-6, Rule 9-6(4), Rule 9-6(5), Rule 9-6(5)(c)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Act Amendment Act, S.B.C. 1925, c.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Water Act, </w:t>
      </w:r>
      <w:hyperlink r:id="rId583" w:history="1">
        <w:r>
          <w:rPr>
            <w:rFonts w:ascii="arial" w:eastAsia="arial" w:hAnsi="arial" w:cs="arial"/>
            <w:i/>
            <w:color w:val="0077CC"/>
            <w:sz w:val="20"/>
            <w:u w:val="single"/>
            <w:shd w:val="clear" w:color="auto" w:fill="FFFFFF"/>
            <w:lang w:val="en-US" w:eastAsia="en-US" w:bidi="ar-SA"/>
          </w:rPr>
          <w:t>RSBC 1996, CHAPTER 483, s. 2</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Water Privileges Act, S.B.C. 1892, c. 47,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96" w:name="Counsel_13"/>
      <w:bookmarkEnd w:id="9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099" style="position:absolute;z-index:2517749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G.J. McDade, Q.C., M.J. Skeels.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D.R. Bennett, R.D.W. Dalziel, S. Boucher.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97" w:name="Judgment_13"/>
      <w:bookmarkEnd w:id="97"/>
      <w:r>
        <w:pict>
          <v:line id="_x0000_s1100" style="position:absolute;z-index:2518261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98" w:name="B.I. COHEN J."/>
            <w:bookmarkEnd w:id="98"/>
            <w:r>
              <w:rPr>
                <w:rFonts w:ascii="arial" w:eastAsia="arial" w:hAnsi="arial" w:cs="arial"/>
                <w:b/>
                <w:color w:val="000000"/>
                <w:sz w:val="30"/>
                <w:lang w:val="en-US" w:eastAsia="en-US" w:bidi="ar-SA"/>
              </w:rPr>
              <w:t>B.I. 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INTRODUCTION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Rio Tinto Alcan Inc. ("Alcan"), the defendant to an action, brings this application seeking summary judgment in its favour as well as an order striking the whole or specific parts of the plaintiffs'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the action, the plaintiffs, Aboriginal First Nations and their elected Chiefs, allege that since the construction of the Kenney Dam in 1952 by the defendant Alcan, which dams one of the upper reaches of the Nechako River ("Nechako"), and continuing to the present time, Alcan has diverted and altered the water flowing to the Nechako with significant adverse impacts on its waters, and that these water impacts have in turn had significant adverse impacts on the fisheries resources of the Nechako and its tributaries.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Alcan asserts that the plaintiffs' claims arise from water diversion and storage activities that Alcan says it undertakes with the express authorization of the Province of British Columbia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THE PLAINTIFFS'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plaintiff Saik'uz First Nation is an Aboriginal First Nation, as well as a "band" as defined by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xml:space="preserve">. Jackie Thomas is a member and the elected Chief and is an Aboriginal person within the meaning of s. 35(2)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being Schedule B to the </w:t>
      </w:r>
      <w:r>
        <w:rPr>
          <w:rFonts w:ascii="arial" w:eastAsia="arial" w:hAnsi="arial" w:cs="arial"/>
          <w:i/>
          <w:color w:val="000000"/>
          <w:sz w:val="20"/>
          <w:lang w:val="en-US" w:eastAsia="en-US" w:bidi="ar-SA"/>
        </w:rPr>
        <w:t>Canada Act 1982</w:t>
      </w:r>
      <w:r>
        <w:rPr>
          <w:rFonts w:ascii="arial" w:eastAsia="arial" w:hAnsi="arial" w:cs="arial"/>
          <w:color w:val="000000"/>
          <w:sz w:val="20"/>
          <w:lang w:val="en-US" w:eastAsia="en-US" w:bidi="ar-SA"/>
        </w:rPr>
        <w:t xml:space="preserve"> (U.K.), 1982, c. 11, and an Indian within the meaning of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(U.K.), 30 &amp; 31 Vict., c. 3, reprinted in R.S.C. 1985, App. II, No.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plaintiff Stellat'en First Nation is an Aboriginal First Nation, as well as a "band" as defined by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Reginald Louis is a member and the elected Chief and an Aboriginal person within the meaning of s. 35(2)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and an Indian within the meaning of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their Notice of Civil Claim (the "Notice"), the plaintiffs claim that they were neighbouring First Nations of Central Carrier ancestry with ownership and use of territory along the Nechako at and prior to the time of contact with Europeans and at the date on which British Sovereignty ("Sovereignty") was asserted in 1846. Each existed as an organized traditional Aboriginal society, with their own villages and with a common history and distinctive features including language, laws, customs, and traditions. The plaintiffs say that at Sovereignty they used and exclusively occupied portions of the Central Carrier territory, which included the Nechako and the lands along its banks, and its lakes and tributaries. The present day members of the plaintiff First Nations are the descendants of and legal successors to their ancestors and claim present ownership of Aboriginal title and rights and beneficial ownership of their reserves. They also say that the lands along the Nechako, the banks thereof, and the bed of the river are subject to their Aboriginal title and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plaintiffs assert further that, based on the nature of the use and occupation of the said lands, and specific sites for fishing purposes and on the interests held by them in their reserves, they hold proprietary interests in the lands, waters, and resources, including fisheries, and that the use and enjoyment of the waters and fisheries within and adjacent to the said lands has always been an important and valuable component of their proprietary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plaintiffs allege that the impacts of the diversion and alteration of the water flowing to the Nechako is an unreasonable interference with the plaintiffs' proprietary rights and have been severe, causing harm to their proprietary interests. They also allege that the impacts are actionable by them as a private nuisance, or in the alternative, to the extent that these are a public nuisance, they say that they have suffered special and particular damage. The plaintiffs assert that by reason of the nuisance caused by Alcan, they have suffered and continue to suffer loss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plaintiffs seek an interim injunction restraining Alcan from the continuance or repetitions of the alleged nuisance and restraining Alcan from the continuance or repetitions of interference with the plaintiffs' riparian rights and a permanent injunction restraining Alcan from conducting its operations at the Kenney Dam in such a manner as to cause like nuisances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III.</w:t>
      </w:r>
      <w:r>
        <w:rPr>
          <w:rFonts w:ascii="arial" w:eastAsia="arial" w:hAnsi="arial" w:cs="arial"/>
          <w:color w:val="000000"/>
          <w:sz w:val="20"/>
          <w:lang w:val="en-US" w:eastAsia="en-US" w:bidi="ar-SA"/>
        </w:rPr>
        <w:t xml:space="preserve"> </w:t>
      </w:r>
      <w:r>
        <w:rPr>
          <w:rFonts w:ascii="arial" w:eastAsia="arial" w:hAnsi="arial" w:cs="arial"/>
          <w:b/>
          <w:color w:val="000000"/>
          <w:sz w:val="20"/>
          <w:u w:val="single"/>
          <w:lang w:val="en-US" w:eastAsia="en-US" w:bidi="ar-SA"/>
        </w:rPr>
        <w:t>ALCAN'S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Alcan states that its application is a "hybrid" one that is based on both R. 9-5 (striking pleadings) and R. 9-6 (summary judgment)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Alcan sets out in its application that there are two branches to the relief it seeks, each of which is independent of the 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First, Alcan raises the defence of statutory authorization as being a full defence to the plaintiffs' claim, and as being appropriately the subject of an order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Second, Alcan contends that the plaintiffs' claim discloses no reasonable cause of action, assuming the facts alleged in the Notice to be true. Alcan says that the plaintiffs' claim is purportedly in nuisance and for breach of riparian rights, based on diminished river flows that allegedly interfere with asserted but unproven Aboriginal interests in land (including both Aboriginal title and Aboriginal rights to a fishery), and with interests in lands reserved for the plaintiffs' bands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Alcan says that such claims are unknown to or unsupported by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Alcan argues that when Aboriginal land rights are claimed but not proven, the interests in land alleged are not recognized within and, indeed, are at odds with provincial land regimes. As long as this is so, says Alcan, Aboriginal peoples claiming rights have no cause of action against private parties for interference with those claimed rights. Such causes of action, asserts Alcan, are the exclusive preserve of those who are recognized at law as the possessors of the relevant interests in the lands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Alcan also argues that because the plaintiffs' reserves include no property in or rights of use in connection with the Nechako, the reserves provide no basis for the plaintiffs'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IV.</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BACKGROUND TO ALCAN'S ACTIVITIES ON THE NECHAKO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Paul Henning, Alcan's Vice-President, Strategic Projects Western Canada, in his affidavit sworn March 21, 2013, set out the background to and details of Alcan's activities on the Nechako.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On August 5, 1997, Alcan and the Province entered into the BC/Alcan 1997 Agreement ("the Agreement") that settled litigation commenced by Alcan against the Province. In performance of a clause in the Agreement, the Province issued The Final Water Licence No. 102324 ("the Licence") to Alcan on August 5, 1997. The Licence provides,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that Alcan is authorized to store, divert, and use water and to construct, maintain, and operate works: the sources of water supply are the Nechako above Grand Canyon and all the streams and lakes tributary thereto; the points of storage, diversion and use, and the extent of the Nechako Reservoir are approximately as shown on the plan attached; the date from which the Licence shall have precedence is August 3, 1949; the maximum quantity of water which may be stored is 23,850 cubic-hectometres, of which 7100 cubic-hectometres are live storage; the maximum rate of diversion and use for power purpose is 170 cubic-metres per second; the works may be operated to divert water for power purpose throughout the whole year; the works may be operated to collect water into storage throughout the whole year; the Licence is appurtenant to the land required for the powerhouse.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Henning deposes that from 1950 to 1954, Alcan constructed extensive facilities in northwestern British Columbia, all of which it continues to operate to the present time. The primary purpose of Alcan's facilities is the production of aluminum at its smelter in Kitimat, British Columbia. Alcan's facilities have at all times included works for the generation of hydroelectric power, among them the Kenney Dam which dams one of the upper reaches of the Nechako and, with a number of smaller saddle dams, creates the Nechako Reservoir.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Henning deposes that all of Alcan's water storage and diversion operations are carried out in accordance with the terms of the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V.</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RELEVANT PLEADINGS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plaintiffs' claims in the action are set out in the Notice, in part, as follows:</w:t>
      </w:r>
      <w:r>
        <w:rPr>
          <w:rFonts w:ascii="arial" w:eastAsia="arial" w:hAnsi="arial" w:cs="arial"/>
          <w:sz w:val="20"/>
          <w:lang w:val="en-US" w:eastAsia="en-US" w:bidi="ar-SA"/>
        </w:rPr>
        <w:cr/>
      </w:r>
    </w:p>
    <w:p>
      <w:pPr>
        <w:numPr>
          <w:numId w:val="4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lands along the Nechako River and the banks thereof, and the bed of the river are subject to the aboriginal title and rights of the Nechako Nations.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Nechako Fisheries and the Tributary Fisheries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in accordance with their laws, customs and traditions, the Nechako Nations at Sovereignty used and exclusively occupied specific sites for fishing purposes and owned those fisheries along the Nechako River within their territories (the "Nechako Fisheries") and the watershed and tributaries of the Nechako River, including the Stellaquo River, Nautley River, Stoney Creek, Fraser Lake, Tachick Lake and Nulki Lake and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(the "Tributary Fisheries"). The Plaintiffs claim that their exclusive use and occupation of the specific locations of the fisheries, and of the riverbanks and beds adjacent to them, gave them proprietary rights to these Fisheries.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Nechako Nations' use and occupation of the Nechako Lands, the Nechako Fisheries and the Tributary Fisheries was governed by their indigenous legal system, the Clan/Bahlats complex, which vested in the Nechako Nations control over and specific responsibilities regarding these lands, waters and resources, including fisheries. In accordance with the Clan/Bahlats complex, the Nechako Nations used, occupied and governed in respect of the Nechako Lands, the Nechako Fisheries and the Tributary Fisheries.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and since Contact, the Nechako Nations have occupied, used and maintained a substantial connection to the lands and waters including and surrounding the Nechako Lands, the Nechako Fisheries, the Tributary Fisheries, and the Reserve lands where members, among other activities, harvest resources, and carry out cultural and spiritual practices.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as aboriginal communities, have an interest in the Reserves pursuant to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and the laws of Canada relating to aboriginal peoples which constitutes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interest in lands that is recognized and protected by the common law, and by the Constitution of Canada.</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title to their Reserves is held by the Queen in Right of Canada, on behalf of the Nechako First Nations for the use and benefit of the members of the Nechako First Nations. The Nechako First Nations are the beneficial owners and lawful occupiers of the Reserves.</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that the Reserves along the Nechako River and its Tributaries include the riparian rights associated at common law with ownership of lands adjacent to rivers and lakes, including the right to the natural flow of water undiminished in quality and quantity within the Nechako River and its Tributaries.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The Plaintiffs' Proprietary Interests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the nature of the use and occupation by the Nechako First Nations of the Nechako Lands, the Nechako Fisheries and the Tributary Fisheries, and on the interest held by the Nechako First Nations in the Reserves, the Plaintiffs hold proprietary interests in the lands, waters, and resources, including fisheries, of the Nechako Lands, the Nechako Fisheries, the Tributary Fisheries and the Reserves (the "Proprietary Interests").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use and enjoyment of the waters and fisheries within and adjacent to the Nechako Lands, the Nechako Fisheries, the Tributary Fisheries and the Reserves, has always been an important and valuable component of the Plaintiffs' Proprietary interests. The quantity, nature and quality of the Nechako River flows are significant factor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impacting upon these waters and fisheries.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IMPACTS OF THE NECHAKO DIVERSION</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Water Impacts and Fisheries Impacts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Since the construction of the Kenney Dam in or about 1952, and continuing to today, Alcan has diverted and altered the water flowing to the Nechako River (the "Diversion"), with significant adverse impacts on the Nechako River waters ("Water Impacts"), including:</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significant reduction in the amount of water flowing to and in the Nechako River;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Alterations to the natural course of the water flowing to and in the Nechako River;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Alterations in the timing and quantities of the water flowing to and in the Nechako River;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Qualitative impacts on the water flowing to and in the Nechako River including on water temperature;</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Erosion of the banks of the Nechako River and its Tributaries;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Unnatural sedimentation in the bed of the Nechako River;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Unnatural flooding and high water flows at some times of the year</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the ecology of the Nechako River and its Tributaries, impacting the natural vegetation and wildlife; and</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Other adverse hydrological changes to the natural state of the Nechako River and its Tributaries and ecology.</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Water impacts have in turn had significant adverse impacts on the fisheries resources of the Nechako River and its Tributaries, including the Nechako Fisheries, and the Tributary Fisheries ("Fisheries Impacts"), including:</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Reductions in available fisheries resources, including salmon, trout and sturgeon;</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Alterations to fisheries health and demographics, including age distribution and regeneration of fisheries populations;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gradual progress toward extinction of the Nechako River Sturgeon as a species;</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spawning habitat; and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Adverse impacts from changed temperature and flow interfering with the ability of fish populations to survive and thrive.</w:t>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unnatural interference with flows on the Nechako River and its Tributaries have caused adverse impacts on the Plaintiffs and their ability to use their lands and waters for the practice of their distinctive culture, including:</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habitat which supply the resources on which the Plaintiffs rely;</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Reduction of the resources on which the Plaintiffs rely;</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abundant fish populations and the ability of the Plaintiffs to harvest fish in excess of conservation requirements;</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wildlife, including beaver and muskrat, resulting from interference with water levels and loss of habitat;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to resource harvesting locations; and</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the use of the Nechako River and Tributaries for navigation and cultural uses.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Nuisance and Interference with Riparian Rights</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impacts of Alcan's Diversion, including the Water Impacts and Fisheries Impacts, are an unreasonable interference with the Plaintiffs' Proprietary Interests, including their rights to use and enjoyment of those interests, and as such constitute nuisance.</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impacts of the Diversion have been severe, causing harm to the Plaintiffs' Proprietary Interests and to the Plaintiffs.</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impacts of Alcan's Diversion, including the Water Impacts and Fisheries Impacts, are actionable by the Plaintiffs as private nuisance, but in the alternative, or to the extent that these are a public nuisance, the Plaintiffs claim that they have suffered special and particular damage.</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and in the alternative, the impacts of Alcan's Diversion, including the Water Impacts and Fisheries Impacts, constitute a wrongful, unreasonable and substantial interference with the Plaintiffs' riparian rights arising from their Proprietary Interests.</w:t>
      </w:r>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Damage resulting from Nuisance and Interference with Riparian Rights</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nuisance caused by the Defendant Alcan, the Plaintiffs have suffered, and continue to suffer, loss and damage, particulars of which are as follows: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use and enjoyment of the Nechako Lands, the Nechako Fisheries, the Tributary Fisheries and the Reserves;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the Plaintiffs' ability to exploit fisheries resources within and adjacent to the Nechako Lands and the Reserves, and within the Nechako Fisheries and the Tributary Fisheries;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value of the Nechako and Tributary Fisheries;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Erosion and loss of value of the riverbanks and adjacent Nechako Lands;</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value of Reserve lands; and</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Negative cultural impacts associated with the above.</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the interference with the Plaintiffs' riparian rights by the Defendant Alcan, the Plaintiffs have suffered loss and damage, particulars of which are as follows: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Interference with the Plaintiffs' natural use of the riparian lands and waters within and adjacent to the Nechako Lands, the Nechako Fisheries, the Tributary Fisheries and the Reserves;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enjoyment of the Nechako Lands, the Nechako Fisheries, the Tributary Fisheries and the Reserves;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ability to properly exercise their fishing practices and resource gathering activities within and in waters adjacent to the Nechako Lands, the Nechako Fisheries, the Tributary Fisheries and the Reserves;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value of the Fisheries;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value of the riverbanks and adjacent Nechako Lands;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value of Reserve lands;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Reduced waterflows and habitat alterations on the Tributary rivers and lakes;</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Cultural impacts associated with the above.</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have made their concerns regarding the Diversion and the impacts of the Diversion known to the Defendant Alcan and Alcan has failed or refused to adequately abate the nuisance and interference with the Plaintiffs' Proprietary Interests.</w:t>
      </w:r>
    </w:p>
    <w:p>
      <w:pPr>
        <w:numPr>
          <w:numId w:val="2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Alcan intends, unless restrained from doing so, to continue the nuisance and interference with the Proprietary Interests of the Plaintiffs.</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impacts of the Defendants Alcan's actions upon the Plaintiffs' Proprietary Interests, or some of or the degree of said impacts, are avoidable or could have been avoided, and the Defendant Alcan had or continues to have the ability to remedy the Impacts or operate in a different manner in order to avoid the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Paragraph 57 of the Notice provides as follows:</w:t>
      </w:r>
      <w:r>
        <w:rPr>
          <w:rFonts w:ascii="arial" w:eastAsia="arial" w:hAnsi="arial" w:cs="arial"/>
          <w:sz w:val="20"/>
          <w:lang w:val="en-US" w:eastAsia="en-US" w:bidi="ar-SA"/>
        </w:rPr>
        <w:cr/>
      </w:r>
    </w:p>
    <w:p>
      <w:pPr>
        <w:numPr>
          <w:numId w:val="3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licences and agreements under which the Defendant Alcan purports to operate and govern the Diversion, are of no legal force or effect against the Plaintiffs in relation to the Plaintiffs' Proprietary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its Response to Civil Claim, Alcan pleads the following facts (which the plaintiffs address specifically in their Reply):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 Division 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Alcan has no knowledge of the aboriginal title, fishing rights, and reserve interests alleged by the plaintiffs. Even if the plaintiffs' allegations are true, Alcan's statutory authority to divert Nechako River water is a complete answer to all of their claims. The validity of Alcan's authorization to divert water has been previously challenged in this Court, and upheld.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the years that followed the end of the Second World War, the Government of British Columbia decided that the prosperity of the Province depended on harnessing the economic power of its natural resources for industrial development and population growth. To this end, in 1949 the Legislature enacted a special purpose statute called the </w:t>
      </w:r>
      <w:r>
        <w:rPr>
          <w:rFonts w:ascii="arial" w:eastAsia="arial" w:hAnsi="arial" w:cs="arial"/>
          <w:i/>
          <w:color w:val="000000"/>
          <w:sz w:val="20"/>
          <w:lang w:val="en-US" w:eastAsia="en-US" w:bidi="ar-SA"/>
        </w:rPr>
        <w:t>Industrial Development Act</w:t>
      </w:r>
      <w:r>
        <w:rPr>
          <w:rFonts w:ascii="arial" w:eastAsia="arial" w:hAnsi="arial" w:cs="arial"/>
          <w:color w:val="000000"/>
          <w:sz w:val="20"/>
          <w:lang w:val="en-US" w:eastAsia="en-US" w:bidi="ar-SA"/>
        </w:rPr>
        <w:t>, S.B.C. 1949, c. 31 (the "</w:t>
      </w:r>
      <w:r>
        <w:rPr>
          <w:rFonts w:ascii="arial" w:eastAsia="arial" w:hAnsi="arial" w:cs="arial"/>
          <w:i/>
          <w:color w:val="000000"/>
          <w:sz w:val="20"/>
          <w:lang w:val="en-US" w:eastAsia="en-US" w:bidi="ar-SA"/>
        </w:rPr>
        <w:t>IDA</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IDA</w:t>
      </w:r>
      <w:r>
        <w:rPr>
          <w:rFonts w:ascii="arial" w:eastAsia="arial" w:hAnsi="arial" w:cs="arial"/>
          <w:color w:val="000000"/>
          <w:sz w:val="20"/>
          <w:lang w:val="en-US" w:eastAsia="en-US" w:bidi="ar-SA"/>
        </w:rPr>
        <w:t xml:space="preserve"> empowered the Lieutenant Governor in Council to, among other things, enter into an agreement (the "1950 Agreement") with Alcan.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Reliable power supply is essential to an aluminum smelting operation. Accordingly, the 1950 Agreement contemplated that Alcan would be entitled to divert water for hydroelectric power production.</w:t>
      </w:r>
    </w:p>
    <w:p>
      <w:pPr>
        <w:numPr>
          <w:numId w:val="34"/>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1950 Agreement conferred, in clause 1, "the right, and a licence or licences and a permit or permits under the 'Water Act', to store and to use by diversion and otherwise, those unrecorded waters called the Eutsuk and Tahtsa water power". The "Eutsuk and Tahtsa water power" refers to headwaters of the Nechako River watershed.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3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Alcan is authorized to store, divert and use Nechako River water by Alcan's Final Water Licence No. 102324 (the "Final Water Licence"), issued by the Minister of Education, Skills and Training and Minister responsible for the </w:t>
      </w:r>
      <w:r>
        <w:rPr>
          <w:rFonts w:ascii="arial" w:eastAsia="arial" w:hAnsi="arial" w:cs="arial"/>
          <w:i/>
          <w:color w:val="000000"/>
          <w:sz w:val="20"/>
          <w:lang w:val="en-US" w:eastAsia="en-US" w:bidi="ar-SA"/>
        </w:rPr>
        <w:t>Industrial Development Act</w:t>
      </w:r>
      <w:r>
        <w:rPr>
          <w:rFonts w:ascii="arial" w:eastAsia="arial" w:hAnsi="arial" w:cs="arial"/>
          <w:color w:val="000000"/>
          <w:sz w:val="20"/>
          <w:lang w:val="en-US" w:eastAsia="en-US" w:bidi="ar-SA"/>
        </w:rPr>
        <w:t xml:space="preserve"> (the "Minister") on August 5, 1997. The Final Water Licence was issued pursuant to the BC/Alcan 1997 Agreement Order-in-Council No. 0977 (the "1997 OiC") made August 4, 1997, pursuant to the </w:t>
      </w:r>
      <w:r>
        <w:rPr>
          <w:rFonts w:ascii="arial" w:eastAsia="arial" w:hAnsi="arial" w:cs="arial"/>
          <w:i/>
          <w:color w:val="000000"/>
          <w:sz w:val="20"/>
          <w:lang w:val="en-US" w:eastAsia="en-US" w:bidi="ar-SA"/>
        </w:rPr>
        <w:t>IDA</w:t>
      </w:r>
      <w:r>
        <w:rPr>
          <w:rFonts w:ascii="arial" w:eastAsia="arial" w:hAnsi="arial" w:cs="arial"/>
          <w:color w:val="000000"/>
          <w:sz w:val="20"/>
          <w:lang w:val="en-US" w:eastAsia="en-US" w:bidi="ar-SA"/>
        </w:rPr>
        <w:t>. The Final Water Licence:</w:t>
      </w:r>
    </w:p>
    <w:p>
      <w:pPr>
        <w:numPr>
          <w:numId w:val="3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supercedes and replaces water licences previously issued to Alcan;</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specifies the amount of water that may be stored by Alcan, and the geographic area in which that storage may take place;</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specifies the amount of water that may be diverted and used by Alcan; and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authorizes releases of water in accordance with the 1987 Settlement Agreement among Her Majesty the Queen in Right of Canada, Her Majesty the Queen in Right of the Province of British Columbia, and Alcan (the "1987 Settlement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Part 1, Division 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1997, the Province and Alcan settled the [Kemano Completion Project] litigation and a settlement agreement was executed (the "1997 Settlement Agreement"). As part of the 1997 Settlement Agreement, the Province agreed to make the 1997 OiC, under which the Final Water Licence was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Paragraphs 1-5 of the plaintiffs' Reply state as follows:</w:t>
      </w:r>
      <w:r>
        <w:rPr>
          <w:rFonts w:ascii="arial" w:eastAsia="arial" w:hAnsi="arial" w:cs="arial"/>
          <w:sz w:val="20"/>
          <w:lang w:val="en-US" w:eastAsia="en-US" w:bidi="ar-SA"/>
        </w:rPr>
        <w:cr/>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reply to Part 1 Division 2 paragraphs 2, 5, 7, 8 and 13 and Division 3 paragraph 17, the plaintiffs plead that the statutory authorization pled by the defendant is constitutionally inapplicable against the plaintiffs' aboriginal or proprietary rights based on the constitutional protection of existing aboriginal rights under s. 35 of the </w:t>
      </w:r>
      <w:r>
        <w:rPr>
          <w:rFonts w:ascii="arial" w:eastAsia="arial" w:hAnsi="arial" w:cs="arial"/>
          <w:i/>
          <w:color w:val="000000"/>
          <w:sz w:val="20"/>
          <w:lang w:val="en-US" w:eastAsia="en-US" w:bidi="ar-SA"/>
        </w:rPr>
        <w:t xml:space="preserve">Constitution Act, </w:t>
      </w:r>
      <w:r>
        <w:rPr>
          <w:rFonts w:ascii="arial" w:eastAsia="arial" w:hAnsi="arial" w:cs="arial"/>
          <w:i/>
          <w:color w:val="000000"/>
          <w:sz w:val="20"/>
          <w:lang w:val="en-US" w:eastAsia="en-US" w:bidi="ar-SA"/>
        </w:rPr>
        <w:t>1982, c.</w:t>
      </w:r>
      <w:r>
        <w:rPr>
          <w:rFonts w:ascii="arial" w:eastAsia="arial" w:hAnsi="arial" w:cs="arial"/>
          <w:color w:val="000000"/>
          <w:sz w:val="20"/>
          <w:lang w:val="en-US" w:eastAsia="en-US" w:bidi="ar-SA"/>
        </w:rPr>
        <w:t xml:space="preserve"> 11 (U.K.), Schedule B and the doctrine of interjurisdictional immunity pursuant to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30 &amp; 31 Victoria, c. 3.</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particular the plaintiffs plead:</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proprietary rights are based upon aboriginal title, or interest in a "reserve" pursuant to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w:t>
      </w:r>
      <w:hyperlink r:id="rId584" w:history="1">
        <w:r>
          <w:rPr>
            <w:rFonts w:ascii="arial" w:eastAsia="arial" w:hAnsi="arial" w:cs="arial"/>
            <w:i/>
            <w:color w:val="0077CC"/>
            <w:sz w:val="20"/>
            <w:u w:val="single"/>
            <w:shd w:val="clear" w:color="auto" w:fill="FFFFFF"/>
            <w:lang w:val="en-US" w:eastAsia="en-US" w:bidi="ar-SA"/>
          </w:rPr>
          <w:t>R.S.C. 1985 c. I-5</w:t>
        </w:r>
      </w:hyperlink>
      <w:r>
        <w:rPr>
          <w:rFonts w:ascii="arial" w:eastAsia="arial" w:hAnsi="arial" w:cs="arial"/>
          <w:color w:val="000000"/>
          <w:sz w:val="20"/>
          <w:lang w:val="en-US" w:eastAsia="en-US" w:bidi="ar-SA"/>
        </w:rPr>
        <w:t xml:space="preserve"> or aboriginal rights akin to or being a private fishery or </w:t>
      </w:r>
      <w:r>
        <w:rPr>
          <w:rFonts w:ascii="arial" w:eastAsia="arial" w:hAnsi="arial" w:cs="arial"/>
          <w:i/>
          <w:color w:val="000000"/>
          <w:sz w:val="20"/>
          <w:lang w:val="en-US" w:eastAsia="en-US" w:bidi="ar-SA"/>
        </w:rPr>
        <w:t>profit a prendre,</w:t>
      </w:r>
      <w:r>
        <w:rPr>
          <w:rFonts w:ascii="arial" w:eastAsia="arial" w:hAnsi="arial" w:cs="arial"/>
          <w:color w:val="000000"/>
          <w:sz w:val="20"/>
          <w:lang w:val="en-US" w:eastAsia="en-US" w:bidi="ar-SA"/>
        </w:rPr>
        <w:t xml:space="preserve"> or some or all of these.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 far as the laws and instruments pled by the defendant (the "Impugned Laws and Instruments") purport to interfere with or extinguish the plaintiffs' proprietary rights appurtenant to an aboriginal title or reserve interest, they purport to be in respect of "lands reserved for Indians" contrary so s. 91(24). They are therefore constitutionally inapplicable as against the plaintiffs' aboriginal or proprietary rights. Further or in the alternative, the Instruments issued pursuant to the Laws are of no force or effect to the extent that they purport to take away, diminish or extinguish the plaintiffs' aboriginal or proprietary rights.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so far as the Impugned Laws and Instruments purport to otherwise interfere with or extinguish the plaintiffs' aboriginal or proprietary rights, they purport to intrude upon the "core" of Indianness contrary to s. 91(24). They are therefore constitutionally inapplicable against the plaintiffs' aboriginal or proprietary rights. Further or in the alternative, the Instruments issued pursuant to the Laws are of no force or effect to the extent that they purport to take away, diminish or extinguish the plaintiffs' aboriginal or proprietary rights.</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so far as the Impugned Laws and Instruments purport to infringe upon or extinguish the existing aboriginal or proprietary rights of the plaintiffs, they purport to do so contrary to s. 35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They are therefore constitutionally inapplicable against the plaintiffs' aboriginal or proprietary rights. Further or in the alternative, the Instruments issued pursuant to the Laws are of no force or effect to the extent that they purport to take away, diminish or extinguish the plaintiffs' aboriginal or proprietary rights.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agreements pled by the defendant do not provide a constitutionally valid defence to an action brought to enforce the plaintiffs' aboriginal or proprietary rights. At all relevant times, neither the Government of British Columbia or the Government of Canada had the constitutional power, by contract or statute, to enter into agreements with a third party, being the defendant, and to which the plaintiffs were not party, which could have the effect of taking away, diminishing or extinguishing the plaintiffs' aboriginal or proprietary rights, including:</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1950 Agreement, contrary to s. 91(24) of the </w:t>
      </w:r>
      <w:r>
        <w:rPr>
          <w:rFonts w:ascii="arial" w:eastAsia="arial" w:hAnsi="arial" w:cs="arial"/>
          <w:i/>
          <w:color w:val="000000"/>
          <w:sz w:val="20"/>
          <w:lang w:val="en-US" w:eastAsia="en-US" w:bidi="ar-SA"/>
        </w:rPr>
        <w:t>Constitution Act, 1867;</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1987 Settlement Agreement, contrary to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and s. 35 of the </w:t>
      </w:r>
      <w:r>
        <w:rPr>
          <w:rFonts w:ascii="arial" w:eastAsia="arial" w:hAnsi="arial" w:cs="arial"/>
          <w:i/>
          <w:color w:val="000000"/>
          <w:sz w:val="20"/>
          <w:lang w:val="en-US" w:eastAsia="en-US" w:bidi="ar-SA"/>
        </w:rPr>
        <w:t>Constitution Act, 1982;</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1997 Settlement Agreement, contrary to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and s. 35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(collectively, the "Agreements");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and insofar as those Agreements purport to provide a defence to the defendant of statutory authority or otherwise, they are constitutionally inapplicable to the plaintiffs' aboriginal or proprietary rights and to this action.</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the plaintiffs deny that the Agreements had such effect, and put the defendant to the strict proof thereof, and the onus of proof is on the defendant to establish that the Governments of British Columbia or Canada had the lawful power to, and intended to or dud exercise it in a manner that would, allow the Agreements to lawfully apply against the plaintiffs.</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at all relevant times the Government of British Columbia did not have the constitutional power to take away, diminish or extinguish the plaintiffs' aboriginal or proprietary rights by Licence issued to a third party, being the defendant. In particular, the Province did not have the constitutional power to issue the Final Water Licence contrary to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and s. 35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so as to take away, diminish or extinguish the plaintiffs' aboriginal or proprietary rights, and the plaintiffs plead that the Licence did not have such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VI.</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ISSUES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first issue to be decided in Alcan's application is whether Alcan is entitled to summary judgment on the basis of the defence of statutory authorization. The sub-issues that comprise this first issue include:</w:t>
      </w:r>
      <w:r>
        <w:rPr>
          <w:rFonts w:ascii="arial" w:eastAsia="arial" w:hAnsi="arial" w:cs="arial"/>
          <w:sz w:val="20"/>
          <w:lang w:val="en-US" w:eastAsia="en-US" w:bidi="ar-SA"/>
        </w:rPr>
        <w:cr/>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statutory authorization defence suitable for resolution by way of summary judgment under R. 9-6?</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Has Alcan established the defence of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second issue to be decided in Alcan's application is whether Alcan is entitled to an order dismissing the plaintiffs' notice on the ground that it discloses no reasonable claim. The sub-issues that comprise this second issue include:</w:t>
      </w:r>
      <w:r>
        <w:rPr>
          <w:rFonts w:ascii="arial" w:eastAsia="arial" w:hAnsi="arial" w:cs="arial"/>
          <w:sz w:val="20"/>
          <w:lang w:val="en-US" w:eastAsia="en-US" w:bidi="ar-SA"/>
        </w:rPr>
        <w:cr/>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 holders of unproven Aboriginal title and rights have a cause of action against private persons in private or public nuisance or for breach of riparian rights for interference with the claimed rights?</w:t>
      </w:r>
    </w:p>
    <w:p>
      <w:pPr>
        <w:numPr>
          <w:numId w:val="4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any basis in law for the plaintiffs' claims to private nuisance or for breach of riparian rights incidental to their reserve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VII.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IS ALCAN ENTITLED TO SUMMARY JUDGMENT ON THE BASIS OF THE DEFENCE OF STATUTORY AUTHORIZATION?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Alcan's application for summary judgment is brought pursuant to R. 9-6(4) and (5)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which read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Application by answering party</w:t>
      </w:r>
    </w:p>
    <w:p>
      <w:pPr>
        <w:numPr>
          <w:numId w:val="4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Power of court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the amount to which the claiming party is entitled, may order a trial of that issue or pronounce judgment with a reference or an accounting to determine the amount,</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may make any other order it considers will further the object of these Supreme Court Civil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Generally speaking, summary judgment acts as a filter for unmeritorious claims. As stated in </w:t>
      </w:r>
      <w:r>
        <w:rPr>
          <w:rFonts w:ascii="arial" w:eastAsia="arial" w:hAnsi="arial" w:cs="arial"/>
          <w:i/>
          <w:color w:val="000000"/>
          <w:sz w:val="20"/>
          <w:lang w:val="en-US" w:eastAsia="en-US" w:bidi="ar-SA"/>
        </w:rPr>
        <w:t>Canada (Attorney General) v. Lameman</w:t>
      </w:r>
      <w:r>
        <w:rPr>
          <w:rFonts w:ascii="arial" w:eastAsia="arial" w:hAnsi="arial" w:cs="arial"/>
          <w:color w:val="000000"/>
          <w:sz w:val="20"/>
          <w:lang w:val="en-US" w:eastAsia="en-US" w:bidi="ar-SA"/>
        </w:rPr>
        <w:t xml:space="preserve">, </w:t>
      </w:r>
      <w:hyperlink r:id="rId585" w:history="1">
        <w:r>
          <w:rPr>
            <w:rFonts w:ascii="arial" w:eastAsia="arial" w:hAnsi="arial" w:cs="arial"/>
            <w:i/>
            <w:color w:val="0077CC"/>
            <w:sz w:val="20"/>
            <w:u w:val="single"/>
            <w:shd w:val="clear" w:color="auto" w:fill="FFFFFF"/>
            <w:lang w:val="en-US" w:eastAsia="en-US" w:bidi="ar-SA"/>
          </w:rPr>
          <w:t>2008 SCC 14</w:t>
        </w:r>
      </w:hyperlink>
      <w:r>
        <w:rPr>
          <w:rFonts w:ascii="arial" w:eastAsia="arial" w:hAnsi="arial" w:cs="arial"/>
          <w:color w:val="000000"/>
          <w:sz w:val="20"/>
          <w:lang w:val="en-US" w:eastAsia="en-US" w:bidi="ar-SA"/>
        </w:rPr>
        <w:t>, at para. 10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summary judgment rule serves an important purpose in the civil litigation system. It prevents claims or defences that have no chance of success from proceeding to trial. Trying unmeritorious claims imposes a heavy price in terms of time and cost on the parties to the litigation and on the justice system. It is essential to the proper operation of the justice system and beneficial to the parties that claims that have no chance of success be weeded out at an early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Conversely,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xml:space="preserve"> states at para. 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essential to justice that claims disclosing real issues that may be successful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At para. 11, the Court set out the analysis for dealing with summary judgment applications: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bar on a motion for summary judgment is high. The defendant who seeks summary dismissal bears the evidentiary burden of showing that there is "no genuine issue of material fact requiring trial" ... If the defendant does prove this, the plaintiff must either refute or counter the defendant's evidence, or risk summary dismissal ... The chambers judge may make inferences of fact based on the undisputed facts before the court, as long as the inferences are strongly supported by the facts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 summary judgment application will be decided on the basis of pleadings and evidence actually before the Court. It is not sufficient to rely merely on evidence that might be adduced in the future. As stated in </w:t>
      </w:r>
      <w:r>
        <w:rPr>
          <w:rFonts w:ascii="arial" w:eastAsia="arial" w:hAnsi="arial" w:cs="arial"/>
          <w:i/>
          <w:color w:val="000000"/>
          <w:sz w:val="20"/>
          <w:lang w:val="en-US" w:eastAsia="en-US" w:bidi="ar-SA"/>
        </w:rPr>
        <w:t>Lameman</w:t>
      </w:r>
      <w:r>
        <w:rPr>
          <w:rFonts w:ascii="arial" w:eastAsia="arial" w:hAnsi="arial" w:cs="arial"/>
          <w:color w:val="000000"/>
          <w:sz w:val="20"/>
          <w:lang w:val="en-US" w:eastAsia="en-US" w:bidi="ar-SA"/>
        </w:rPr>
        <w:t xml:space="preserve">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motion for summary judgment must be judged on the basis of the pleadings and materials actually before the judge, not on suppositions about what might be pleaded or proved in the future. This applies to Aboriginal claims as much as to any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Rule 9-6 is the successor to R. 18 of the </w:t>
      </w:r>
      <w:r>
        <w:rPr>
          <w:rFonts w:ascii="arial" w:eastAsia="arial" w:hAnsi="arial" w:cs="arial"/>
          <w:i/>
          <w:color w:val="000000"/>
          <w:sz w:val="20"/>
          <w:lang w:val="en-US" w:eastAsia="en-US" w:bidi="ar-SA"/>
        </w:rPr>
        <w:t>Rules.</w:t>
      </w:r>
      <w:r>
        <w:rPr>
          <w:rFonts w:ascii="arial" w:eastAsia="arial" w:hAnsi="arial" w:cs="arial"/>
          <w:color w:val="000000"/>
          <w:sz w:val="20"/>
          <w:lang w:val="en-US" w:eastAsia="en-US" w:bidi="ar-SA"/>
        </w:rPr>
        <w:t xml:space="preserve"> Unlike its predecessor, R. 9-6 provides limited scope to decide issues of law on a summary judgment application. Rule 9-6(5)(c) states that a court, "if satisfied that the only genuine issue is a question of law, may determine the question and pronounce judgment accordingly."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L.D. (Guardian ad litem of) v. Provincial Health Services Authority</w:t>
      </w:r>
      <w:r>
        <w:rPr>
          <w:rFonts w:ascii="arial" w:eastAsia="arial" w:hAnsi="arial" w:cs="arial"/>
          <w:color w:val="000000"/>
          <w:sz w:val="20"/>
          <w:lang w:val="en-US" w:eastAsia="en-US" w:bidi="ar-SA"/>
        </w:rPr>
        <w:t xml:space="preserve">, </w:t>
      </w:r>
      <w:hyperlink r:id="rId80" w:history="1">
        <w:r>
          <w:rPr>
            <w:rFonts w:ascii="arial" w:eastAsia="arial" w:hAnsi="arial" w:cs="arial"/>
            <w:i/>
            <w:color w:val="0077CC"/>
            <w:sz w:val="20"/>
            <w:u w:val="single"/>
            <w:shd w:val="clear" w:color="auto" w:fill="FFFFFF"/>
            <w:lang w:val="en-US" w:eastAsia="en-US" w:bidi="ar-SA"/>
          </w:rPr>
          <w:t>2011 BCSC 628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L.D.</w:t>
      </w:r>
      <w:r>
        <w:rPr>
          <w:rFonts w:ascii="arial" w:eastAsia="arial" w:hAnsi="arial" w:cs="arial"/>
          <w:color w:val="000000"/>
          <w:sz w:val="20"/>
          <w:lang w:val="en-US" w:eastAsia="en-US" w:bidi="ar-SA"/>
        </w:rPr>
        <w:t>], Mr. Justice Sewell cautioned against interpreting subrule (5)(c) too broadly and concluded, at para. 20, that a Court should decide an issue of law only if there is no real dispute about material facts and the issue of law is well settled: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I should also be cautious about deciding issues of law on this application. I am of the view that I should decide an issue of law only if I am satisfied that there is no real dispute about the material facts and that the issue of law is well settled by authoritative jurisprudence. It seems to me that Rule 9-7 is better suited for deciding novel points of law because on a summary trial the court will have a more complete record framing the question of law. I also note that Rules 9-3 and 9-4 are available for determining points of law on an agreed record.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Although the decision in </w:t>
      </w:r>
      <w:r>
        <w:rPr>
          <w:rFonts w:ascii="arial" w:eastAsia="arial" w:hAnsi="arial" w:cs="arial"/>
          <w:i/>
          <w:color w:val="000000"/>
          <w:sz w:val="20"/>
          <w:lang w:val="en-US" w:eastAsia="en-US" w:bidi="ar-SA"/>
        </w:rPr>
        <w:t>L.D.</w:t>
      </w:r>
      <w:r>
        <w:rPr>
          <w:rFonts w:ascii="arial" w:eastAsia="arial" w:hAnsi="arial" w:cs="arial"/>
          <w:color w:val="000000"/>
          <w:sz w:val="20"/>
          <w:lang w:val="en-US" w:eastAsia="en-US" w:bidi="ar-SA"/>
        </w:rPr>
        <w:t xml:space="preserve"> was subsequently overturned, the British Columbia Court of Appeal nonetheless endorsed Sewell J.'s comments quoted above: </w:t>
      </w:r>
      <w:hyperlink r:id="rId586" w:history="1">
        <w:r>
          <w:rPr>
            <w:rFonts w:ascii="arial" w:eastAsia="arial" w:hAnsi="arial" w:cs="arial"/>
            <w:i/>
            <w:color w:val="0077CC"/>
            <w:sz w:val="20"/>
            <w:u w:val="single"/>
            <w:shd w:val="clear" w:color="auto" w:fill="FFFFFF"/>
            <w:lang w:val="en-US" w:eastAsia="en-US" w:bidi="ar-SA"/>
          </w:rPr>
          <w:t>2012 BCCA 491</w:t>
        </w:r>
      </w:hyperlink>
      <w:r>
        <w:rPr>
          <w:rFonts w:ascii="arial" w:eastAsia="arial" w:hAnsi="arial" w:cs="arial"/>
          <w:color w:val="000000"/>
          <w:sz w:val="20"/>
          <w:lang w:val="en-US" w:eastAsia="en-US" w:bidi="ar-SA"/>
        </w:rPr>
        <w:t>,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Finally, Mr. Justice Savage addressed a further limitation on R. 9-6(5)(c) in </w:t>
      </w:r>
      <w:r>
        <w:rPr>
          <w:rFonts w:ascii="arial" w:eastAsia="arial" w:hAnsi="arial" w:cs="arial"/>
          <w:i/>
          <w:color w:val="000000"/>
          <w:sz w:val="20"/>
          <w:lang w:val="en-US" w:eastAsia="en-US" w:bidi="ar-SA"/>
        </w:rPr>
        <w:t>Haghdust v. British Columbia Lottery Corporation</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Rule 9-6(5)(c) ... limits determinations of questions of law to certain circumstances. That is, the court may only make determinations on questions of law where it would allow the court "to pronounce judgment accordingly". In the context of Rule 9-6(4), where the application is to dismiss "all or part of the claim", this means that determination of the question of law must allow the court to pronounce judgment on at least part of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Turning to the defence of statutory authorization, the leading Canadian case is </w:t>
      </w:r>
      <w:r>
        <w:rPr>
          <w:rFonts w:ascii="arial" w:eastAsia="arial" w:hAnsi="arial" w:cs="arial"/>
          <w:i/>
          <w:color w:val="000000"/>
          <w:sz w:val="20"/>
          <w:lang w:val="en-US" w:eastAsia="en-US" w:bidi="ar-SA"/>
        </w:rPr>
        <w:t>Ryan v. Victoria (City)</w:t>
      </w:r>
      <w:r>
        <w:rPr>
          <w:rFonts w:ascii="arial" w:eastAsia="arial" w:hAnsi="arial" w:cs="arial"/>
          <w:color w:val="000000"/>
          <w:sz w:val="20"/>
          <w:lang w:val="en-US" w:eastAsia="en-US" w:bidi="ar-SA"/>
        </w:rPr>
        <w:t xml:space="preserve">, </w:t>
      </w:r>
      <w:hyperlink r:id="rId587" w:history="1">
        <w:r>
          <w:rPr>
            <w:rFonts w:ascii="arial" w:eastAsia="arial" w:hAnsi="arial" w:cs="arial"/>
            <w:i/>
            <w:color w:val="0077CC"/>
            <w:sz w:val="20"/>
            <w:u w:val="single"/>
            <w:shd w:val="clear" w:color="auto" w:fill="FFFFFF"/>
            <w:lang w:val="en-US" w:eastAsia="en-US" w:bidi="ar-SA"/>
          </w:rPr>
          <w:t>[1999] 1 S.C.R. 201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The motorcyclist plaintiff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was injured while attempting to cross railway tracks in Victoria, and brought an action in public nuisance against the city and the railway companies that owned and operated the tracks. The motorcyclist was thrown from his vehicle when his front tire became trapped in the "flangeway", i.e. the gap running alongside the inner edge of the tracks. The defendants argued that the tracks, which had a flangeway width of between 3.75 and 3.94 inches, were authorized by regulations that prescribed a minimum flangeway width of 2.5 inches and maximum width of 4.75 inches.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Mr. Justice Major affirmed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the "traditional" view of the defence of statutory authority centered on the doctrine of "inevitable result". His Lordship stated at para. 54: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Statutory authority provides, at best, a narrow defence to nuisance. The traditional rule is that liability will not be imposed if an activity is authorized by statute and the defendant proves that the nuisance is the "inevitable result" or consequence of exercising that authority.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Among the cases cited by Major J. in support of the traditional view is </w:t>
      </w:r>
      <w:r>
        <w:rPr>
          <w:rFonts w:ascii="arial" w:eastAsia="arial" w:hAnsi="arial" w:cs="arial"/>
          <w:i/>
          <w:color w:val="000000"/>
          <w:sz w:val="20"/>
          <w:lang w:val="en-US" w:eastAsia="en-US" w:bidi="ar-SA"/>
        </w:rPr>
        <w:t>Manchester (City) v. Farnworth</w:t>
      </w:r>
      <w:r>
        <w:rPr>
          <w:rFonts w:ascii="arial" w:eastAsia="arial" w:hAnsi="arial" w:cs="arial"/>
          <w:color w:val="000000"/>
          <w:sz w:val="20"/>
          <w:lang w:val="en-US" w:eastAsia="en-US" w:bidi="ar-SA"/>
        </w:rPr>
        <w:t>, [1930] A.C. 171 (H.L.), which contains the classic statement of Viscount Dunedin, at p. 183, on which the defence of statutory authority in Canada is based: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Parliament has authorized a certain thing to be made or done in a certain place, there can be no action for nuisance caused by the making or doing of that thing if the nuisance is the inevitable result of the making or doing so authorized. The onus of proving that the result is inevitable is on those who wish to escape liability for nuisance, but the criterion of inevitability is not what is theoretically possible but what is possible according to the state of scientific knowledge at the time, having also in view a certain common sense appreciation, which cannot be rigidly defined, of practical feasibility in view of situation and of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Prior to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there was some uncertainty whether the traditional view of statutory authority had persevered following the decision of the Supreme Court of Canada in </w:t>
      </w:r>
      <w:r>
        <w:rPr>
          <w:rFonts w:ascii="arial" w:eastAsia="arial" w:hAnsi="arial" w:cs="arial"/>
          <w:i/>
          <w:color w:val="000000"/>
          <w:sz w:val="20"/>
          <w:lang w:val="en-US" w:eastAsia="en-US" w:bidi="ar-SA"/>
        </w:rPr>
        <w:t>Tock v. St. John's Metropolitan Area Board</w:t>
      </w:r>
      <w:r>
        <w:rPr>
          <w:rFonts w:ascii="arial" w:eastAsia="arial" w:hAnsi="arial" w:cs="arial"/>
          <w:color w:val="000000"/>
          <w:sz w:val="20"/>
          <w:lang w:val="en-US" w:eastAsia="en-US" w:bidi="ar-SA"/>
        </w:rPr>
        <w:t xml:space="preserve">, </w:t>
      </w:r>
      <w:hyperlink r:id="rId588" w:history="1">
        <w:r>
          <w:rPr>
            <w:rFonts w:ascii="arial" w:eastAsia="arial" w:hAnsi="arial" w:cs="arial"/>
            <w:i/>
            <w:color w:val="0077CC"/>
            <w:sz w:val="20"/>
            <w:u w:val="single"/>
            <w:shd w:val="clear" w:color="auto" w:fill="FFFFFF"/>
            <w:lang w:val="en-US" w:eastAsia="en-US" w:bidi="ar-SA"/>
          </w:rPr>
          <w:t>[1989] 2 S.C.R. 1181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This case was about a sewer blockage that caused flooding in the Tocks' basement. The defendant board had a general statutory power to construct and operate a city sewerage system, but the statute said nothing about the design or operation of the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While there was no majority opinion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on the correct legal approach to the defence, the court was unanimously of the view that the defence should fail on the facts before it. In three concurring judgments, the Court had divided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on the correct test to apply for the defence of statutory authority. Mr. Justice Sopinka had advocated for adherence to the traditional view based on the doctrine of inevitable result, while Wilson J. and La Forest J. each offered alternate approaches.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As Major J. observed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the attempts to depart from the traditional view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were unsuccessful and neither of the alternate approaches received majority support. After making clear that the traditional view persists, Major J. went on to cite favourably, at para. 55, from the comments of Sopinka J.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at para.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must negative that there are alternate methods of carrying out the work. The mere fact that one is considerably less expensive will not avail. If only one method is practically feasible, it must be established that it was practically impossible to avoid the nuisance. It is insufficient for the defendant to negative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standard is a higher one. While the defence gives rise to some factual difficulties, in view of the allocation of the burden of proof they will be resolved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Turning to the case before him, Major J. defined the issue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as whether the hazard created by the gap in the street was an "inevitable result" of exercising statutory authority or, to phrase the test differently, whether it was "practically impossible" for the railway companies to avoid the nuisance (para. 56). His Lordship concluded that it was not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First, the railway companies made the decision to exceed the minimum width by more than one inch, and that decision was discretionary; it was not the "inevitable result" or "inseparable consequence" of complying with the regulations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at para. 56). Second, the railway companies also made the decision not to install flange fillers, a rubber-type material inserted into the flangeway to create an even road surface for traffic. This failure to employ methods and technologies available at the time of the accident that would have avoided the nuisance was similarly a matter of discretion, not regulatory compliance. To use the language of Sopinka J.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at para. 94, the defendants were unable to establish that there were no alternate methods and that their method was the only one that was "practically feasible".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burden of proof in establishing the defence of statutory authorization rests on the defendant. First, the defendant must establish that the act causing the nuisance is expressly or implicitly authorized by statute; and second, that the nuisance is the "inevitable result" of the statutorily authorized action: </w:t>
      </w:r>
      <w:r>
        <w:rPr>
          <w:rFonts w:ascii="arial" w:eastAsia="arial" w:hAnsi="arial" w:cs="arial"/>
          <w:i/>
          <w:color w:val="000000"/>
          <w:sz w:val="20"/>
          <w:lang w:val="en-US" w:eastAsia="en-US" w:bidi="ar-SA"/>
        </w:rPr>
        <w:t>Susan Heyes Inc. (Hazel &amp; Co.) v. South Coast B.C. Transportation Authority</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2011 BCCA 77</w:t>
        </w:r>
      </w:hyperlink>
      <w:r>
        <w:rPr>
          <w:rFonts w:ascii="arial" w:eastAsia="arial" w:hAnsi="arial" w:cs="arial"/>
          <w:color w:val="000000"/>
          <w:sz w:val="20"/>
          <w:lang w:val="en-US" w:eastAsia="en-US" w:bidi="ar-SA"/>
        </w:rPr>
        <w:t>, at paras. 79-80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the Court held that the defendants had successfully demonstrated that the nuisance attributable to the use of the "cut and cover" method of construction of the Canada Line was "inevitable" in the sense that, due to cost, no alternative method of construction was viable (para. 146). Crucially, no statute authorized the use of cut and cover construction itself and the plaintiff asserted that "bored tunnel" construction would have been much less disruptive; however, the court ruled that cut and cover construction had been the only practically feasible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Sutherland v. Vancouver International Airport Authority</w:t>
      </w:r>
      <w:r>
        <w:rPr>
          <w:rFonts w:ascii="arial" w:eastAsia="arial" w:hAnsi="arial" w:cs="arial"/>
          <w:color w:val="000000"/>
          <w:sz w:val="20"/>
          <w:lang w:val="en-US" w:eastAsia="en-US" w:bidi="ar-SA"/>
        </w:rPr>
        <w:t xml:space="preserve">, </w:t>
      </w:r>
      <w:hyperlink r:id="rId590" w:history="1">
        <w:r>
          <w:rPr>
            <w:rFonts w:ascii="arial" w:eastAsia="arial" w:hAnsi="arial" w:cs="arial"/>
            <w:i/>
            <w:color w:val="0077CC"/>
            <w:sz w:val="20"/>
            <w:u w:val="single"/>
            <w:shd w:val="clear" w:color="auto" w:fill="FFFFFF"/>
            <w:lang w:val="en-US" w:eastAsia="en-US" w:bidi="ar-SA"/>
          </w:rPr>
          <w:t>2002 BCCA 416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concerned the noise that resulted from the addition of a third runway at Vancouver International Airport. Because the order-in-council and airport certificate relied upon by the airport authority had authorized not only the construction of a third runway, but the specific location and operation of the runway, the court concluded that any noise caused was not actionable in nuisance. Noise was the "inevitable result" of operating a runway in that location (para. 117).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 statutory authorization defence suitable for resolution by way of summary judgment under Rule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plaintiffs in the case at bar argue that the defence of statutory authority raised by Alcan is not an appropriate issue to address on an application for summary judgment. The plaintiffs note that the defence of statutory authority is always a question of mixed fact and law and is therefore rarely suitable for determination as a preliminary matter. The plaintiffs refer to the decision of Mr. Justice Carrothers in </w:t>
      </w:r>
      <w:r>
        <w:rPr>
          <w:rFonts w:ascii="arial" w:eastAsia="arial" w:hAnsi="arial" w:cs="arial"/>
          <w:i/>
          <w:color w:val="000000"/>
          <w:sz w:val="20"/>
          <w:lang w:val="en-US" w:eastAsia="en-US" w:bidi="ar-SA"/>
        </w:rPr>
        <w:t>Torino Motors (1975) Ltd. v. British Columbia</w:t>
      </w:r>
      <w:r>
        <w:rPr>
          <w:rFonts w:ascii="arial" w:eastAsia="arial" w:hAnsi="arial" w:cs="arial"/>
          <w:color w:val="000000"/>
          <w:sz w:val="20"/>
          <w:lang w:val="en-US" w:eastAsia="en-US" w:bidi="ar-SA"/>
        </w:rPr>
        <w:t xml:space="preserve"> </w:t>
      </w:r>
      <w:hyperlink r:id="rId591" w:history="1">
        <w:r>
          <w:rPr>
            <w:rFonts w:ascii="arial" w:eastAsia="arial" w:hAnsi="arial" w:cs="arial"/>
            <w:i/>
            <w:color w:val="0077CC"/>
            <w:sz w:val="20"/>
            <w:u w:val="single"/>
            <w:shd w:val="clear" w:color="auto" w:fill="FFFFFF"/>
            <w:lang w:val="en-US" w:eastAsia="en-US" w:bidi="ar-SA"/>
          </w:rPr>
          <w:t>(1988), 63 D.L.R. (4th) 168</w:t>
        </w:r>
      </w:hyperlink>
      <w:r>
        <w:rPr>
          <w:rFonts w:ascii="arial" w:eastAsia="arial" w:hAnsi="arial" w:cs="arial"/>
          <w:color w:val="000000"/>
          <w:sz w:val="20"/>
          <w:lang w:val="en-US" w:eastAsia="en-US" w:bidi="ar-SA"/>
        </w:rPr>
        <w:t xml:space="preserve"> (B.C.C.A.), which states at p. 171 that "[d]etermination of issues of statutory authority turns on the particular facts of each case thus rendering such determination generally unsuitable for summary judgment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plaintiffs point out that Alcan has failed to provide any authority where a court has determined the question of statutory authorization on a preliminary motion. The only case relied upon by Alcan that was dealt with on a pre-trial basis is </w:t>
      </w:r>
      <w:r>
        <w:rPr>
          <w:rFonts w:ascii="arial" w:eastAsia="arial" w:hAnsi="arial" w:cs="arial"/>
          <w:i/>
          <w:color w:val="000000"/>
          <w:sz w:val="20"/>
          <w:lang w:val="en-US" w:eastAsia="en-US" w:bidi="ar-SA"/>
        </w:rPr>
        <w:t>Allen v. Gulf Oil Refining</w:t>
      </w:r>
      <w:r>
        <w:rPr>
          <w:rFonts w:ascii="arial" w:eastAsia="arial" w:hAnsi="arial" w:cs="arial"/>
          <w:color w:val="000000"/>
          <w:sz w:val="20"/>
          <w:lang w:val="en-US" w:eastAsia="en-US" w:bidi="ar-SA"/>
        </w:rPr>
        <w:t>, [1981] A.C. 1001 (H.L.)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That case involved an attempt by the plaintiff to strike the defence under English rules, and thus the plaintiffs in this case submit that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has little relevance to an application for summary judgment against a plaintiff under R.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plaintiffs do note that in the case </w:t>
      </w:r>
      <w:r>
        <w:rPr>
          <w:rFonts w:ascii="arial" w:eastAsia="arial" w:hAnsi="arial" w:cs="arial"/>
          <w:i/>
          <w:color w:val="000000"/>
          <w:sz w:val="20"/>
          <w:lang w:val="en-US" w:eastAsia="en-US" w:bidi="ar-SA"/>
        </w:rPr>
        <w:t>Hill v. Vernon (City),</w:t>
      </w:r>
      <w:r>
        <w:rPr>
          <w:rFonts w:ascii="arial" w:eastAsia="arial" w:hAnsi="arial" w:cs="arial"/>
          <w:color w:val="000000"/>
          <w:sz w:val="20"/>
          <w:lang w:val="en-US" w:eastAsia="en-US" w:bidi="ar-SA"/>
        </w:rPr>
        <w:t xml:space="preserve"> </w:t>
      </w:r>
      <w:hyperlink r:id="rId592" w:history="1">
        <w:r>
          <w:rPr>
            <w:rFonts w:ascii="arial" w:eastAsia="arial" w:hAnsi="arial" w:cs="arial"/>
            <w:i/>
            <w:color w:val="0077CC"/>
            <w:sz w:val="20"/>
            <w:u w:val="single"/>
            <w:shd w:val="clear" w:color="auto" w:fill="FFFFFF"/>
            <w:lang w:val="en-US" w:eastAsia="en-US" w:bidi="ar-SA"/>
          </w:rPr>
          <w:t>[1989] B.C.J. No. 144</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xml:space="preserve">], summary dismissal was found to apply to a defence of statutory authority raised against an alleged nuisance. However, the decision was later overturned by the British Columbia Court of Appeal because the defendant had not conceded the accuracy of the allegations in the statement of claim and the trial judge improperly gave judgment on assumed facts rather than facts as found: </w:t>
      </w:r>
      <w:hyperlink r:id="rId593" w:history="1">
        <w:r>
          <w:rPr>
            <w:rFonts w:ascii="arial" w:eastAsia="arial" w:hAnsi="arial" w:cs="arial"/>
            <w:i/>
            <w:color w:val="0077CC"/>
            <w:sz w:val="20"/>
            <w:u w:val="single"/>
            <w:shd w:val="clear" w:color="auto" w:fill="FFFFFF"/>
            <w:lang w:val="en-US" w:eastAsia="en-US" w:bidi="ar-SA"/>
          </w:rPr>
          <w:t>[1991] B.C.J. No. 911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say that, as in </w:t>
      </w:r>
      <w:r>
        <w:rPr>
          <w:rFonts w:ascii="arial" w:eastAsia="arial" w:hAnsi="arial" w:cs="arial"/>
          <w:i/>
          <w:color w:val="000000"/>
          <w:sz w:val="20"/>
          <w:lang w:val="en-US" w:eastAsia="en-US" w:bidi="ar-SA"/>
        </w:rPr>
        <w:t>Hill</w:t>
      </w:r>
      <w:r>
        <w:rPr>
          <w:rFonts w:ascii="arial" w:eastAsia="arial" w:hAnsi="arial" w:cs="arial"/>
          <w:color w:val="000000"/>
          <w:sz w:val="20"/>
          <w:lang w:val="en-US" w:eastAsia="en-US" w:bidi="ar-SA"/>
        </w:rPr>
        <w:t>, Alcan has not admitted the facts alleged by the plaintiffs. While Alcan admits in its Response to Civil Claim that the diversion of water from the Kenney Dam affects the amount and timing of water flowing into the Nechako, Alcan specifically denies that the quality of water flowing into the Nechako has been diminished or that the plaintiffs' property has been adversely impacted and suffered unreasonable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Finally, the plaintiffs say that other authorities have also held that summary judgment is not suitable for cases where the court would need to proceed on assumed facts that are not admitted by the defendant, particularly in the context of complex issues of constitutional law and novel legal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agree with the plaintiffs that the defence of statutory authority generally involves a fact-specific inquiry. However, as I cannot conclude that it is inappropriate in all cases to deal with the issue summarily, the suitability of summary judgment in this case can only be determined by comparing the scope of the statutory authority invoked by Alcan to the particular types of harm alleged by the plaintiffs. I therefore turn to consider whether the defence of statutory authority has been established by Alcan.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Has Alcan established the defence of statutory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Alcan argues that it is clear on the record that all of its water storage and diversion operations are authorized by the Licence. It says that Mr. Henning's uncontradicted evidence is that all such operations are carried out in accordance with the terms of the Licence and that, as a result, there is no question of conduct that is not specifically authorized.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Alcan submits that the applicable authorities on this issue and the evidence before the Court establishes that (1) the only authorization that need be considered is the Licence; (2) the Licence and the order-in-council that issued it are capable in law of giving rise to the defence of statutory authorization; (3) that Alcan, though not a public body, may rely upon the authority conferred by the legislature directly or by subordinate legislation such as the order-in-council; (4) the defence answers with equal force both causes of action relied upon by the plaintiffs; (5) that the conduct that is the subject of the plaintiffs' claims is confined to the storage and diversion of the Nechako waters by Alcan; (6) all of Alcan's conduct in question comes within the protection of the Licence.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Alcan claims that all of the above being so, what is left for the Court's consideration is the narrow question of whether the Licence conferred statutory authority for Alcan's storage and diversion of the Nechako waters such that Alcan's conduct is not actionable. Alcan argues that it is entitled to summary judgment because the defence of statutory authorization is, according to Alcan, established, and thus there is no genuine issue of material fact requiring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Alcan's submission, the ultimate inquiry in the defence of statutory authorization is whether "the necessary causal connection exists between the work authorized and the nuisance". Alcan argues that, while the practical feasibility inquiry was dispositive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it is not an inquiry that needs to be undertaken in all cases. This assertion emerges from a review of Sopinka J.'s reasons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particularly at para. 93: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criticism of the present state of the law which is the springboard for the desire to change it is largely based on the fact that the term "inevitable consequences" is too vague and uncertain. That term is the expression of the factual conclusion that the necessary causal connection exists between the work authorized and the nuisance. If the necessary connection exists, then it follows that the legislature authorized that which is the inevitable consequence of the work described in the statute.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And at para. 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work is authorized by statute whether the statute is mandatory or permissive, if the work is carried out in accordance with the statute. The distinction between mandatory and permissive, which Wilson J. makes to eliminate, in the latter case, the defence of statutory authority, has not been accepted in Canada or, apparently, in England. (See </w:t>
      </w:r>
      <w:r>
        <w:rPr>
          <w:rFonts w:ascii="arial" w:eastAsia="arial" w:hAnsi="arial" w:cs="arial"/>
          <w:i/>
          <w:color w:val="000000"/>
          <w:sz w:val="20"/>
          <w:lang w:val="en-US" w:eastAsia="en-US" w:bidi="ar-SA"/>
        </w:rPr>
        <w:t>Allen v. Gulf Oil Refining Ltd.</w:t>
      </w:r>
      <w:r>
        <w:rPr>
          <w:rFonts w:ascii="arial" w:eastAsia="arial" w:hAnsi="arial" w:cs="arial"/>
          <w:color w:val="000000"/>
          <w:sz w:val="20"/>
          <w:lang w:val="en-US" w:eastAsia="en-US" w:bidi="ar-SA"/>
        </w:rPr>
        <w:t xml:space="preserve">, [1981] 1 All E.R. 353 (H.L.), and </w:t>
      </w:r>
      <w:r>
        <w:rPr>
          <w:rFonts w:ascii="arial" w:eastAsia="arial" w:hAnsi="arial" w:cs="arial"/>
          <w:i/>
          <w:color w:val="000000"/>
          <w:sz w:val="20"/>
          <w:lang w:val="en-US" w:eastAsia="en-US" w:bidi="ar-SA"/>
        </w:rPr>
        <w:t>Tate &amp; Lyle Industries Ltd. v. Greater London Council</w:t>
      </w:r>
      <w:r>
        <w:rPr>
          <w:rFonts w:ascii="arial" w:eastAsia="arial" w:hAnsi="arial" w:cs="arial"/>
          <w:color w:val="000000"/>
          <w:sz w:val="20"/>
          <w:lang w:val="en-US" w:eastAsia="en-US" w:bidi="ar-SA"/>
        </w:rPr>
        <w:t>, [1983] 1 All E.R. 1159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Alcan submits that the approach taken by Major J.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is one means of testing whether the "necessary causal connection" exists, on a given set of facts. In other cases, the nexus between the authorization and the alleged nuisance may be so close that the "inevitable result" test can be resolved on the face of the authorization alone. Alcan applies two notable House of Lords decisions, both cited and discussed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to illustrate the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Metropolitan Asylum District v. Hill</w:t>
      </w:r>
      <w:r>
        <w:rPr>
          <w:rFonts w:ascii="arial" w:eastAsia="arial" w:hAnsi="arial" w:cs="arial"/>
          <w:color w:val="000000"/>
          <w:sz w:val="20"/>
          <w:lang w:val="en-US" w:eastAsia="en-US" w:bidi="ar-SA"/>
        </w:rPr>
        <w:t xml:space="preserve"> (1881), 6 App. Cas. 193 (H.L.) [</w:t>
      </w:r>
      <w:r>
        <w:rPr>
          <w:rFonts w:ascii="arial" w:eastAsia="arial" w:hAnsi="arial" w:cs="arial"/>
          <w:i/>
          <w:color w:val="000000"/>
          <w:sz w:val="20"/>
          <w:lang w:val="en-US" w:eastAsia="en-US" w:bidi="ar-SA"/>
        </w:rPr>
        <w:t>Metropolitan Asylum District</w:t>
      </w:r>
      <w:r>
        <w:rPr>
          <w:rFonts w:ascii="arial" w:eastAsia="arial" w:hAnsi="arial" w:cs="arial"/>
          <w:color w:val="000000"/>
          <w:sz w:val="20"/>
          <w:lang w:val="en-US" w:eastAsia="en-US" w:bidi="ar-SA"/>
        </w:rPr>
        <w:t>], a hospital board was found liable for a nuisance caused by one of its hospitals to adjoining residents. The sites of the hospitals were left to the discretion of the board under its statutory power. Since the board could have chosen, but did not choose, a site more distant from residential areas, the board failed to establish that the nuisance was the inevitable result of the authorization to establish hospitals.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By contrast, in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the defendant oil company had obtained authority through a private act to acquire certain lands and construct an oil refinery on those lands. Their Lordships held that the act must be taken to immunize the oil company from an action in nuisance because the smell, noise and vibration that affected the surrounding residents would be the inevitable result of erecting a refinery upon that site.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Alcan contends that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reflect a similar dichotomy. Alcan submits that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is similar to </w:t>
      </w:r>
      <w:r>
        <w:rPr>
          <w:rFonts w:ascii="arial" w:eastAsia="arial" w:hAnsi="arial" w:cs="arial"/>
          <w:i/>
          <w:color w:val="000000"/>
          <w:sz w:val="20"/>
          <w:lang w:val="en-US" w:eastAsia="en-US" w:bidi="ar-SA"/>
        </w:rPr>
        <w:t>Metropolitan Asylum District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in that all three cases involved a power set up by a legislative regime that, taken on its own, was too general to shield the defendants. The cases were about statutory powers to construct a rail line underneath Cambie Street by some method; to establish hospitals somewhere; and to create a sewer system of some kind.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Alcan submits that the factual twist that distinguishes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is that, although cut and cover construction was not directly and specifically authorized in that case, for cost reasons, it was the only feasible method and thus the inevitable result of the decision to construct the Canada Line. If, as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the defendants in </w:t>
      </w:r>
      <w:r>
        <w:rPr>
          <w:rFonts w:ascii="arial" w:eastAsia="arial" w:hAnsi="arial" w:cs="arial"/>
          <w:i/>
          <w:color w:val="000000"/>
          <w:sz w:val="20"/>
          <w:lang w:val="en-US" w:eastAsia="en-US" w:bidi="ar-SA"/>
        </w:rPr>
        <w:t>Metropolitan Asylum District</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had shown that the only feasible place or way to construct the hospital and sewer system, respectively, was as they had each done, then, says Alcan, the "inevitable result" doctrine would have provided the "necessary causal connection" between the authorizations and the alleged nuisances and those defendants too would have been entitled to rely upon statutory authorization.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Alcan contends that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is a case that, like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shows the other side of the coin: because the specific location and operation of the third runway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was specifically authorized, noise was an "inevitable result" of the construction of that runway and thus not actionable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Alcan asserts that in the instant case the Licence expressly and specifically authorizes the time, place, and amounts of Alcan's water storage and diversion operations. It is those very same water storage and diversion operations, in those same times and in those same places, that are said by the plaintiffs to create a nuisance (and a breach of riparian rights). The Kenney Dam is specifically authorized and so is the diversion of the Nechako.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Alcan insists that this is a clear case in which the "necessary causal connection" exists between the authorization and the nuisance alleged, in that the legislature (through the Lieutenant Governor in Council) specifically authorized all of the work that Alcan performs in operating the dam, and it is that work that creates (and indeed is specifically alleged to create) the water impacts alleged by the plaintiffs. The authority to operate the dam throughout the year in its specific location, says Alcan, inevitably means that water flows in the Nechako system are disturbed. Since it is that very disturbance that is the subject of the present claim, the "inevitable result" test is satisfied here.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Alcan submits that, like </w:t>
      </w:r>
      <w:r>
        <w:rPr>
          <w:rFonts w:ascii="arial" w:eastAsia="arial" w:hAnsi="arial" w:cs="arial"/>
          <w:i/>
          <w:color w:val="000000"/>
          <w:sz w:val="20"/>
          <w:lang w:val="en-US" w:eastAsia="en-US" w:bidi="ar-SA"/>
        </w:rPr>
        <w:t>Allen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in the instant case the Licence must be taken to immunize Alcan because it specifically describes and authorizes the operation and location of the Kenney Dam and because diminished water flows are the inevitable result of a licence to store and divert water.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Finally, Alcan submits that the plaintiffs' statement in their Reply that the statutory authorization is "constitutionally inapplicable" against the plaintiffs' Aboriginal or proprietary rights constitutes a "collateral attack" on the Licence and amounts to an abuse of the process of the court under R. 9-5(1)(d).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plaintiffs submit that even if this were a suitable case for an application for summary judgment, such an application is premature as the parties have not had the opportunity to develop evidence through the discovery process on issues raised in the pleadings. Furthermore, even if the Licence was capable of providing a full defence, Alcan has not met its burden in establishing the defence of statutory authorization and cannot do so without a full examination of the evidence at a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plaintiffs assert, referring to </w:t>
      </w:r>
      <w:r>
        <w:rPr>
          <w:rFonts w:ascii="arial" w:eastAsia="arial" w:hAnsi="arial" w:cs="arial"/>
          <w:i/>
          <w:color w:val="000000"/>
          <w:sz w:val="20"/>
          <w:lang w:val="en-US" w:eastAsia="en-US" w:bidi="ar-SA"/>
        </w:rPr>
        <w:t>Tock, Ryan</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that the defence of statutory authorization requires a factual inquiry to be made as to whether the nuisance was the "inevitable result" of the authorized action, or if there was an alternative option that would cause less harm. The plaintiffs specifically note the words of Sopinka J. in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who said at para. 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must negative that there are alternate methods of carrying out the work. The mere fact that one is considerably less expensive will not avail. If only one method is practically feasible, it must be established that it was practically impossible to avoid the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plaintiffs say that in the instant case the evidence simply establishes the Licence and falls far short of addressing alternative methods that could avoid the many impacts alleged by the plaintiffs. They quote from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at para. 80 where the court adopted the following excerpt from </w:t>
      </w:r>
      <w:r>
        <w:rPr>
          <w:rFonts w:ascii="arial" w:eastAsia="arial" w:hAnsi="arial" w:cs="arial"/>
          <w:i/>
          <w:color w:val="000000"/>
          <w:sz w:val="20"/>
          <w:lang w:val="en-US" w:eastAsia="en-US" w:bidi="ar-SA"/>
        </w:rPr>
        <w:t>Schenk v. Ontario</w:t>
      </w:r>
      <w:r>
        <w:rPr>
          <w:rFonts w:ascii="arial" w:eastAsia="arial" w:hAnsi="arial" w:cs="arial"/>
          <w:color w:val="000000"/>
          <w:sz w:val="20"/>
          <w:lang w:val="en-US" w:eastAsia="en-US" w:bidi="ar-SA"/>
        </w:rPr>
        <w:t xml:space="preserve"> </w:t>
      </w:r>
      <w:hyperlink r:id="rId594" w:history="1">
        <w:r>
          <w:rPr>
            <w:rFonts w:ascii="arial" w:eastAsia="arial" w:hAnsi="arial" w:cs="arial"/>
            <w:i/>
            <w:color w:val="0077CC"/>
            <w:sz w:val="20"/>
            <w:u w:val="single"/>
            <w:shd w:val="clear" w:color="auto" w:fill="FFFFFF"/>
            <w:lang w:val="en-US" w:eastAsia="en-US" w:bidi="ar-SA"/>
          </w:rPr>
          <w:t>(1981), 34 O.R. (2d) 595</w:t>
        </w:r>
      </w:hyperlink>
      <w:r>
        <w:rPr>
          <w:rFonts w:ascii="arial" w:eastAsia="arial" w:hAnsi="arial" w:cs="arial"/>
          <w:color w:val="000000"/>
          <w:sz w:val="20"/>
          <w:lang w:val="en-US" w:eastAsia="en-US" w:bidi="ar-SA"/>
        </w:rPr>
        <w:t xml:space="preserve"> (Ont. H.C.J.), at para. 32: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an authorized activity is to be relieved of ordinary tort liability, the statute authorizing the activity must be given a strict construction. The Legislature is not to be deemed to have taken away the legal remedies of private persons and their right to compensation for injury to their legally recognized interests unless a contrary intention is clearly manifested by the legislation.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plaintiffs contend that in order to determine this issue the Court may be required to review and test evidence in respect of whether the impacts complained of were known or contemplated by the statutory authority at the time of granting the Licence; whether Alcan misled or failed to disclose such prospective impacts, and whether Alcan and/or the statutory authority anticipated that further protection measures would be implemented. For example, the Licence affords Alcan significant discretion with respect to the timing, amount, quality and location of water released back into the Nechako system. The Licence may have contemplated or permitted construction of measures such as a cold water release facility which would have altered temperature and flow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Finally, the plaintiffs say that Alcan's allegation of "collateral attack" on the Licence is based on a misconception of the claim disclosed in the pleadings. The plaintiffs state that they seek no relief in this action in relation to the Licence. Their claim is in private law.</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According to the court in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at para. 79, the defence of statutory authority raises a two-part inquiry:</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act causing the nuisance was expressly or implicitly authorized by statute; and,</w:t>
      </w:r>
    </w:p>
    <w:p>
      <w:pPr>
        <w:numPr>
          <w:numId w:val="5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whether the nuisance was the inevitable result of the statutorily authorized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burden of proof rests on Alcan, and the legislation at issue must be strictly construed in accordance with the presumption against interference with individual rights. For that reason, it is commonly stated in the authorities that the defence is difficult to establish: e.g. </w:t>
      </w:r>
      <w:r>
        <w:rPr>
          <w:rFonts w:ascii="arial" w:eastAsia="arial" w:hAnsi="arial" w:cs="arial"/>
          <w:i/>
          <w:color w:val="000000"/>
          <w:sz w:val="20"/>
          <w:lang w:val="en-US" w:eastAsia="en-US" w:bidi="ar-SA"/>
        </w:rPr>
        <w:t>Heyes</w:t>
      </w:r>
      <w:r>
        <w:rPr>
          <w:rFonts w:ascii="arial" w:eastAsia="arial" w:hAnsi="arial" w:cs="arial"/>
          <w:color w:val="000000"/>
          <w:sz w:val="20"/>
          <w:lang w:val="en-US" w:eastAsia="en-US" w:bidi="ar-SA"/>
        </w:rPr>
        <w:t xml:space="preserve"> at para. 80; </w:t>
      </w:r>
      <w:r>
        <w:rPr>
          <w:rFonts w:ascii="arial" w:eastAsia="arial" w:hAnsi="arial" w:cs="arial"/>
          <w:i/>
          <w:color w:val="000000"/>
          <w:sz w:val="20"/>
          <w:lang w:val="en-US" w:eastAsia="en-US" w:bidi="ar-SA"/>
        </w:rPr>
        <w:t>Tock</w:t>
      </w:r>
      <w:r>
        <w:rPr>
          <w:rFonts w:ascii="arial" w:eastAsia="arial" w:hAnsi="arial" w:cs="arial"/>
          <w:color w:val="000000"/>
          <w:sz w:val="20"/>
          <w:lang w:val="en-US" w:eastAsia="en-US" w:bidi="ar-SA"/>
        </w:rPr>
        <w:t xml:space="preserve"> at para. 94.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In taking the position that the practical feasibility standard applied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is only one means of testing whether the "necessary causal connection" exists, in effect, Alcan is arguing that the second branch of the statutory authority inquiry - the inevitable result test - is automatically met where the act authorized and the nuisance claimed are one and the same. Alcan says the instant case is one where the nexus between the authorization and the alleged nuisance are so close that the "inevitable result" test can be resolved on the face of the authorization alone, rendering it unnecessary to consider practically feasible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 agree that, as a matter of logic and general common sense, there will be little analysis to undertake at the inevitable result stage where the Licence expressly authorizes the nuisance. If the nuisance is the same as the act authorized, then it logically follows that success on the first branch of the statutory authority inquiry will necessarily lead to success on the second branch. In such a case, it would theoretically be possible to resolve the issue of statutory authority entirely on the face of the Licence, as Alcan proposes. However, I do not agree that the instant case falls into that narrow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Alcan states that the Licence expressly authorizes the time, place, and amounts of Alcan's water storage and diversion operations and that it is those very same water storage and diversion operations that are said by the plaintiffs to create a nuisance. As a result, Alcan concludes that the present case is one in which the "necessary causal connection" exists between the authorization and the nuisance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do not accept that argument for a number of reasons. Alcan's argument incorrectly focuses on the source of the nuisance (i.e. the acts authorized), rather than the actual nuisance claimed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According to the Notice, the plaintiffs allege a number of specific adverse impacts on the Nechako waters, including increased water temperature and erosion of the river banks, as well as adverse impacts on the fisheries resources, including loss of fish spawning habitat and the eventual extinction of the Nechako sturgeon. The plaintiffs say that these adverse impacts have been created by the diversion of water by the Kenney Dam.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harm alleged by the plaintiffs is not, as Alcan suggests, the mere storage and diversion of water. The plaintiffs do not contest the fact that the Licence authorizes Alcan to store and divert water generally. Rather, the plaintiffs allege an interference with their rights on the basis of storage and diversion of water in a manner that results in very particular types of harm. The issue is not whether Alcan is authorized to store and divert water generally, but whether Alcan is authorized to store and divert water in a manner that results in the particular harms alleged.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question is whether the disturbance of the water, in a manner that results in the particular types of harm alleged by the plaintiffs, is inevitable from the operation of the dam. That question involves an examination of the various options available to Alcan in operating the dam. If there are alternative options that are "practically feasible" and would avoid the alleged harms, then the harms cannot be said to be the inevitable result of Alcan's operation of the dam pursuant to the Licence. Many of the impacts (e.g. fish decline) alleged by the plaintiffs would likely not have been apparent at the time of the original construction of the Kenney Dam and thus it cannot be said that such impacts were contemplated and authorized when Alcan was issued the Licence. Accordingly, the defence of statutory authorization would not be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Simply because the impacts alleged by the plaintiffs are the result of acts authorized by the Licence does not make them one and the same, nor does it establish the "necessary causal connection" as claimed by Alcan. To treat the impacts in that way would render the inevitable result test largely redundant.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The question under the second branch of the statutory authority inquiry is whether the impacts were the </w:t>
      </w:r>
      <w:r>
        <w:rPr>
          <w:rFonts w:ascii="arial" w:eastAsia="arial" w:hAnsi="arial" w:cs="arial"/>
          <w:i/>
          <w:color w:val="000000"/>
          <w:sz w:val="20"/>
          <w:lang w:val="en-US" w:eastAsia="en-US" w:bidi="ar-SA"/>
        </w:rPr>
        <w:t>inevitable result</w:t>
      </w:r>
      <w:r>
        <w:rPr>
          <w:rFonts w:ascii="arial" w:eastAsia="arial" w:hAnsi="arial" w:cs="arial"/>
          <w:color w:val="000000"/>
          <w:sz w:val="20"/>
          <w:lang w:val="en-US" w:eastAsia="en-US" w:bidi="ar-SA"/>
        </w:rPr>
        <w:t xml:space="preserve"> of the diversion of water authorized by the Licence. That involves a factual inquiry to determine if there are practically feasible alternatives that would avoid the impacts.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For example, as noted by the plaintiffs, it may have been practically feasible for Alcan to construct a cold water release facility. Evidence will be required for the Court to weigh this possible alternative.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To illustrate the importance of distinguishing between the authorized act alleged to cause the nuisance and the actual nuisance itself, it is helpful to examine the decision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in greater detail, a case which Alcan says involves "materially identical facts" to the case at bar. In my view,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is not only distinguishable from the present case, but offers an excellent example of why Alcan cannot establish the defence of statutory authority on the face of the Licence alone and side-step the practically feasible inquiry.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In reaching its decision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the Court did not address the practical feasibility of alternatives (or at least not in such terms). However, that is not because the inevitable result test was satisfied on the face of the authorization alone. Rather, it is because no alternatives were available for consideration as a matter of law, and on the facts as found by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xml:space="preserve">  In response to the defence of statutory authority, the plaintiffs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xml:space="preserve"> advanced three alternatives for consideration, arguing that the defendants should have: 1) selected a different location for the runway; 2) expropriated the property affected by the nuisance; or 3) provided compensation to the plaintiffs affected by the nuisance. The Court rejected all three alternatives as not properly considered. The location was clearly authorized by the statutory scheme, which stipulated the precise location and configuration of the runway, and was therefore not a justiciable issue. Expropriation and compensation were also not valid considerations in part because the Minister did not have the requisite authority to expropriate land for such purposes and there was evidence that the federal government considered and rejected a proposal for compensation to individuals who would be affected by noise from the runway.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Despite the Court's finding that the location and operation of the runway were authorized by statute, the analysis did not end there. The Court then considered whether the noise constituting the nuisance was the inevitable result of the runway's operation at the specified location. The Court, at para. 102, referred to the trial judge's finding of fact, at para. 294, that the nuisance was impossible to avoid when the runway was operating at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Authority called a good deal of evidence to the effect that, given the location of the north runway, it is not possible to operate it to capacity and avoid the noise nuisance of which the plaintiffs complain. The evidence supports that view. Once the runway is placed the die is cast on how aircraft must approach and depart the runway over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In the view of the Court, the finding of the trial judge was effectively a ruling that the operation of the runway at capacity, as located, inevitably resulted in the noise constituting a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As the reasoning of the Court makes clear, the inevitable result test was met because there were no alternatives available that would have avoided the noise, not because the authorized act was the same as the nuisance. The location and operation of the runway, which were specifically authorized by statute, were treated by the Court as distinct from the noise resulting from the operation of the runway. However, the Vancouver International Airport was able to establish that there were no "practically feasible"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The plaintiffs in the case at bar allege a number of adverse impacts on the environment that result from the dam's diversion of water. As with the noise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the impacts alleged by the plaintiffs are not the same as the acts authorized by statute. The question then becomes whether the dam can be operated pursuant to the Licence in a manner that avoids the alleged impacts. All of Alcan's evidence is directed toward establishing the existence of the Licence and the operation of the dam pursuant to the Licence. Alcan has provided no evidence whatsoever to prove that there are no practically feasible alternatives.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In the result, I am not satisfied that there is no genuine issue for trial with respect to the plaintiffs' claim against Alcan. In my opinion, Alcan has failed to establish the defence of statutory authorization and therefore I dismiss Alcan's application for summary judgment based upon this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Further, I cannot find that the plaintiffs' claim amounts to a "collateral attack" on the Licence. I agree with the plaintiffs that their claim is a private law claim for injunctive relief and damages. It is Alcan that raised the Licence as a defence to that claim. I therefore dismiss Alcan's application under R. 9-5(1)(d) that the plaintiffs' Reply amounts to an abuse of the process of the Court and should be struck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VIII.</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IS ALCAN ENTITLED TO AN ORDER DISMISSING THE PLAINTIFFS' NOTICE ON THE GROUND THAT IT DISCLOSES NO REASONABLE CLAIM?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Rule 9-5(1)(a) provides:</w:t>
      </w:r>
      <w:r>
        <w:rPr>
          <w:rFonts w:ascii="arial" w:eastAsia="arial" w:hAnsi="arial" w:cs="arial"/>
          <w:sz w:val="20"/>
          <w:lang w:val="en-US" w:eastAsia="en-US" w:bidi="ar-SA"/>
        </w:rPr>
        <w:cr/>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The question for the court under this rule is whether, in the context of the law and the litigation process, the claim has no reasonable chance of succeeding: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at para. 25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The Supreme Court of Canada recently discussed and applied the predecessor to R. 9-5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in which the Court struck certain third-party claims made by the defendant tobacco companies against Canada. The defendant tobacco companies had alleged that Canada was a "manufacturer" or "supplier" of tobacco and thus liable for harms due to tobacco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Court set out the test for applications to strike pleadings at para. 17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claim will only be struck if it is plain and obvious, assuming the facts pleaded to be true, that the pleading discloses no reasonable cause of action ... Another way of putting the test is that the claim has no reasonable prospect of success. Where a reasonable prospect of success exists, the matter should be allowed to proceed to trial ... [Citations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The Court elaborated on the purpose of the test by setting out the following principles:</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power to strike out claims that have no reasonable prospect of success is essential to effective and fair litigation. It promotes efficiency by uncluttering proceedings and ensuring that those claims that do have some chance of success go on to trial (paras. 19-20);</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test operates on the assumption that the claim will proceed through the court system in the usual way. The question is whether, considered in the context of the law and the litigation process, the claim has no reasonable chance of succeeding; not whether a mathematical chance exists of a thing happening based on abstract speculation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A motion to strike a claim under R. 9-5(1)(a) proceeds on the basis that the facts pleaded are presumed to be true, unless they are manifestly incapable of being proven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 22; </w:t>
      </w:r>
      <w:r>
        <w:rPr>
          <w:rFonts w:ascii="arial" w:eastAsia="arial" w:hAnsi="arial" w:cs="arial"/>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at para. 29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Canada (Attorney General) v. Inuit Tapirisat of Canada</w:t>
      </w:r>
      <w:r>
        <w:rPr>
          <w:rFonts w:ascii="arial" w:eastAsia="arial" w:hAnsi="arial" w:cs="arial"/>
          <w:color w:val="000000"/>
          <w:sz w:val="20"/>
          <w:lang w:val="en-US" w:eastAsia="en-US" w:bidi="ar-SA"/>
        </w:rPr>
        <w:t xml:space="preserve">, </w:t>
      </w:r>
      <w:hyperlink r:id="rId595" w:history="1">
        <w:r>
          <w:rPr>
            <w:rFonts w:ascii="arial" w:eastAsia="arial" w:hAnsi="arial" w:cs="arial"/>
            <w:i/>
            <w:color w:val="0077CC"/>
            <w:sz w:val="20"/>
            <w:u w:val="single"/>
            <w:shd w:val="clear" w:color="auto" w:fill="FFFFFF"/>
            <w:lang w:val="en-US" w:eastAsia="en-US" w:bidi="ar-SA"/>
          </w:rPr>
          <w:t>[1980] 2 S.C.R. 735</w:t>
        </w:r>
      </w:hyperlink>
      <w:r>
        <w:rPr>
          <w:rFonts w:ascii="arial" w:eastAsia="arial" w:hAnsi="arial" w:cs="arial"/>
          <w:color w:val="000000"/>
          <w:sz w:val="20"/>
          <w:lang w:val="en-US" w:eastAsia="en-US" w:bidi="ar-SA"/>
        </w:rPr>
        <w:t xml:space="preserve">, at p. 740; </w:t>
      </w:r>
      <w:r>
        <w:rPr>
          <w:rFonts w:ascii="arial" w:eastAsia="arial" w:hAnsi="arial" w:cs="arial"/>
          <w:i/>
          <w:color w:val="000000"/>
          <w:sz w:val="20"/>
          <w:lang w:val="en-US" w:eastAsia="en-US" w:bidi="ar-SA"/>
        </w:rPr>
        <w:t>Operation Dismantle Inc. v. The Queen</w:t>
      </w:r>
      <w:r>
        <w:rPr>
          <w:rFonts w:ascii="arial" w:eastAsia="arial" w:hAnsi="arial" w:cs="arial"/>
          <w:color w:val="000000"/>
          <w:sz w:val="20"/>
          <w:lang w:val="en-US" w:eastAsia="en-US" w:bidi="ar-SA"/>
        </w:rPr>
        <w:t xml:space="preserve">, </w:t>
      </w:r>
      <w:hyperlink r:id="rId596" w:history="1">
        <w:r>
          <w:rPr>
            <w:rFonts w:ascii="arial" w:eastAsia="arial" w:hAnsi="arial" w:cs="arial"/>
            <w:i/>
            <w:color w:val="0077CC"/>
            <w:sz w:val="20"/>
            <w:u w:val="single"/>
            <w:shd w:val="clear" w:color="auto" w:fill="FFFFFF"/>
            <w:lang w:val="en-US" w:eastAsia="en-US" w:bidi="ar-SA"/>
          </w:rPr>
          <w:t>[1985] 1 S.C.R. 441</w:t>
        </w:r>
      </w:hyperlink>
      <w:r>
        <w:rPr>
          <w:rFonts w:ascii="arial" w:eastAsia="arial" w:hAnsi="arial" w:cs="arial"/>
          <w:color w:val="000000"/>
          <w:sz w:val="20"/>
          <w:lang w:val="en-US" w:eastAsia="en-US" w:bidi="ar-SA"/>
        </w:rPr>
        <w:t xml:space="preserve">, at paras. 7-8; </w:t>
      </w:r>
      <w:r>
        <w:rPr>
          <w:rFonts w:ascii="arial" w:eastAsia="arial" w:hAnsi="arial" w:cs="arial"/>
          <w:i/>
          <w:color w:val="000000"/>
          <w:sz w:val="20"/>
          <w:lang w:val="en-US" w:eastAsia="en-US" w:bidi="ar-SA"/>
        </w:rPr>
        <w:t>Odhavji Estate v. Woodhouse</w:t>
      </w:r>
      <w:r>
        <w:rPr>
          <w:rFonts w:ascii="arial" w:eastAsia="arial" w:hAnsi="arial" w:cs="arial"/>
          <w:color w:val="000000"/>
          <w:sz w:val="20"/>
          <w:lang w:val="en-US" w:eastAsia="en-US" w:bidi="ar-SA"/>
        </w:rPr>
        <w:t xml:space="preserve">, </w:t>
      </w:r>
      <w:hyperlink r:id="rId193" w:history="1">
        <w:r>
          <w:rPr>
            <w:rFonts w:ascii="arial" w:eastAsia="arial" w:hAnsi="arial" w:cs="arial"/>
            <w:i/>
            <w:color w:val="0077CC"/>
            <w:sz w:val="20"/>
            <w:u w:val="single"/>
            <w:shd w:val="clear" w:color="auto" w:fill="FFFFFF"/>
            <w:lang w:val="en-US" w:eastAsia="en-US" w:bidi="ar-SA"/>
          </w:rPr>
          <w:t>2003 SCC 69</w:t>
        </w:r>
      </w:hyperlink>
      <w:r>
        <w:rPr>
          <w:rFonts w:ascii="arial" w:eastAsia="arial" w:hAnsi="arial" w:cs="arial"/>
          <w:color w:val="000000"/>
          <w:sz w:val="20"/>
          <w:lang w:val="en-US" w:eastAsia="en-US" w:bidi="ar-SA"/>
        </w:rPr>
        <w:t>, at para. 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claimant in a motion to strike must clearly plead the facts upon which it relies in making its claim. The claimant may not be in a position to prove the facts pleaded at the time of the motion; however, whether the evidence substantiates the pleaded facts is irrelevant to the motion to strike. The claimant is not entitled to rely on the possibility that new facts may turn up as the case progresses (</w:t>
      </w:r>
      <w:r>
        <w:rPr>
          <w:rFonts w:ascii="arial" w:eastAsia="arial" w:hAnsi="arial" w:cs="arial"/>
          <w:i/>
          <w:color w:val="000000"/>
          <w:sz w:val="20"/>
          <w:lang w:val="en-US" w:eastAsia="en-US" w:bidi="ar-SA"/>
        </w:rPr>
        <w:t>Imperial</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Tobacco</w:t>
      </w:r>
      <w:r>
        <w:rPr>
          <w:rFonts w:ascii="arial" w:eastAsia="arial" w:hAnsi="arial" w:cs="arial"/>
          <w:color w:val="000000"/>
          <w:sz w:val="20"/>
          <w:lang w:val="en-US" w:eastAsia="en-US" w:bidi="ar-SA"/>
        </w:rPr>
        <w:t xml:space="preserve"> at paras. 22-23).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The approach to the test set out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must err on the side of permitting a novel but arguable claim to proceed to trial. As stated by Chief Justice McLachlin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 motion to strike, it is not determinative that the law has not yet recognized the particular claim. The court must rather ask whether, assuming the facts pleaded are true, there is a reasonable prospect that the claim will succeed. The approach must be generous and err on the side of permitting a novel but arguable claim to proceed to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xml:space="preserve">  Neither the length nor the complexity of the issues, the novelty of the cause of action, nor the potential for the defendant to present a strong defence should prevent the plaintiff from proceeding with his or her case: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at para. 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These principles have been firmly endorsed by the British Columbia Court of Appeal in </w:t>
      </w:r>
      <w:r>
        <w:rPr>
          <w:rFonts w:ascii="arial" w:eastAsia="arial" w:hAnsi="arial" w:cs="arial"/>
          <w:i/>
          <w:color w:val="000000"/>
          <w:sz w:val="20"/>
          <w:lang w:val="en-US" w:eastAsia="en-US" w:bidi="ar-SA"/>
        </w:rPr>
        <w:t>Bow Valley Resource Services v. Kansa General Insurance Co.</w:t>
      </w:r>
      <w:r>
        <w:rPr>
          <w:rFonts w:ascii="arial" w:eastAsia="arial" w:hAnsi="arial" w:cs="arial"/>
          <w:color w:val="000000"/>
          <w:sz w:val="20"/>
          <w:lang w:val="en-US" w:eastAsia="en-US" w:bidi="ar-SA"/>
        </w:rPr>
        <w:t xml:space="preserve"> </w:t>
      </w:r>
      <w:hyperlink r:id="rId597" w:history="1">
        <w:r>
          <w:rPr>
            <w:rFonts w:ascii="arial" w:eastAsia="arial" w:hAnsi="arial" w:cs="arial"/>
            <w:i/>
            <w:color w:val="0077CC"/>
            <w:sz w:val="20"/>
            <w:u w:val="single"/>
            <w:shd w:val="clear" w:color="auto" w:fill="FFFFFF"/>
            <w:lang w:val="en-US" w:eastAsia="en-US" w:bidi="ar-SA"/>
          </w:rPr>
          <w:t>(1991), 56 B.C.L.R. (2d) 337</w:t>
        </w:r>
      </w:hyperlink>
      <w:r>
        <w:rPr>
          <w:rFonts w:ascii="arial" w:eastAsia="arial" w:hAnsi="arial" w:cs="arial"/>
          <w:color w:val="000000"/>
          <w:sz w:val="20"/>
          <w:lang w:val="en-US" w:eastAsia="en-US" w:bidi="ar-SA"/>
        </w:rPr>
        <w:t xml:space="preserve">, at para. 9, and </w:t>
      </w:r>
      <w:r>
        <w:rPr>
          <w:rFonts w:ascii="arial" w:eastAsia="arial" w:hAnsi="arial" w:cs="arial"/>
          <w:i/>
          <w:color w:val="000000"/>
          <w:sz w:val="20"/>
          <w:lang w:val="en-US" w:eastAsia="en-US" w:bidi="ar-SA"/>
        </w:rPr>
        <w:t>Timberwolf Log Trading Ltd. v. British Columbia (Forests, Lands and Natural Resources Operations)</w:t>
      </w:r>
      <w:r>
        <w:rPr>
          <w:rFonts w:ascii="arial" w:eastAsia="arial" w:hAnsi="arial" w:cs="arial"/>
          <w:color w:val="000000"/>
          <w:sz w:val="20"/>
          <w:lang w:val="en-US" w:eastAsia="en-US" w:bidi="ar-SA"/>
        </w:rPr>
        <w:t xml:space="preserve">, </w:t>
      </w:r>
      <w:hyperlink r:id="rId598" w:history="1">
        <w:r>
          <w:rPr>
            <w:rFonts w:ascii="arial" w:eastAsia="arial" w:hAnsi="arial" w:cs="arial"/>
            <w:i/>
            <w:color w:val="0077CC"/>
            <w:sz w:val="20"/>
            <w:u w:val="single"/>
            <w:shd w:val="clear" w:color="auto" w:fill="FFFFFF"/>
            <w:lang w:val="en-US" w:eastAsia="en-US" w:bidi="ar-SA"/>
          </w:rPr>
          <w:t>2013 BCCA 24</w:t>
        </w:r>
      </w:hyperlink>
      <w:r>
        <w:rPr>
          <w:rFonts w:ascii="arial" w:eastAsia="arial" w:hAnsi="arial" w:cs="arial"/>
          <w:color w:val="000000"/>
          <w:sz w:val="20"/>
          <w:lang w:val="en-US" w:eastAsia="en-US" w:bidi="ar-SA"/>
        </w:rPr>
        <w:t>, at para. 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There is also authority to suggest that novel actions in matters involving constitutional principles and Aboriginal rights and interests should not be dismissed or rejected without a full factual record before the courts: </w:t>
      </w:r>
      <w:r>
        <w:rPr>
          <w:rFonts w:ascii="arial" w:eastAsia="arial" w:hAnsi="arial" w:cs="arial"/>
          <w:i/>
          <w:color w:val="000000"/>
          <w:sz w:val="20"/>
          <w:lang w:val="en-US" w:eastAsia="en-US" w:bidi="ar-SA"/>
        </w:rPr>
        <w:t>Stoney Creek Indian Band v. Alcan Aluminum Limited</w:t>
      </w:r>
      <w:r>
        <w:rPr>
          <w:rFonts w:ascii="arial" w:eastAsia="arial" w:hAnsi="arial" w:cs="arial"/>
          <w:color w:val="000000"/>
          <w:sz w:val="20"/>
          <w:lang w:val="en-US" w:eastAsia="en-US" w:bidi="ar-SA"/>
        </w:rPr>
        <w:t xml:space="preserve">, </w:t>
      </w:r>
      <w:hyperlink r:id="rId599" w:history="1">
        <w:r>
          <w:rPr>
            <w:rFonts w:ascii="arial" w:eastAsia="arial" w:hAnsi="arial" w:cs="arial"/>
            <w:i/>
            <w:color w:val="0077CC"/>
            <w:sz w:val="20"/>
            <w:u w:val="single"/>
            <w:shd w:val="clear" w:color="auto" w:fill="FFFFFF"/>
            <w:lang w:val="en-US" w:eastAsia="en-US" w:bidi="ar-SA"/>
          </w:rPr>
          <w:t>1999 BCCA 527</w:t>
        </w:r>
      </w:hyperlink>
      <w:r>
        <w:rPr>
          <w:rFonts w:ascii="arial" w:eastAsia="arial" w:hAnsi="arial" w:cs="arial"/>
          <w:color w:val="000000"/>
          <w:sz w:val="20"/>
          <w:lang w:val="en-US" w:eastAsia="en-US" w:bidi="ar-SA"/>
        </w:rPr>
        <w:t xml:space="preserve">, at para. 37; </w:t>
      </w:r>
      <w:r>
        <w:rPr>
          <w:rFonts w:ascii="arial" w:eastAsia="arial" w:hAnsi="arial" w:cs="arial"/>
          <w:i/>
          <w:color w:val="000000"/>
          <w:sz w:val="20"/>
          <w:lang w:val="en-US" w:eastAsia="en-US" w:bidi="ar-SA"/>
        </w:rPr>
        <w:t>Davis v. Canada (Attorney General)</w:t>
      </w:r>
      <w:r>
        <w:rPr>
          <w:rFonts w:ascii="arial" w:eastAsia="arial" w:hAnsi="arial" w:cs="arial"/>
          <w:color w:val="000000"/>
          <w:sz w:val="20"/>
          <w:lang w:val="en-US" w:eastAsia="en-US" w:bidi="ar-SA"/>
        </w:rPr>
        <w:t xml:space="preserve">, </w:t>
      </w:r>
      <w:hyperlink r:id="rId600" w:history="1">
        <w:r>
          <w:rPr>
            <w:rFonts w:ascii="arial" w:eastAsia="arial" w:hAnsi="arial" w:cs="arial"/>
            <w:i/>
            <w:color w:val="0077CC"/>
            <w:sz w:val="20"/>
            <w:u w:val="single"/>
            <w:shd w:val="clear" w:color="auto" w:fill="FFFFFF"/>
            <w:lang w:val="en-US" w:eastAsia="en-US" w:bidi="ar-SA"/>
          </w:rPr>
          <w:t>2004 NLSCTD 153</w:t>
        </w:r>
      </w:hyperlink>
      <w:r>
        <w:rPr>
          <w:rFonts w:ascii="arial" w:eastAsia="arial" w:hAnsi="arial" w:cs="arial"/>
          <w:color w:val="000000"/>
          <w:sz w:val="20"/>
          <w:lang w:val="en-US" w:eastAsia="en-US" w:bidi="ar-SA"/>
        </w:rPr>
        <w:t xml:space="preserve">, at paras. 10-11; </w:t>
      </w:r>
      <w:r>
        <w:rPr>
          <w:rFonts w:ascii="arial" w:eastAsia="arial" w:hAnsi="arial" w:cs="arial"/>
          <w:i/>
          <w:color w:val="000000"/>
          <w:sz w:val="20"/>
          <w:lang w:val="en-US" w:eastAsia="en-US" w:bidi="ar-SA"/>
        </w:rPr>
        <w:t>Osoyoos Indian Band v. Oliver (Town)</w:t>
      </w:r>
      <w:r>
        <w:rPr>
          <w:rFonts w:ascii="arial" w:eastAsia="arial" w:hAnsi="arial" w:cs="arial"/>
          <w:color w:val="000000"/>
          <w:sz w:val="20"/>
          <w:lang w:val="en-US" w:eastAsia="en-US" w:bidi="ar-SA"/>
        </w:rPr>
        <w:t xml:space="preserve">, </w:t>
      </w:r>
      <w:hyperlink r:id="rId601" w:history="1">
        <w:r>
          <w:rPr>
            <w:rFonts w:ascii="arial" w:eastAsia="arial" w:hAnsi="arial" w:cs="arial"/>
            <w:i/>
            <w:color w:val="0077CC"/>
            <w:sz w:val="20"/>
            <w:u w:val="single"/>
            <w:shd w:val="clear" w:color="auto" w:fill="FFFFFF"/>
            <w:lang w:val="en-US" w:eastAsia="en-US" w:bidi="ar-SA"/>
          </w:rPr>
          <w:t>2001 SCC 85</w:t>
        </w:r>
      </w:hyperlink>
      <w:r>
        <w:rPr>
          <w:rFonts w:ascii="arial" w:eastAsia="arial" w:hAnsi="arial" w:cs="arial"/>
          <w:color w:val="000000"/>
          <w:sz w:val="20"/>
          <w:lang w:val="en-US" w:eastAsia="en-US" w:bidi="ar-SA"/>
        </w:rPr>
        <w:t>, at para. 40 [</w:t>
      </w:r>
      <w:r>
        <w:rPr>
          <w:rFonts w:ascii="arial" w:eastAsia="arial" w:hAnsi="arial" w:cs="arial"/>
          <w:i/>
          <w:color w:val="000000"/>
          <w:sz w:val="20"/>
          <w:lang w:val="en-US" w:eastAsia="en-US" w:bidi="ar-SA"/>
        </w:rPr>
        <w:t>Osoyoos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The law regarding Aboriginal title and other Aboriginal rights in Canada is a special and highly distinctive body of constitutionally-protected principles. A brief review of the law in this area is necessary in order to address the issues raised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The leading case on the nature of Aboriginal title is </w:t>
      </w:r>
      <w:r>
        <w:rPr>
          <w:rFonts w:ascii="arial" w:eastAsia="arial" w:hAnsi="arial" w:cs="arial"/>
          <w:i/>
          <w:color w:val="000000"/>
          <w:sz w:val="20"/>
          <w:lang w:val="en-US" w:eastAsia="en-US" w:bidi="ar-SA"/>
        </w:rPr>
        <w:t>Delgamuukw v. British Columbia</w:t>
      </w:r>
      <w:r>
        <w:rPr>
          <w:rFonts w:ascii="arial" w:eastAsia="arial" w:hAnsi="arial" w:cs="arial"/>
          <w:color w:val="000000"/>
          <w:sz w:val="20"/>
          <w:lang w:val="en-US" w:eastAsia="en-US" w:bidi="ar-SA"/>
        </w:rPr>
        <w:t xml:space="preserve">, </w:t>
      </w:r>
      <w:hyperlink r:id="rId602" w:history="1">
        <w:r>
          <w:rPr>
            <w:rFonts w:ascii="arial" w:eastAsia="arial" w:hAnsi="arial" w:cs="arial"/>
            <w:i/>
            <w:color w:val="0077CC"/>
            <w:sz w:val="20"/>
            <w:u w:val="single"/>
            <w:shd w:val="clear" w:color="auto" w:fill="FFFFFF"/>
            <w:lang w:val="en-US" w:eastAsia="en-US" w:bidi="ar-SA"/>
          </w:rPr>
          <w:t>[1997] 3 S.C.R. 1010</w:t>
        </w:r>
      </w:hyperlink>
      <w:r>
        <w:rPr>
          <w:rFonts w:ascii="arial" w:eastAsia="arial" w:hAnsi="arial" w:cs="arial"/>
          <w:color w:val="000000"/>
          <w:sz w:val="20"/>
          <w:lang w:val="en-US" w:eastAsia="en-US" w:bidi="ar-SA"/>
        </w:rPr>
        <w:t>. In that case, the Gitksan and Wet'suwet'en First Nations claimed Aboriginal title to 58,000 sq. kilometres of territory in British Columbia. The Court, without deciding the issue at bar, set out the following principles relating to Aboriginal title:</w:t>
      </w:r>
      <w:r>
        <w:rPr>
          <w:rFonts w:ascii="arial" w:eastAsia="arial" w:hAnsi="arial" w:cs="arial"/>
          <w:sz w:val="20"/>
          <w:lang w:val="en-US" w:eastAsia="en-US" w:bidi="ar-SA"/>
        </w:rPr>
        <w:cr/>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Aboriginal title is a collective right to land held by all members of an Aboriginal nation. It cannot be held by individual Aboriginal persons (para. 115);</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Aboriginal title is inalienable - it cannot be transferred, sold, or surrendered except to the Crown (para. 113);</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Aboriginal title encompasses the right to exclusive use and occupation of the land for a variety of purposes. Permissible uses are not restricted to uses which were elements of traditional practices (para. 117);</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Aboriginal title is meant to protect Aboriginal peoples' relationship with their land. Aboriginal title lands cannot be put to uses which are irreconcilable with the claimants' attachment to the land, in the past, present day, or future (paras. 125-128);</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reconciliation of the prior occupation of North America by Aboriginal peoples with the assertion of Crown sovereignty requires that the Aboriginal perspective and the common law be given equal weight (para. 148);</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Aboriginal title is a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interest in land, a right to the land itself, but it is not an absolute right. Aboriginal title may be infringed by the Crown where the test for justification can be met (paras. 125, 159, 160);</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Crown's ability to infringe flows from the court's finding that the purpose of s. 35(1)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xml:space="preserve"> was aimed at recognition of the prior occupation of North America by distinctive Aboriginal societies and reconciliation of Aboriginal prior occupation with the assertion of Crown sovereignty (para. 161).</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two-stage test of justification is as follows:</w:t>
      </w:r>
    </w:p>
    <w:p>
      <w:pPr>
        <w:numPr>
          <w:numId w:val="5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infringement must be in furtherance of a legislative objective that is compelling and substantial (para. 161); and</w:t>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infringement must be consistent with the special fiduciary relationship between the Crown and Aboriginal peoples (para. 162).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Aboriginal rights and Aboriginal title are related concepts. Aboriginal title is a sub-category of Aboriginal rights which deals solely with claims of rights to land: </w:t>
      </w:r>
      <w:r>
        <w:rPr>
          <w:rFonts w:ascii="arial" w:eastAsia="arial" w:hAnsi="arial" w:cs="arial"/>
          <w:i/>
          <w:color w:val="000000"/>
          <w:sz w:val="20"/>
          <w:lang w:val="en-US" w:eastAsia="en-US" w:bidi="ar-SA"/>
        </w:rPr>
        <w:t>R. v. Van der Peet</w:t>
      </w:r>
      <w:r>
        <w:rPr>
          <w:rFonts w:ascii="arial" w:eastAsia="arial" w:hAnsi="arial" w:cs="arial"/>
          <w:color w:val="000000"/>
          <w:sz w:val="20"/>
          <w:lang w:val="en-US" w:eastAsia="en-US" w:bidi="ar-SA"/>
        </w:rPr>
        <w:t xml:space="preserve">, </w:t>
      </w:r>
      <w:hyperlink r:id="rId603" w:history="1">
        <w:r>
          <w:rPr>
            <w:rFonts w:ascii="arial" w:eastAsia="arial" w:hAnsi="arial" w:cs="arial"/>
            <w:i/>
            <w:color w:val="0077CC"/>
            <w:sz w:val="20"/>
            <w:u w:val="single"/>
            <w:shd w:val="clear" w:color="auto" w:fill="FFFFFF"/>
            <w:lang w:val="en-US" w:eastAsia="en-US" w:bidi="ar-SA"/>
          </w:rPr>
          <w:t>[1996] 2 S.C.R. 507</w:t>
        </w:r>
      </w:hyperlink>
      <w:r>
        <w:rPr>
          <w:rFonts w:ascii="arial" w:eastAsia="arial" w:hAnsi="arial" w:cs="arial"/>
          <w:color w:val="000000"/>
          <w:sz w:val="20"/>
          <w:lang w:val="en-US" w:eastAsia="en-US" w:bidi="ar-SA"/>
        </w:rPr>
        <w:t>, at para. 74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Aboriginal title, like all Aboriginal rights, arises from the prior occupation of land, but other Aboriginal rights may also arise from the prior social organization and distinctive cultures of Aboriginal peoples on that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Aboriginal rights are recognized rather than created by the common law: </w:t>
      </w:r>
      <w:r>
        <w:rPr>
          <w:rFonts w:ascii="arial" w:eastAsia="arial" w:hAnsi="arial" w:cs="arial"/>
          <w:i/>
          <w:color w:val="000000"/>
          <w:sz w:val="20"/>
          <w:lang w:val="en-US" w:eastAsia="en-US" w:bidi="ar-SA"/>
        </w:rPr>
        <w:t>William v. British Columbia</w:t>
      </w:r>
      <w:r>
        <w:rPr>
          <w:rFonts w:ascii="arial" w:eastAsia="arial" w:hAnsi="arial" w:cs="arial"/>
          <w:color w:val="000000"/>
          <w:sz w:val="20"/>
          <w:lang w:val="en-US" w:eastAsia="en-US" w:bidi="ar-SA"/>
        </w:rPr>
        <w:t xml:space="preserve">, </w:t>
      </w:r>
      <w:hyperlink r:id="rId604" w:history="1">
        <w:r>
          <w:rPr>
            <w:rFonts w:ascii="arial" w:eastAsia="arial" w:hAnsi="arial" w:cs="arial"/>
            <w:i/>
            <w:color w:val="0077CC"/>
            <w:sz w:val="20"/>
            <w:u w:val="single"/>
            <w:shd w:val="clear" w:color="auto" w:fill="FFFFFF"/>
            <w:lang w:val="en-US" w:eastAsia="en-US" w:bidi="ar-SA"/>
          </w:rPr>
          <w:t>2012 BCCA 285</w:t>
        </w:r>
      </w:hyperlink>
      <w:r>
        <w:rPr>
          <w:rFonts w:ascii="arial" w:eastAsia="arial" w:hAnsi="arial" w:cs="arial"/>
          <w:color w:val="000000"/>
          <w:sz w:val="20"/>
          <w:lang w:val="en-US" w:eastAsia="en-US" w:bidi="ar-SA"/>
        </w:rPr>
        <w:t>, at para. 167 [</w:t>
      </w:r>
      <w:r>
        <w:rPr>
          <w:rFonts w:ascii="arial" w:eastAsia="arial" w:hAnsi="arial" w:cs="arial"/>
          <w:i/>
          <w:color w:val="000000"/>
          <w:sz w:val="20"/>
          <w:lang w:val="en-US" w:eastAsia="en-US" w:bidi="ar-SA"/>
        </w:rPr>
        <w:t>William</w:t>
      </w:r>
      <w:r>
        <w:rPr>
          <w:rFonts w:ascii="arial" w:eastAsia="arial" w:hAnsi="arial" w:cs="arial"/>
          <w:color w:val="000000"/>
          <w:sz w:val="20"/>
          <w:lang w:val="en-US" w:eastAsia="en-US" w:bidi="ar-SA"/>
        </w:rPr>
        <w:t xml:space="preserve">]. In considering whether a claim to an Aboriginal right has been made out, courts must apply the test set out in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xml:space="preserve"> in order to look at both the relationship of an Aboriginal claimant to the land and the practices, customs, and traditions arising from the claimant's distinctive culture and society. To establish Aboriginal title, claimants must prove occupation of the land by their ancestors prior to, and exclusive occupation at the time of, sovereignty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at para. 143). The recognition of Aboriginal rights in a common law system is complex, and the solution to this complexity has been described as representing a reconciliation of Aboriginal rights with Crown sovereignty: </w:t>
      </w:r>
      <w:r>
        <w:rPr>
          <w:rFonts w:ascii="arial" w:eastAsia="arial" w:hAnsi="arial" w:cs="arial"/>
          <w:i/>
          <w:color w:val="000000"/>
          <w:sz w:val="20"/>
          <w:lang w:val="en-US" w:eastAsia="en-US" w:bidi="ar-SA"/>
        </w:rPr>
        <w:t>William</w:t>
      </w:r>
      <w:r>
        <w:rPr>
          <w:rFonts w:ascii="arial" w:eastAsia="arial" w:hAnsi="arial" w:cs="arial"/>
          <w:color w:val="000000"/>
          <w:sz w:val="20"/>
          <w:lang w:val="en-US" w:eastAsia="en-US" w:bidi="ar-SA"/>
        </w:rPr>
        <w:t xml:space="preserve"> at para. 169.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The Crown has a duty to consult with and accommodate the interests of Aboriginal peoples who have asserted, but not yet proven claims to Aboriginal rights: </w:t>
      </w:r>
      <w:r>
        <w:rPr>
          <w:rFonts w:ascii="arial" w:eastAsia="arial" w:hAnsi="arial" w:cs="arial"/>
          <w:i/>
          <w:color w:val="000000"/>
          <w:sz w:val="20"/>
          <w:lang w:val="en-US" w:eastAsia="en-US" w:bidi="ar-SA"/>
        </w:rPr>
        <w:t>Haida Nation v. British Columbia (Minister of Forests)</w:t>
      </w:r>
      <w:r>
        <w:rPr>
          <w:rFonts w:ascii="arial" w:eastAsia="arial" w:hAnsi="arial" w:cs="arial"/>
          <w:color w:val="000000"/>
          <w:sz w:val="20"/>
          <w:lang w:val="en-US" w:eastAsia="en-US" w:bidi="ar-SA"/>
        </w:rPr>
        <w:t xml:space="preserve">, </w:t>
      </w:r>
      <w:hyperlink r:id="rId605" w:history="1">
        <w:r>
          <w:rPr>
            <w:rFonts w:ascii="arial" w:eastAsia="arial" w:hAnsi="arial" w:cs="arial"/>
            <w:i/>
            <w:color w:val="0077CC"/>
            <w:sz w:val="20"/>
            <w:u w:val="single"/>
            <w:shd w:val="clear" w:color="auto" w:fill="FFFFFF"/>
            <w:lang w:val="en-US" w:eastAsia="en-US" w:bidi="ar-SA"/>
          </w:rPr>
          <w:t>2004 SCC 73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Haida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Haida</w:t>
      </w:r>
      <w:r>
        <w:rPr>
          <w:rFonts w:ascii="arial" w:eastAsia="arial" w:hAnsi="arial" w:cs="arial"/>
          <w:color w:val="000000"/>
          <w:sz w:val="20"/>
          <w:lang w:val="en-US" w:eastAsia="en-US" w:bidi="ar-SA"/>
        </w:rPr>
        <w:t>, the provincial government had issued forestry licences to private companies which permitted logging in certain areas of Haida Gwaii, despite the fact that the Haida people had claimed (but not yet proven or established) Aboriginal title to those lands. The Haida challenged the transfer of the licences and asked that they be set aside, arguing legal encumbrance, equitable encumbrance, and breach of fiduciary duty, all grounded in their assertion of Aboriginal title.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Court found that the provincial government had legal title to the land (</w:t>
      </w:r>
      <w:r>
        <w:rPr>
          <w:rFonts w:ascii="arial" w:eastAsia="arial" w:hAnsi="arial" w:cs="arial"/>
          <w:i/>
          <w:color w:val="000000"/>
          <w:sz w:val="20"/>
          <w:lang w:val="en-US" w:eastAsia="en-US" w:bidi="ar-SA"/>
        </w:rPr>
        <w:t>Haida</w:t>
      </w:r>
      <w:r>
        <w:rPr>
          <w:rFonts w:ascii="arial" w:eastAsia="arial" w:hAnsi="arial" w:cs="arial"/>
          <w:color w:val="000000"/>
          <w:sz w:val="20"/>
          <w:lang w:val="en-US" w:eastAsia="en-US" w:bidi="ar-SA"/>
        </w:rPr>
        <w:t xml:space="preserve"> at para. 6). While the Crown had a duty to act in good faith pending the resolution of the Haida claims, the assertion of those claims, without yet being proven, were insufficient to ground an action for breach of fiduciary duty (</w:t>
      </w:r>
      <w:r>
        <w:rPr>
          <w:rFonts w:ascii="arial" w:eastAsia="arial" w:hAnsi="arial" w:cs="arial"/>
          <w:i/>
          <w:color w:val="000000"/>
          <w:sz w:val="20"/>
          <w:lang w:val="en-US" w:eastAsia="en-US" w:bidi="ar-SA"/>
        </w:rPr>
        <w:t>Haida</w:t>
      </w:r>
      <w:r>
        <w:rPr>
          <w:rFonts w:ascii="arial" w:eastAsia="arial" w:hAnsi="arial" w:cs="arial"/>
          <w:color w:val="000000"/>
          <w:sz w:val="20"/>
          <w:lang w:val="en-US" w:eastAsia="en-US" w:bidi="ar-SA"/>
        </w:rPr>
        <w:t xml:space="preserve"> at paras. 18, 41, 42). However, the honour of the Crown was still invoked.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The Crown's duty to consult and accommodate stems from the honour of the Crown and its importance in the ongoing process of reconciliation. The need for protection of potential rights triggers the Crown's duty before these rights are proven. As stated in </w:t>
      </w:r>
      <w:r>
        <w:rPr>
          <w:rFonts w:ascii="arial" w:eastAsia="arial" w:hAnsi="arial" w:cs="arial"/>
          <w:i/>
          <w:color w:val="000000"/>
          <w:sz w:val="20"/>
          <w:lang w:val="en-US" w:eastAsia="en-US" w:bidi="ar-SA"/>
        </w:rPr>
        <w:t>Haida</w:t>
      </w:r>
      <w:r>
        <w:rPr>
          <w:rFonts w:ascii="arial" w:eastAsia="arial" w:hAnsi="arial" w:cs="arial"/>
          <w:color w:val="000000"/>
          <w:sz w:val="20"/>
          <w:lang w:val="en-US" w:eastAsia="en-US" w:bidi="ar-SA"/>
        </w:rPr>
        <w:t xml:space="preserve"> at paras. 25,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Put simply, Canada's Aboriginal peoples were here when Europeans came, and were never conquered. Many bands reconciled their claims with the sovereignty of the Crown through negotiated treaties. Others, notably in British Columbia, have yet to do so. The potential rights embedded in these claims are protected by s. 35 of the </w:t>
      </w:r>
      <w:r>
        <w:rPr>
          <w:rFonts w:ascii="arial" w:eastAsia="arial" w:hAnsi="arial" w:cs="arial"/>
          <w:i/>
          <w:color w:val="000000"/>
          <w:sz w:val="20"/>
          <w:lang w:val="en-US" w:eastAsia="en-US" w:bidi="ar-SA"/>
        </w:rPr>
        <w:t>Constitution Act, 1982</w:t>
      </w:r>
      <w:r>
        <w:rPr>
          <w:rFonts w:ascii="arial" w:eastAsia="arial" w:hAnsi="arial" w:cs="arial"/>
          <w:color w:val="000000"/>
          <w:sz w:val="20"/>
          <w:lang w:val="en-US" w:eastAsia="en-US" w:bidi="ar-SA"/>
        </w:rPr>
        <w:t>. The honour of the Crown requires that these rights be determined, recognized and respected. This, in turn, requires the Crown, acting honourably, to participate in processes of negotiation. While this process continues, the honour of the Crown may require it to consult and, where indicated, accommodate Aboriginal interests.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 The Crown, acting honourably, cannot cavalierly run roughshod over Aboriginal interests where claims affecting these interests are being seriously pursued in the process of treaty negotiation and proof. It must respect these potential, but yet unproven, interests. The Crown is not rendered impotent. It may continue to manage the resource in question pending claims resolution.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The Court found that third parties do not owe Aboriginal peoples a duty to consult or accommodate, as they are separate from the special relationship between the Crown and Aboriginal peoples (para.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to consult and accommodate ... flows from the Crown's assumption of sovereignty over lands and resources formerly held by the Aboriginal group. This theory provides no support for an obligation on third parties to consult or accommodate. The Crown alone remains legally responsible for the consequences of its actions and interactions with third parties, that affect Aboriginal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Aboriginal reserves are created under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The statute defines a "reserve" in s. 2(1) as "a tract of land, the legal title to which is vested in Her Majesty, that has been set apart by Her Majesty for the use and benefit of a 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The leading Supreme Court of Canada authority on the principles behind reserve creation in British Columbia is </w:t>
      </w:r>
      <w:r>
        <w:rPr>
          <w:rFonts w:ascii="arial" w:eastAsia="arial" w:hAnsi="arial" w:cs="arial"/>
          <w:i/>
          <w:color w:val="000000"/>
          <w:sz w:val="20"/>
          <w:lang w:val="en-US" w:eastAsia="en-US" w:bidi="ar-SA"/>
        </w:rPr>
        <w:t>Wewaykum Indian Band v. Canada</w:t>
      </w:r>
      <w:r>
        <w:rPr>
          <w:rFonts w:ascii="arial" w:eastAsia="arial" w:hAnsi="arial" w:cs="arial"/>
          <w:color w:val="000000"/>
          <w:sz w:val="20"/>
          <w:lang w:val="en-US" w:eastAsia="en-US" w:bidi="ar-SA"/>
        </w:rPr>
        <w:t xml:space="preserve">, </w:t>
      </w:r>
      <w:hyperlink r:id="rId606" w:history="1">
        <w:r>
          <w:rPr>
            <w:rFonts w:ascii="arial" w:eastAsia="arial" w:hAnsi="arial" w:cs="arial"/>
            <w:i/>
            <w:color w:val="0077CC"/>
            <w:sz w:val="20"/>
            <w:u w:val="single"/>
            <w:shd w:val="clear" w:color="auto" w:fill="FFFFFF"/>
            <w:lang w:val="en-US" w:eastAsia="en-US" w:bidi="ar-SA"/>
          </w:rPr>
          <w:t>2002 SCC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Mr. Justice Binnie, for a unanimous court, concluded that the federal Crown cannot attach any rights to reserve land until those lands are conveyed to it from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described the process of reserve creation in British Columbia as follows:</w:t>
      </w:r>
      <w:r>
        <w:rPr>
          <w:rFonts w:ascii="arial" w:eastAsia="arial" w:hAnsi="arial" w:cs="arial"/>
          <w:sz w:val="20"/>
          <w:lang w:val="en-US" w:eastAsia="en-US" w:bidi="ar-SA"/>
        </w:rPr>
        <w:cr/>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After British Columbia joined confederation, cooperation between the federal government and the provinces was required in the reserve creation process because, while the federal government had jurisdiction over "Indians, and Lands reserved for the Indians" under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the province retained control and ownership of the Crown land required to form Aboriginal reserves (para. 15).</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unilateral attempt by either the provinces or the federal government to establish a reserve on provincial land would be invalid (para. 15).</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After confederation, a number of issues relating to reserve creation persisted between the provincial and federal governments, until these issues were ultimately resolved by federal-provincial agreement and the transfer in 1938 of administration and control to the federal Crown of provincial land on which the reserves were to be established. Until this point, nothing with respect to reserve land in British Columbia had been accomplished in any effective legal sense (para. 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legal requirements for the creation of a reserve include an act by the Crown to set apart Crown land for use of an Indian band combined with an intention to create a reserve on the part of persons having authority to bind the Crown and practical steps by the Crown and the Indian band to realize that intent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at para.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The 1938 transfer of administration and control to the federal Crown of provincial land described in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was effected through Order-in-Council No. 1036. The clear intention of the transfer, expressed in the Order-in-Council, was that the lands conveyed be set apart pursuant to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to create reserves for the benefit of Aboriginal bands in British Columbia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xml:space="preserve"> at para. 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Order-in-Council No. 1036 expressly lists the lands on the banks of the Nechako and its tributaries as set aside to create the reserves of the plaintiff Saik'uz and Stellat'en bands, along with many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Osoyoos</w:t>
      </w:r>
      <w:r>
        <w:rPr>
          <w:rFonts w:ascii="arial" w:eastAsia="arial" w:hAnsi="arial" w:cs="arial"/>
          <w:color w:val="000000"/>
          <w:sz w:val="20"/>
          <w:lang w:val="en-US" w:eastAsia="en-US" w:bidi="ar-SA"/>
        </w:rPr>
        <w:t>, the Supreme Court of Canada described the nature of the Aboriginal interest in reserve land in British Columbia. First, the Court stated that Aboriginal title and an Aboriginal interest in reserve land are "fundamentally similar" (</w:t>
      </w:r>
      <w:r>
        <w:rPr>
          <w:rFonts w:ascii="arial" w:eastAsia="arial" w:hAnsi="arial" w:cs="arial"/>
          <w:i/>
          <w:color w:val="000000"/>
          <w:sz w:val="20"/>
          <w:lang w:val="en-US" w:eastAsia="en-US" w:bidi="ar-SA"/>
        </w:rPr>
        <w:t>Osoyoos</w:t>
      </w:r>
      <w:r>
        <w:rPr>
          <w:rFonts w:ascii="arial" w:eastAsia="arial" w:hAnsi="arial" w:cs="arial"/>
          <w:color w:val="000000"/>
          <w:sz w:val="20"/>
          <w:lang w:val="en-US" w:eastAsia="en-US" w:bidi="ar-SA"/>
        </w:rPr>
        <w:t xml:space="preserve"> at para. 41). Both interests are inalienable except to the Crown, both are rights of use and occupation, both are held communally, and both are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interests in the land that are distinct from traditional common law proprietary interests (</w:t>
      </w:r>
      <w:r>
        <w:rPr>
          <w:rFonts w:ascii="arial" w:eastAsia="arial" w:hAnsi="arial" w:cs="arial"/>
          <w:i/>
          <w:color w:val="000000"/>
          <w:sz w:val="20"/>
          <w:lang w:val="en-US" w:eastAsia="en-US" w:bidi="ar-SA"/>
        </w:rPr>
        <w:t>Osoyoos</w:t>
      </w:r>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Second, the court articulated three "implications" of the nature of the Aboriginal interest in reserves that were relevant to the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First, it is clear that traditional principles of the common law relating to property may not be helpful in the context of aboriginal interests in land ... Courts must "go beyond the usual restrictions imposed by the common law", in order to give effect to the true purpose of dealings relating to reserve land[.]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Second, it follows from the sui generis nature of the aboriginal interest in reserve land and the definition of "reserve" in the Indian Act that an Indian band cannot unilaterally add to or replace reserve lands. The intervention of the Crown is required.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Third, it is clear that an aboriginal interest in land is more than just a fungible commodity. The aboriginal interest in land will generally have an important cultural component that reflects the relationship between an aboriginal community and the land and the inherent and unique value in the land itself which is enjoyed by the community. ...</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Land may be removed from a reserve with the participation of the Crown, which owes a fiduciary duty to the band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xml:space="preserve">  With respect to riparian rights, the common law concept of riparian rights has been extinguished by legislation in British Columbia, including the historic </w:t>
      </w:r>
      <w:r>
        <w:rPr>
          <w:rFonts w:ascii="arial" w:eastAsia="arial" w:hAnsi="arial" w:cs="arial"/>
          <w:i/>
          <w:color w:val="000000"/>
          <w:sz w:val="20"/>
          <w:lang w:val="en-US" w:eastAsia="en-US" w:bidi="ar-SA"/>
        </w:rPr>
        <w:t>Water Privileges Act</w:t>
      </w:r>
      <w:r>
        <w:rPr>
          <w:rFonts w:ascii="arial" w:eastAsia="arial" w:hAnsi="arial" w:cs="arial"/>
          <w:color w:val="000000"/>
          <w:sz w:val="20"/>
          <w:lang w:val="en-US" w:eastAsia="en-US" w:bidi="ar-SA"/>
        </w:rPr>
        <w:t xml:space="preserve">, S.B.C. 1892, c. 47, and </w:t>
      </w:r>
      <w:r>
        <w:rPr>
          <w:rFonts w:ascii="arial" w:eastAsia="arial" w:hAnsi="arial" w:cs="arial"/>
          <w:i/>
          <w:color w:val="000000"/>
          <w:sz w:val="20"/>
          <w:lang w:val="en-US" w:eastAsia="en-US" w:bidi="ar-SA"/>
        </w:rPr>
        <w:t>Water Act Amendment Act</w:t>
      </w:r>
      <w:r>
        <w:rPr>
          <w:rFonts w:ascii="arial" w:eastAsia="arial" w:hAnsi="arial" w:cs="arial"/>
          <w:color w:val="000000"/>
          <w:sz w:val="20"/>
          <w:lang w:val="en-US" w:eastAsia="en-US" w:bidi="ar-SA"/>
        </w:rPr>
        <w:t xml:space="preserve">, S.B.C. 1925, c. 61, and the current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483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Water Act</w:t>
      </w:r>
      <w:r>
        <w:rPr>
          <w:rFonts w:ascii="arial" w:eastAsia="arial" w:hAnsi="arial" w:cs="arial"/>
          <w:color w:val="000000"/>
          <w:sz w:val="20"/>
          <w:lang w:val="en-US" w:eastAsia="en-US" w:bidi="ar-SA"/>
        </w:rPr>
        <w:t xml:space="preserve"> states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2(1) The property in and the right to the use and flow of all the water at any time in a stream in British Columbia are for all purposes vested in the government, except only in so far as private rights have been established under licences issued or approvals given under this or a former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Previously, the common law doctrine of riparian rights provided the owner of land on the banks of a watercourse with the right to the ordinary use of the water which adjoined his land, as a natural incident of the ownership of the land itself: </w:t>
      </w:r>
      <w:r>
        <w:rPr>
          <w:rFonts w:ascii="arial" w:eastAsia="arial" w:hAnsi="arial" w:cs="arial"/>
          <w:i/>
          <w:color w:val="000000"/>
          <w:sz w:val="20"/>
          <w:lang w:val="en-US" w:eastAsia="en-US" w:bidi="ar-SA"/>
        </w:rPr>
        <w:t>Lack v. Alberta (Sustainable Resource Development)</w:t>
      </w:r>
      <w:r>
        <w:rPr>
          <w:rFonts w:ascii="arial" w:eastAsia="arial" w:hAnsi="arial" w:cs="arial"/>
          <w:color w:val="000000"/>
          <w:sz w:val="20"/>
          <w:lang w:val="en-US" w:eastAsia="en-US" w:bidi="ar-SA"/>
        </w:rPr>
        <w:t xml:space="preserve">, </w:t>
      </w:r>
      <w:hyperlink r:id="rId607" w:history="1">
        <w:r>
          <w:rPr>
            <w:rFonts w:ascii="arial" w:eastAsia="arial" w:hAnsi="arial" w:cs="arial"/>
            <w:i/>
            <w:color w:val="0077CC"/>
            <w:sz w:val="20"/>
            <w:u w:val="single"/>
            <w:shd w:val="clear" w:color="auto" w:fill="FFFFFF"/>
            <w:lang w:val="en-US" w:eastAsia="en-US" w:bidi="ar-SA"/>
          </w:rPr>
          <w:t>2011 ABQB 379</w:t>
        </w:r>
      </w:hyperlink>
      <w:r>
        <w:rPr>
          <w:rFonts w:ascii="arial" w:eastAsia="arial" w:hAnsi="arial" w:cs="arial"/>
          <w:color w:val="000000"/>
          <w:sz w:val="20"/>
          <w:lang w:val="en-US" w:eastAsia="en-US" w:bidi="ar-SA"/>
        </w:rPr>
        <w:t>, at para. 60.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case of </w:t>
      </w:r>
      <w:r>
        <w:rPr>
          <w:rFonts w:ascii="arial" w:eastAsia="arial" w:hAnsi="arial" w:cs="arial"/>
          <w:i/>
          <w:color w:val="000000"/>
          <w:sz w:val="20"/>
          <w:lang w:val="en-US" w:eastAsia="en-US" w:bidi="ar-SA"/>
        </w:rPr>
        <w:t>Cook v. Vancouver (City)</w:t>
      </w:r>
      <w:r>
        <w:rPr>
          <w:rFonts w:ascii="arial" w:eastAsia="arial" w:hAnsi="arial" w:cs="arial"/>
          <w:color w:val="000000"/>
          <w:sz w:val="20"/>
          <w:lang w:val="en-US" w:eastAsia="en-US" w:bidi="ar-SA"/>
        </w:rPr>
        <w:t xml:space="preserve">, [1914] A.C. 1077 (P.C.), at p. 1081-82, settled the question of the effect of legislation such as that in British Columbia, ruling that the </w:t>
      </w:r>
      <w:r>
        <w:rPr>
          <w:rFonts w:ascii="arial" w:eastAsia="arial" w:hAnsi="arial" w:cs="arial"/>
          <w:i/>
          <w:color w:val="000000"/>
          <w:sz w:val="20"/>
          <w:lang w:val="en-US" w:eastAsia="en-US" w:bidi="ar-SA"/>
        </w:rPr>
        <w:t>Water Privileges Act</w:t>
      </w:r>
      <w:r>
        <w:rPr>
          <w:rFonts w:ascii="arial" w:eastAsia="arial" w:hAnsi="arial" w:cs="arial"/>
          <w:color w:val="000000"/>
          <w:sz w:val="20"/>
          <w:lang w:val="en-US" w:eastAsia="en-US" w:bidi="ar-SA"/>
        </w:rPr>
        <w:t xml:space="preserve">, which vested water rights in the Province, had the effect of extinguishing riparian rights. Later, the Province enacted the </w:t>
      </w:r>
      <w:r>
        <w:rPr>
          <w:rFonts w:ascii="arial" w:eastAsia="arial" w:hAnsi="arial" w:cs="arial"/>
          <w:i/>
          <w:color w:val="000000"/>
          <w:sz w:val="20"/>
          <w:lang w:val="en-US" w:eastAsia="en-US" w:bidi="ar-SA"/>
        </w:rPr>
        <w:t>Water Act Amendment Act</w:t>
      </w:r>
      <w:r>
        <w:rPr>
          <w:rFonts w:ascii="arial" w:eastAsia="arial" w:hAnsi="arial" w:cs="arial"/>
          <w:color w:val="000000"/>
          <w:sz w:val="20"/>
          <w:lang w:val="en-US" w:eastAsia="en-US" w:bidi="ar-SA"/>
        </w:rPr>
        <w:t>, which further increased Crown rights over watercourses.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xml:space="preserve">  The doctrine of riparian rights has still been raised from time to time in novel actions in British Columbia. For example, in </w:t>
      </w:r>
      <w:r>
        <w:rPr>
          <w:rFonts w:ascii="arial" w:eastAsia="arial" w:hAnsi="arial" w:cs="arial"/>
          <w:i/>
          <w:color w:val="000000"/>
          <w:sz w:val="20"/>
          <w:lang w:val="en-US" w:eastAsia="en-US" w:bidi="ar-SA"/>
        </w:rPr>
        <w:t>Pasco v. C.N.R.</w:t>
      </w:r>
      <w:r>
        <w:rPr>
          <w:rFonts w:ascii="arial" w:eastAsia="arial" w:hAnsi="arial" w:cs="arial"/>
          <w:color w:val="000000"/>
          <w:sz w:val="20"/>
          <w:lang w:val="en-US" w:eastAsia="en-US" w:bidi="ar-SA"/>
        </w:rPr>
        <w:t xml:space="preserve"> </w:t>
      </w:r>
      <w:hyperlink r:id="rId608" w:history="1">
        <w:r>
          <w:rPr>
            <w:rFonts w:ascii="arial" w:eastAsia="arial" w:hAnsi="arial" w:cs="arial"/>
            <w:i/>
            <w:color w:val="0077CC"/>
            <w:sz w:val="20"/>
            <w:u w:val="single"/>
            <w:shd w:val="clear" w:color="auto" w:fill="FFFFFF"/>
            <w:lang w:val="en-US" w:eastAsia="en-US" w:bidi="ar-SA"/>
          </w:rPr>
          <w:t>(1985), 69 B.C.L.R. 76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Pasco</w:t>
      </w:r>
      <w:r>
        <w:rPr>
          <w:rFonts w:ascii="arial" w:eastAsia="arial" w:hAnsi="arial" w:cs="arial"/>
          <w:color w:val="000000"/>
          <w:sz w:val="20"/>
          <w:lang w:val="en-US" w:eastAsia="en-US" w:bidi="ar-SA"/>
        </w:rPr>
        <w:t>], the Oregon Jack Creek Indian Band submitted that it was the beneficial owner of a reserve adjoining the Thompson River and, as such, had property rights to the centre line of the river as well as riparian rights. Without deciding the issue of property rights, the court held that the question of riparian rights arising from a reserve interest represented a serious issue to be tried for the purposes of securing an interim injunction pending a final resolution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statutory incursions into riparian rights in British Columbia were recently summarized and discussed by this court in </w:t>
      </w:r>
      <w:r>
        <w:rPr>
          <w:rFonts w:ascii="arial" w:eastAsia="arial" w:hAnsi="arial" w:cs="arial"/>
          <w:i/>
          <w:color w:val="000000"/>
          <w:sz w:val="20"/>
          <w:lang w:val="en-US" w:eastAsia="en-US" w:bidi="ar-SA"/>
        </w:rPr>
        <w:t>Halalt First Nation v. British Columbia (Environment)</w:t>
      </w:r>
      <w:r>
        <w:rPr>
          <w:rFonts w:ascii="arial" w:eastAsia="arial" w:hAnsi="arial" w:cs="arial"/>
          <w:color w:val="000000"/>
          <w:sz w:val="20"/>
          <w:lang w:val="en-US" w:eastAsia="en-US" w:bidi="ar-SA"/>
        </w:rPr>
        <w:t xml:space="preserve">, </w:t>
      </w:r>
      <w:hyperlink r:id="rId609" w:history="1">
        <w:r>
          <w:rPr>
            <w:rFonts w:ascii="arial" w:eastAsia="arial" w:hAnsi="arial" w:cs="arial"/>
            <w:i/>
            <w:color w:val="0077CC"/>
            <w:sz w:val="20"/>
            <w:u w:val="single"/>
            <w:shd w:val="clear" w:color="auto" w:fill="FFFFFF"/>
            <w:lang w:val="en-US" w:eastAsia="en-US" w:bidi="ar-SA"/>
          </w:rPr>
          <w:t>2011 BCSC 945</w:t>
        </w:r>
      </w:hyperlink>
      <w:r>
        <w:rPr>
          <w:rFonts w:ascii="arial" w:eastAsia="arial" w:hAnsi="arial" w:cs="arial"/>
          <w:color w:val="000000"/>
          <w:sz w:val="20"/>
          <w:lang w:val="en-US" w:eastAsia="en-US" w:bidi="ar-SA"/>
        </w:rPr>
        <w:t xml:space="preserve">, at paras. 497-503, rev'd on other grounds, </w:t>
      </w:r>
      <w:hyperlink r:id="rId610" w:history="1">
        <w:r>
          <w:rPr>
            <w:rFonts w:ascii="arial" w:eastAsia="arial" w:hAnsi="arial" w:cs="arial"/>
            <w:i/>
            <w:color w:val="0077CC"/>
            <w:sz w:val="20"/>
            <w:u w:val="single"/>
            <w:shd w:val="clear" w:color="auto" w:fill="FFFFFF"/>
            <w:lang w:val="en-US" w:eastAsia="en-US" w:bidi="ar-SA"/>
          </w:rPr>
          <w:t>2012 BCCA 472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I turn next to the law of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xml:space="preserve">  The essence of this area of law is that it addresses interference with a plaintiff's rights in property: Gregory S. Pun &amp; Margaret I. Hall, </w:t>
      </w:r>
      <w:r>
        <w:rPr>
          <w:rFonts w:ascii="arial" w:eastAsia="arial" w:hAnsi="arial" w:cs="arial"/>
          <w:i/>
          <w:color w:val="000000"/>
          <w:sz w:val="20"/>
          <w:lang w:val="en-US" w:eastAsia="en-US" w:bidi="ar-SA"/>
        </w:rPr>
        <w:t>The Law of Nuisance in Canada</w:t>
      </w:r>
      <w:r>
        <w:rPr>
          <w:rFonts w:ascii="arial" w:eastAsia="arial" w:hAnsi="arial" w:cs="arial"/>
          <w:color w:val="000000"/>
          <w:sz w:val="20"/>
          <w:lang w:val="en-US" w:eastAsia="en-US" w:bidi="ar-SA"/>
        </w:rPr>
        <w:t xml:space="preserve"> (Markham, ON: LexisNexis Canada Inc., 2010) at p. 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described the doctrine of public nuisance at para. 52: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public nuisance has been defined as any activity which unreasonably interferes with the public's interest in questions of health, safety, morality, comfort or convenience ... Essentially, "[t]he conduct complained of must amount to ... an attack upon the rights of the public generally to live their lives unaffected by inconvenience, discomfort or other forms of interference"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[Citations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xml:space="preserve">  An action in public nuisance may be asserted by a private person, provided the harm alleged would inflict "special" damage upon him: </w:t>
      </w:r>
      <w:r>
        <w:rPr>
          <w:rFonts w:ascii="arial" w:eastAsia="arial" w:hAnsi="arial" w:cs="arial"/>
          <w:i/>
          <w:color w:val="000000"/>
          <w:sz w:val="20"/>
          <w:lang w:val="en-US" w:eastAsia="en-US" w:bidi="ar-SA"/>
        </w:rPr>
        <w:t>Ryan</w:t>
      </w:r>
      <w:r>
        <w:rPr>
          <w:rFonts w:ascii="arial" w:eastAsia="arial" w:hAnsi="arial" w:cs="arial"/>
          <w:color w:val="000000"/>
          <w:sz w:val="20"/>
          <w:lang w:val="en-US" w:eastAsia="en-US" w:bidi="ar-SA"/>
        </w:rPr>
        <w:t xml:space="preserve"> at para. 52.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tort of private nuisance arises where a person suffers unreasonable damage to or interference with that person's interest in land. In </w:t>
      </w:r>
      <w:r>
        <w:rPr>
          <w:rFonts w:ascii="arial" w:eastAsia="arial" w:hAnsi="arial" w:cs="arial"/>
          <w:i/>
          <w:color w:val="000000"/>
          <w:sz w:val="20"/>
          <w:lang w:val="en-US" w:eastAsia="en-US" w:bidi="ar-SA"/>
        </w:rPr>
        <w:t>Royal Anne Hotel Co. Ltd. v. Ashcroft (Village)</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at para. 10 [</w:t>
      </w:r>
      <w:r>
        <w:rPr>
          <w:rFonts w:ascii="arial" w:eastAsia="arial" w:hAnsi="arial" w:cs="arial"/>
          <w:i/>
          <w:color w:val="000000"/>
          <w:sz w:val="20"/>
          <w:lang w:val="en-US" w:eastAsia="en-US" w:bidi="ar-SA"/>
        </w:rPr>
        <w:t>Royal Anne</w:t>
      </w:r>
      <w:r>
        <w:rPr>
          <w:rFonts w:ascii="arial" w:eastAsia="arial" w:hAnsi="arial" w:cs="arial"/>
          <w:color w:val="000000"/>
          <w:sz w:val="20"/>
          <w:lang w:val="en-US" w:eastAsia="en-US" w:bidi="ar-SA"/>
        </w:rPr>
        <w:t>], the British Columbia Court of Appeal cited the following definition of private nuisance: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person then, may be said to have committed the tort of private nuisance </w:t>
      </w:r>
      <w:r>
        <w:rPr>
          <w:rFonts w:ascii="arial" w:eastAsia="arial" w:hAnsi="arial" w:cs="arial"/>
          <w:color w:val="000000"/>
          <w:sz w:val="20"/>
          <w:u w:val="single"/>
          <w:lang w:val="en-US" w:eastAsia="en-US" w:bidi="ar-SA"/>
        </w:rPr>
        <w:t>when he is held to be responsible for an act indirectly causing physical injury to land or substantially interfering with the use or enjoyment of land or an interest in land where, in the light of all the surrounding circumstances, this injury or interference is held to be unreasonable</w:t>
      </w:r>
      <w:r>
        <w:rPr>
          <w:rFonts w:ascii="arial" w:eastAsia="arial" w:hAnsi="arial" w:cs="arial"/>
          <w:color w:val="000000"/>
          <w:sz w:val="20"/>
          <w:lang w:val="en-US" w:eastAsia="en-US" w:bidi="ar-SA"/>
        </w:rPr>
        <w:t>. [Emphasis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xml:space="preserve">  In the recent decision of the Supreme Court of Canada in </w:t>
      </w:r>
      <w:r>
        <w:rPr>
          <w:rFonts w:ascii="arial" w:eastAsia="arial" w:hAnsi="arial" w:cs="arial"/>
          <w:i/>
          <w:color w:val="000000"/>
          <w:sz w:val="20"/>
          <w:lang w:val="en-US" w:eastAsia="en-US" w:bidi="ar-SA"/>
        </w:rPr>
        <w:t>Antrim Truck Centre Ltd. v. Ontario (Transportation)</w:t>
      </w:r>
      <w:r>
        <w:rPr>
          <w:rFonts w:ascii="arial" w:eastAsia="arial" w:hAnsi="arial" w:cs="arial"/>
          <w:color w:val="000000"/>
          <w:sz w:val="20"/>
          <w:lang w:val="en-US" w:eastAsia="en-US" w:bidi="ar-SA"/>
        </w:rPr>
        <w:t xml:space="preserve">, </w:t>
      </w:r>
      <w:hyperlink r:id="rId612" w:history="1">
        <w:r>
          <w:rPr>
            <w:rFonts w:ascii="arial" w:eastAsia="arial" w:hAnsi="arial" w:cs="arial"/>
            <w:i/>
            <w:color w:val="0077CC"/>
            <w:sz w:val="20"/>
            <w:u w:val="single"/>
            <w:shd w:val="clear" w:color="auto" w:fill="FFFFFF"/>
            <w:lang w:val="en-US" w:eastAsia="en-US" w:bidi="ar-SA"/>
          </w:rPr>
          <w:t>2013 SCC 13</w:t>
        </w:r>
      </w:hyperlink>
      <w:r>
        <w:rPr>
          <w:rFonts w:ascii="arial" w:eastAsia="arial" w:hAnsi="arial" w:cs="arial"/>
          <w:color w:val="000000"/>
          <w:sz w:val="20"/>
          <w:lang w:val="en-US" w:eastAsia="en-US" w:bidi="ar-SA"/>
        </w:rPr>
        <w:t>, Cromwell J. for the Court said:</w:t>
      </w:r>
      <w:r>
        <w:rPr>
          <w:rFonts w:ascii="arial" w:eastAsia="arial" w:hAnsi="arial" w:cs="arial"/>
          <w:sz w:val="20"/>
          <w:lang w:val="en-US" w:eastAsia="en-US" w:bidi="ar-SA"/>
        </w:rPr>
        <w:cr/>
      </w:r>
    </w:p>
    <w:p>
      <w:pPr>
        <w:numPr>
          <w:numId w:val="5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 concluded that a nuisance consists of an interference with the claimant's use or enjoyment of land that is both substantial and unreasonable: paras. 79-80. In my view, this conclusion is correct.</w:t>
      </w:r>
    </w:p>
    <w:p>
      <w:pPr>
        <w:numPr>
          <w:numId w:val="6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elements of a claim in private nuisance have often been expressed in terms of a two-part test of this nature: to support a claim in private nuisance the interference with the owner's use or enjoyment of land must be both </w:t>
      </w:r>
      <w:r>
        <w:rPr>
          <w:rFonts w:ascii="arial" w:eastAsia="arial" w:hAnsi="arial" w:cs="arial"/>
          <w:i/>
          <w:color w:val="000000"/>
          <w:sz w:val="20"/>
          <w:lang w:val="en-US" w:eastAsia="en-US" w:bidi="ar-SA"/>
        </w:rPr>
        <w:t>substantial</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unreasonable.</w:t>
      </w:r>
      <w:r>
        <w:rPr>
          <w:rFonts w:ascii="arial" w:eastAsia="arial" w:hAnsi="arial" w:cs="arial"/>
          <w:color w:val="000000"/>
          <w:sz w:val="20"/>
          <w:lang w:val="en-US" w:eastAsia="en-US" w:bidi="ar-SA"/>
        </w:rPr>
        <w:t xml:space="preserve"> A substantial interference with property is one that is non-trivial. Where this threshold is met, the inquiry proceeds to the reasonableness analysis, which is concerned with whether the non-trivial interference was also unreasonable in all of the circumstances. This two-part approach found favour with this Court in its most recent discussion of private nuisance and was adopted by the Court of Appeal in this case, at para. 80: </w:t>
      </w:r>
      <w:r>
        <w:rPr>
          <w:rFonts w:ascii="arial" w:eastAsia="arial" w:hAnsi="arial" w:cs="arial"/>
          <w:i/>
          <w:color w:val="000000"/>
          <w:sz w:val="20"/>
          <w:lang w:val="en-US" w:eastAsia="en-US" w:bidi="ar-SA"/>
        </w:rPr>
        <w:t>St. Lawrence Cement Inc. v. Barrette</w:t>
      </w:r>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2008 SCC 64</w:t>
        </w:r>
      </w:hyperlink>
      <w:r>
        <w:rPr>
          <w:rFonts w:ascii="arial" w:eastAsia="arial" w:hAnsi="arial" w:cs="arial"/>
          <w:color w:val="000000"/>
          <w:sz w:val="20"/>
          <w:lang w:val="en-US" w:eastAsia="en-US" w:bidi="ar-SA"/>
        </w:rPr>
        <w:t xml:space="preserve">, </w:t>
      </w:r>
      <w:hyperlink r:id="rId613" w:history="1">
        <w:r>
          <w:rPr>
            <w:rFonts w:ascii="arial" w:eastAsia="arial" w:hAnsi="arial" w:cs="arial"/>
            <w:i/>
            <w:color w:val="0077CC"/>
            <w:sz w:val="20"/>
            <w:u w:val="single"/>
            <w:shd w:val="clear" w:color="auto" w:fill="FFFFFF"/>
            <w:lang w:val="en-US" w:eastAsia="en-US" w:bidi="ar-SA"/>
          </w:rPr>
          <w:t>[2008] 3 S.C.R. 392</w:t>
        </w:r>
      </w:hyperlink>
      <w:r>
        <w:rPr>
          <w:rFonts w:ascii="arial" w:eastAsia="arial" w:hAnsi="arial" w:cs="arial"/>
          <w:color w:val="000000"/>
          <w:sz w:val="20"/>
          <w:lang w:val="en-US" w:eastAsia="en-US" w:bidi="ar-SA"/>
        </w:rPr>
        <w:t xml:space="preserve">, at para. 77; see also </w:t>
      </w:r>
      <w:r>
        <w:rPr>
          <w:rFonts w:ascii="arial" w:eastAsia="arial" w:hAnsi="arial" w:cs="arial"/>
          <w:i/>
          <w:color w:val="000000"/>
          <w:sz w:val="20"/>
          <w:lang w:val="en-US" w:eastAsia="en-US" w:bidi="ar-SA"/>
        </w:rPr>
        <w:t>St. Pierre v. Ontario (Minister of Transportation and Communications)</w:t>
      </w:r>
      <w:r>
        <w:rPr>
          <w:rFonts w:ascii="arial" w:eastAsia="arial" w:hAnsi="arial" w:cs="arial"/>
          <w:color w:val="000000"/>
          <w:sz w:val="20"/>
          <w:lang w:val="en-US" w:eastAsia="en-US" w:bidi="ar-SA"/>
        </w:rPr>
        <w:t xml:space="preserve">, </w:t>
      </w:r>
      <w:hyperlink r:id="rId614" w:history="1">
        <w:r>
          <w:rPr>
            <w:rFonts w:ascii="arial" w:eastAsia="arial" w:hAnsi="arial" w:cs="arial"/>
            <w:i/>
            <w:color w:val="0077CC"/>
            <w:sz w:val="20"/>
            <w:u w:val="single"/>
            <w:shd w:val="clear" w:color="auto" w:fill="FFFFFF"/>
            <w:lang w:val="en-US" w:eastAsia="en-US" w:bidi="ar-SA"/>
          </w:rPr>
          <w:t>[1987] 1 S.C.R. 906</w:t>
        </w:r>
      </w:hyperlink>
      <w:r>
        <w:rPr>
          <w:rFonts w:ascii="arial" w:eastAsia="arial" w:hAnsi="arial" w:cs="arial"/>
          <w:color w:val="000000"/>
          <w:sz w:val="20"/>
          <w:lang w:val="en-US" w:eastAsia="en-US" w:bidi="ar-SA"/>
        </w:rPr>
        <w:t xml:space="preserve">, at pp. 914-15, quoting with approval H. Street, </w:t>
      </w:r>
      <w:r>
        <w:rPr>
          <w:rFonts w:ascii="arial" w:eastAsia="arial" w:hAnsi="arial" w:cs="arial"/>
          <w:i/>
          <w:color w:val="000000"/>
          <w:sz w:val="20"/>
          <w:lang w:val="en-US" w:eastAsia="en-US" w:bidi="ar-SA"/>
        </w:rPr>
        <w:t>The Law of Torts</w:t>
      </w:r>
      <w:r>
        <w:rPr>
          <w:rFonts w:ascii="arial" w:eastAsia="arial" w:hAnsi="arial" w:cs="arial"/>
          <w:color w:val="000000"/>
          <w:sz w:val="20"/>
          <w:lang w:val="en-US" w:eastAsia="en-US" w:bidi="ar-SA"/>
        </w:rPr>
        <w:t xml:space="preserve"> (6th ed. 1976), at p. 219; </w:t>
      </w:r>
      <w:r>
        <w:rPr>
          <w:rFonts w:ascii="arial" w:eastAsia="arial" w:hAnsi="arial" w:cs="arial"/>
          <w:i/>
          <w:color w:val="000000"/>
          <w:sz w:val="20"/>
          <w:lang w:val="en-US" w:eastAsia="en-US" w:bidi="ar-SA"/>
        </w:rPr>
        <w:t>Susan Heyes Inc. v. Vancouver (City)</w:t>
      </w:r>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2011 BCCA 77</w:t>
        </w:r>
      </w:hyperlink>
      <w:r>
        <w:rPr>
          <w:rFonts w:ascii="arial" w:eastAsia="arial" w:hAnsi="arial" w:cs="arial"/>
          <w:color w:val="000000"/>
          <w:sz w:val="20"/>
          <w:lang w:val="en-US" w:eastAsia="en-US" w:bidi="ar-SA"/>
        </w:rPr>
        <w:t xml:space="preserve">, </w:t>
      </w:r>
      <w:hyperlink r:id="rId589" w:history="1">
        <w:r>
          <w:rPr>
            <w:rFonts w:ascii="arial" w:eastAsia="arial" w:hAnsi="arial" w:cs="arial"/>
            <w:i/>
            <w:color w:val="0077CC"/>
            <w:sz w:val="20"/>
            <w:u w:val="single"/>
            <w:shd w:val="clear" w:color="auto" w:fill="FFFFFF"/>
            <w:lang w:val="en-US" w:eastAsia="en-US" w:bidi="ar-SA"/>
          </w:rPr>
          <w:t>329 D.L.R. (4th) 92</w:t>
        </w:r>
      </w:hyperlink>
      <w:r>
        <w:rPr>
          <w:rFonts w:ascii="arial" w:eastAsia="arial" w:hAnsi="arial" w:cs="arial"/>
          <w:color w:val="000000"/>
          <w:sz w:val="20"/>
          <w:lang w:val="en-US" w:eastAsia="en-US" w:bidi="ar-SA"/>
        </w:rPr>
        <w:t xml:space="preserve">, at para. 75, leave to appeal refused </w:t>
      </w:r>
      <w:hyperlink r:id="rId615" w:history="1">
        <w:r>
          <w:rPr>
            <w:rFonts w:ascii="arial" w:eastAsia="arial" w:hAnsi="arial" w:cs="arial"/>
            <w:i/>
            <w:color w:val="0077CC"/>
            <w:sz w:val="20"/>
            <w:u w:val="single"/>
            <w:shd w:val="clear" w:color="auto" w:fill="FFFFFF"/>
            <w:lang w:val="en-US" w:eastAsia="en-US" w:bidi="ar-SA"/>
          </w:rPr>
          <w:t>[2011] S.C.C.A. No. 175</w:t>
        </w:r>
      </w:hyperlink>
      <w:r>
        <w:rPr>
          <w:rFonts w:ascii="arial" w:eastAsia="arial" w:hAnsi="arial" w:cs="arial"/>
          <w:color w:val="000000"/>
          <w:sz w:val="20"/>
          <w:lang w:val="en-US" w:eastAsia="en-US" w:bidi="ar-SA"/>
        </w:rPr>
        <w:t xml:space="preserve">, [2011] 3 S.C.R. xi; </w:t>
      </w:r>
      <w:r>
        <w:rPr>
          <w:rFonts w:ascii="arial" w:eastAsia="arial" w:hAnsi="arial" w:cs="arial"/>
          <w:i/>
          <w:color w:val="000000"/>
          <w:sz w:val="20"/>
          <w:lang w:val="en-US" w:eastAsia="en-US" w:bidi="ar-SA"/>
        </w:rPr>
        <w:t>City of Campbellton v. Gray's Velvet Ice Cream Ltd.</w:t>
      </w:r>
      <w:r>
        <w:rPr>
          <w:rFonts w:ascii="arial" w:eastAsia="arial" w:hAnsi="arial" w:cs="arial"/>
          <w:color w:val="000000"/>
          <w:sz w:val="20"/>
          <w:lang w:val="en-US" w:eastAsia="en-US" w:bidi="ar-SA"/>
        </w:rPr>
        <w:t xml:space="preserve"> </w:t>
      </w:r>
      <w:hyperlink r:id="rId616" w:history="1">
        <w:r>
          <w:rPr>
            <w:rFonts w:ascii="arial" w:eastAsia="arial" w:hAnsi="arial" w:cs="arial"/>
            <w:i/>
            <w:color w:val="0077CC"/>
            <w:sz w:val="20"/>
            <w:u w:val="single"/>
            <w:shd w:val="clear" w:color="auto" w:fill="FFFFFF"/>
            <w:lang w:val="en-US" w:eastAsia="en-US" w:bidi="ar-SA"/>
          </w:rPr>
          <w:t>(1981), 127 D.L.R. (3d) 436</w:t>
        </w:r>
      </w:hyperlink>
      <w:r>
        <w:rPr>
          <w:rFonts w:ascii="arial" w:eastAsia="arial" w:hAnsi="arial" w:cs="arial"/>
          <w:color w:val="000000"/>
          <w:sz w:val="20"/>
          <w:lang w:val="en-US" w:eastAsia="en-US" w:bidi="ar-SA"/>
        </w:rPr>
        <w:t xml:space="preserve">, at p. 441 (N.B.C.A.); </w:t>
      </w:r>
      <w:r>
        <w:rPr>
          <w:rFonts w:ascii="arial" w:eastAsia="arial" w:hAnsi="arial" w:cs="arial"/>
          <w:i/>
          <w:color w:val="000000"/>
          <w:sz w:val="20"/>
          <w:lang w:val="en-US" w:eastAsia="en-US" w:bidi="ar-SA"/>
        </w:rPr>
        <w:t>Royal Anne Hotel Co. Ltd. v. Village of Ashcroft</w:t>
      </w:r>
      <w:r>
        <w:rPr>
          <w:rFonts w:ascii="arial" w:eastAsia="arial" w:hAnsi="arial" w:cs="arial"/>
          <w:color w:val="000000"/>
          <w:sz w:val="20"/>
          <w:lang w:val="en-US" w:eastAsia="en-US" w:bidi="ar-SA"/>
        </w:rPr>
        <w:t xml:space="preserve"> </w:t>
      </w:r>
      <w:hyperlink r:id="rId611" w:history="1">
        <w:r>
          <w:rPr>
            <w:rFonts w:ascii="arial" w:eastAsia="arial" w:hAnsi="arial" w:cs="arial"/>
            <w:i/>
            <w:color w:val="0077CC"/>
            <w:sz w:val="20"/>
            <w:u w:val="single"/>
            <w:shd w:val="clear" w:color="auto" w:fill="FFFFFF"/>
            <w:lang w:val="en-US" w:eastAsia="en-US" w:bidi="ar-SA"/>
          </w:rPr>
          <w:t>(1979), 95 D.L.R. (3d) 756</w:t>
        </w:r>
      </w:hyperlink>
      <w:r>
        <w:rPr>
          <w:rFonts w:ascii="arial" w:eastAsia="arial" w:hAnsi="arial" w:cs="arial"/>
          <w:color w:val="000000"/>
          <w:sz w:val="20"/>
          <w:lang w:val="en-US" w:eastAsia="en-US" w:bidi="ar-SA"/>
        </w:rPr>
        <w:t xml:space="preserve"> (B.C.C.A.), at p. 760; </w:t>
      </w:r>
      <w:r>
        <w:rPr>
          <w:rFonts w:ascii="arial" w:eastAsia="arial" w:hAnsi="arial" w:cs="arial"/>
          <w:i/>
          <w:color w:val="000000"/>
          <w:sz w:val="20"/>
          <w:lang w:val="en-US" w:eastAsia="en-US" w:bidi="ar-SA"/>
        </w:rPr>
        <w:t>Fleming's The Law of Torts</w:t>
      </w:r>
      <w:r>
        <w:rPr>
          <w:rFonts w:ascii="arial" w:eastAsia="arial" w:hAnsi="arial" w:cs="arial"/>
          <w:color w:val="000000"/>
          <w:sz w:val="20"/>
          <w:lang w:val="en-US" w:eastAsia="en-US" w:bidi="ar-SA"/>
        </w:rPr>
        <w:t xml:space="preserve"> (10th ed. 2011), at s. 21.80; </w:t>
      </w:r>
      <w:r>
        <w:rPr>
          <w:rFonts w:ascii="arial" w:eastAsia="arial" w:hAnsi="arial" w:cs="arial"/>
          <w:i/>
          <w:color w:val="000000"/>
          <w:sz w:val="20"/>
          <w:lang w:val="en-US" w:eastAsia="en-US" w:bidi="ar-SA"/>
        </w:rPr>
        <w:t>Street on Torts</w:t>
      </w:r>
      <w:r>
        <w:rPr>
          <w:rFonts w:ascii="arial" w:eastAsia="arial" w:hAnsi="arial" w:cs="arial"/>
          <w:color w:val="000000"/>
          <w:sz w:val="20"/>
          <w:lang w:val="en-US" w:eastAsia="en-US" w:bidi="ar-SA"/>
        </w:rPr>
        <w:t xml:space="preserve"> (13th ed. 2012), at p. 443; L.N. Klar, </w:t>
      </w:r>
      <w:r>
        <w:rPr>
          <w:rFonts w:ascii="arial" w:eastAsia="arial" w:hAnsi="arial" w:cs="arial"/>
          <w:i/>
          <w:color w:val="000000"/>
          <w:sz w:val="20"/>
          <w:lang w:val="en-US" w:eastAsia="en-US" w:bidi="ar-SA"/>
        </w:rPr>
        <w:t>Tort Law</w:t>
      </w:r>
      <w:r>
        <w:rPr>
          <w:rFonts w:ascii="arial" w:eastAsia="arial" w:hAnsi="arial" w:cs="arial"/>
          <w:color w:val="000000"/>
          <w:sz w:val="20"/>
          <w:lang w:val="en-US" w:eastAsia="en-US" w:bidi="ar-SA"/>
        </w:rPr>
        <w:t xml:space="preserve"> (5th ed. 2012), at p. 759.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xml:space="preserve">  Thus, private nuisance is a tort committed against the land itself rather than against any person; the common law requirement is that a plaintiff must have a proprietary interest (legal or equitable) in the affected land in order to have standing to maintain an action for private nuisance: Pun &amp; Hall, at pp. 86-87. Canadian law has diverged from this strict requirement in a small number of cases; most notably the Alberta appellate decision in </w:t>
      </w:r>
      <w:r>
        <w:rPr>
          <w:rFonts w:ascii="arial" w:eastAsia="arial" w:hAnsi="arial" w:cs="arial"/>
          <w:i/>
          <w:color w:val="000000"/>
          <w:sz w:val="20"/>
          <w:lang w:val="en-US" w:eastAsia="en-US" w:bidi="ar-SA"/>
        </w:rPr>
        <w:t>Motherwell v. Motherwell</w:t>
      </w:r>
      <w:r>
        <w:rPr>
          <w:rFonts w:ascii="arial" w:eastAsia="arial" w:hAnsi="arial" w:cs="arial"/>
          <w:color w:val="000000"/>
          <w:sz w:val="20"/>
          <w:lang w:val="en-US" w:eastAsia="en-US" w:bidi="ar-SA"/>
        </w:rPr>
        <w:t xml:space="preserve"> </w:t>
      </w:r>
      <w:hyperlink r:id="rId617" w:history="1">
        <w:r>
          <w:rPr>
            <w:rFonts w:ascii="arial" w:eastAsia="arial" w:hAnsi="arial" w:cs="arial"/>
            <w:i/>
            <w:color w:val="0077CC"/>
            <w:sz w:val="20"/>
            <w:u w:val="single"/>
            <w:shd w:val="clear" w:color="auto" w:fill="FFFFFF"/>
            <w:lang w:val="en-US" w:eastAsia="en-US" w:bidi="ar-SA"/>
          </w:rPr>
          <w:t>(1976), 73 D.L.R. (3d) 62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Motherwell</w:t>
      </w:r>
      <w:r>
        <w:rPr>
          <w:rFonts w:ascii="arial" w:eastAsia="arial" w:hAnsi="arial" w:cs="arial"/>
          <w:color w:val="000000"/>
          <w:sz w:val="20"/>
          <w:lang w:val="en-US" w:eastAsia="en-US" w:bidi="ar-SA"/>
        </w:rPr>
        <w:t>]. In that case, the defendant made a series of harassing phone calls to the home where her brother and his wife lived. The brother alone held legal title to the home and the question was raised as to whether his wife had standing to make a claim in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xml:space="preserve">  The Court, relying on the earlier decision in </w:t>
      </w:r>
      <w:r>
        <w:rPr>
          <w:rFonts w:ascii="arial" w:eastAsia="arial" w:hAnsi="arial" w:cs="arial"/>
          <w:i/>
          <w:color w:val="000000"/>
          <w:sz w:val="20"/>
          <w:lang w:val="en-US" w:eastAsia="en-US" w:bidi="ar-SA"/>
        </w:rPr>
        <w:t>Foster v. Warblington (Urban District Council)</w:t>
      </w:r>
      <w:r>
        <w:rPr>
          <w:rFonts w:ascii="arial" w:eastAsia="arial" w:hAnsi="arial" w:cs="arial"/>
          <w:color w:val="000000"/>
          <w:sz w:val="20"/>
          <w:lang w:val="en-US" w:eastAsia="en-US" w:bidi="ar-SA"/>
        </w:rPr>
        <w:t>, [1906] 1 K.B. 648, stated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 we have a wife harassed in the matrimonial home. She has a status, a right to live there with her husband and children. I find it absurd to say that her occupancy of the matrimonial home is insufficient to found an action in nuisance. In my opinion she is entitled to the same relief as is her husband, the Brother.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Thus, the wife's "occupancy of a substantial nature" (</w:t>
      </w:r>
      <w:r>
        <w:rPr>
          <w:rFonts w:ascii="arial" w:eastAsia="arial" w:hAnsi="arial" w:cs="arial"/>
          <w:i/>
          <w:color w:val="000000"/>
          <w:sz w:val="20"/>
          <w:lang w:val="en-US" w:eastAsia="en-US" w:bidi="ar-SA"/>
        </w:rPr>
        <w:t>Motherwell</w:t>
      </w:r>
      <w:r>
        <w:rPr>
          <w:rFonts w:ascii="arial" w:eastAsia="arial" w:hAnsi="arial" w:cs="arial"/>
          <w:color w:val="000000"/>
          <w:sz w:val="20"/>
          <w:lang w:val="en-US" w:eastAsia="en-US" w:bidi="ar-SA"/>
        </w:rPr>
        <w:t xml:space="preserve"> at para. 32) was sufficient to ground a claim in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xml:space="preserve">  However, the decision in </w:t>
      </w:r>
      <w:r>
        <w:rPr>
          <w:rFonts w:ascii="arial" w:eastAsia="arial" w:hAnsi="arial" w:cs="arial"/>
          <w:i/>
          <w:color w:val="000000"/>
          <w:sz w:val="20"/>
          <w:lang w:val="en-US" w:eastAsia="en-US" w:bidi="ar-SA"/>
        </w:rPr>
        <w:t>Motherwell</w:t>
      </w:r>
      <w:r>
        <w:rPr>
          <w:rFonts w:ascii="arial" w:eastAsia="arial" w:hAnsi="arial" w:cs="arial"/>
          <w:color w:val="000000"/>
          <w:sz w:val="20"/>
          <w:lang w:val="en-US" w:eastAsia="en-US" w:bidi="ar-SA"/>
        </w:rPr>
        <w:t xml:space="preserve"> was later criticized by the House of Lords in </w:t>
      </w:r>
      <w:r>
        <w:rPr>
          <w:rFonts w:ascii="arial" w:eastAsia="arial" w:hAnsi="arial" w:cs="arial"/>
          <w:i/>
          <w:color w:val="000000"/>
          <w:sz w:val="20"/>
          <w:lang w:val="en-US" w:eastAsia="en-US" w:bidi="ar-SA"/>
        </w:rPr>
        <w:t>Hunter v. Canary Wharf Ltd</w:t>
      </w:r>
      <w:r>
        <w:rPr>
          <w:rFonts w:ascii="arial" w:eastAsia="arial" w:hAnsi="arial" w:cs="arial"/>
          <w:color w:val="000000"/>
          <w:sz w:val="20"/>
          <w:lang w:val="en-US" w:eastAsia="en-US" w:bidi="ar-SA"/>
        </w:rPr>
        <w:t>., [1997] A.C. 655 [</w:t>
      </w:r>
      <w:r>
        <w:rPr>
          <w:rFonts w:ascii="arial" w:eastAsia="arial" w:hAnsi="arial" w:cs="arial"/>
          <w:i/>
          <w:color w:val="000000"/>
          <w:sz w:val="20"/>
          <w:lang w:val="en-US" w:eastAsia="en-US" w:bidi="ar-SA"/>
        </w:rPr>
        <w:t>Hunter</w:t>
      </w:r>
      <w:r>
        <w:rPr>
          <w:rFonts w:ascii="arial" w:eastAsia="arial" w:hAnsi="arial" w:cs="arial"/>
          <w:color w:val="000000"/>
          <w:sz w:val="20"/>
          <w:lang w:val="en-US" w:eastAsia="en-US" w:bidi="ar-SA"/>
        </w:rPr>
        <w:t>], where Lord Goff of Chieveley expressed concern at p. 693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[E]xtension of the tort [of private nuisance] in this way [(i.e., such that people who have a 'substantial link' with the land, including those who occupied the premises 'as a home')] would transform it from a tort to land into a tort to the person, in which damages could be recovered in respect of something less serious than personal injury and the criteria for liability were founded not upon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but upon striking a balance between the interests of neighbours in the use of their land. This is, in my opinion, not an acceptable way in which to develop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Based on his review of the authorities, His Lordship concluded at p. 692: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action in private nuisance will only lie at the suit of a person who has a right to the land affected. Ordinarily, such a person can only sue if he has the right to exclusive possession of the land, such as a freeholder or tenant in possession, or even a licensee with exclusive possession. Exceptionally ... this category may include a person in actual possession who has no right to be there; and in any event a reversioner can sue in so far his reversionary interest is affected. But a mere licensee on the land has no right to 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xml:space="preserve">  Mr. Justice Holmes considered both lines of reasoning in </w:t>
      </w:r>
      <w:r>
        <w:rPr>
          <w:rFonts w:ascii="arial" w:eastAsia="arial" w:hAnsi="arial" w:cs="arial"/>
          <w:i/>
          <w:color w:val="000000"/>
          <w:sz w:val="20"/>
          <w:lang w:val="en-US" w:eastAsia="en-US" w:bidi="ar-SA"/>
        </w:rPr>
        <w:t>Sutherland v. Canada (Attorney General)</w:t>
      </w:r>
      <w:r>
        <w:rPr>
          <w:rFonts w:ascii="arial" w:eastAsia="arial" w:hAnsi="arial" w:cs="arial"/>
          <w:color w:val="000000"/>
          <w:sz w:val="20"/>
          <w:lang w:val="en-US" w:eastAsia="en-US" w:bidi="ar-SA"/>
        </w:rPr>
        <w:t xml:space="preserve">, </w:t>
      </w:r>
      <w:hyperlink r:id="rId618" w:history="1">
        <w:r>
          <w:rPr>
            <w:rFonts w:ascii="arial" w:eastAsia="arial" w:hAnsi="arial" w:cs="arial"/>
            <w:i/>
            <w:color w:val="0077CC"/>
            <w:sz w:val="20"/>
            <w:u w:val="single"/>
            <w:shd w:val="clear" w:color="auto" w:fill="FFFFFF"/>
            <w:lang w:val="en-US" w:eastAsia="en-US" w:bidi="ar-SA"/>
          </w:rPr>
          <w:t>2001 BCSC 1024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Sutherland v. Canada</w:t>
      </w:r>
      <w:r>
        <w:rPr>
          <w:rFonts w:ascii="arial" w:eastAsia="arial" w:hAnsi="arial" w:cs="arial"/>
          <w:color w:val="000000"/>
          <w:sz w:val="20"/>
          <w:lang w:val="en-US" w:eastAsia="en-US" w:bidi="ar-SA"/>
        </w:rPr>
        <w:t xml:space="preserve">], rev'd on other grounds, </w:t>
      </w:r>
      <w:hyperlink r:id="rId590" w:history="1">
        <w:r>
          <w:rPr>
            <w:rFonts w:ascii="arial" w:eastAsia="arial" w:hAnsi="arial" w:cs="arial"/>
            <w:i/>
            <w:color w:val="0077CC"/>
            <w:sz w:val="20"/>
            <w:u w:val="single"/>
            <w:shd w:val="clear" w:color="auto" w:fill="FFFFFF"/>
            <w:lang w:val="en-US" w:eastAsia="en-US" w:bidi="ar-SA"/>
          </w:rPr>
          <w:t>[2002] B.C.J. No. 1479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Sutherland</w:t>
      </w:r>
      <w:r>
        <w:rPr>
          <w:rFonts w:ascii="arial" w:eastAsia="arial" w:hAnsi="arial" w:cs="arial"/>
          <w:color w:val="000000"/>
          <w:sz w:val="20"/>
          <w:lang w:val="en-US" w:eastAsia="en-US" w:bidi="ar-SA"/>
        </w:rPr>
        <w:t>, in determining whether two children, aged 10 and 8, of nearby homeowners had standing to make a claim in nuisance for noise created by the addition of the north runway at Vancouver International Airport, His Lordship stated at para. 233: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prefer the reasoning of the majority of the House of Lords in Hunter v. Canary Wharf Ltd., supra, as being consistent with the nature and the origin of claims in nuisance and providing cogent reason against extension of those claims. I conclude the infant [plaintiffs] Brett and Laura Livingstone do not have a valid claim in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Thus, the current jurisprudence in this jurisdiction indicates that people who occupy premises as a home, without ownership or other interest in the property, do not have standing for an action in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xml:space="preserve">  A small number of cases address the intersection of Aboriginal rights and the law of nuisance, suggesting that the rights to fish or trap wild animals might be sufficient to grant standing to Aboriginal plaintiffs in making a claim of private nuisance. In </w:t>
      </w:r>
      <w:r>
        <w:rPr>
          <w:rFonts w:ascii="arial" w:eastAsia="arial" w:hAnsi="arial" w:cs="arial"/>
          <w:i/>
          <w:color w:val="000000"/>
          <w:sz w:val="20"/>
          <w:lang w:val="en-US" w:eastAsia="en-US" w:bidi="ar-SA"/>
        </w:rPr>
        <w:t>Islands Protection Society v. British Columbia</w:t>
      </w:r>
      <w:r>
        <w:rPr>
          <w:rFonts w:ascii="arial" w:eastAsia="arial" w:hAnsi="arial" w:cs="arial"/>
          <w:color w:val="000000"/>
          <w:sz w:val="20"/>
          <w:lang w:val="en-US" w:eastAsia="en-US" w:bidi="ar-SA"/>
        </w:rPr>
        <w:t xml:space="preserve"> </w:t>
      </w:r>
      <w:hyperlink r:id="rId619" w:history="1">
        <w:r>
          <w:rPr>
            <w:rFonts w:ascii="arial" w:eastAsia="arial" w:hAnsi="arial" w:cs="arial"/>
            <w:i/>
            <w:color w:val="0077CC"/>
            <w:sz w:val="20"/>
            <w:u w:val="single"/>
            <w:shd w:val="clear" w:color="auto" w:fill="FFFFFF"/>
            <w:lang w:val="en-US" w:eastAsia="en-US" w:bidi="ar-SA"/>
          </w:rPr>
          <w:t>(1979), 98 D.L.R. (3d) 504</w:t>
        </w:r>
      </w:hyperlink>
      <w:r>
        <w:rPr>
          <w:rFonts w:ascii="arial" w:eastAsia="arial" w:hAnsi="arial" w:cs="arial"/>
          <w:color w:val="000000"/>
          <w:sz w:val="20"/>
          <w:lang w:val="en-US" w:eastAsia="en-US" w:bidi="ar-SA"/>
        </w:rPr>
        <w:t xml:space="preserve"> (B.C.S.C.) [</w:t>
      </w:r>
      <w:r>
        <w:rPr>
          <w:rFonts w:ascii="arial" w:eastAsia="arial" w:hAnsi="arial" w:cs="arial"/>
          <w:i/>
          <w:color w:val="000000"/>
          <w:sz w:val="20"/>
          <w:lang w:val="en-US" w:eastAsia="en-US" w:bidi="ar-SA"/>
        </w:rPr>
        <w:t>Islands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Protection Society</w:t>
      </w:r>
      <w:r>
        <w:rPr>
          <w:rFonts w:ascii="arial" w:eastAsia="arial" w:hAnsi="arial" w:cs="arial"/>
          <w:color w:val="000000"/>
          <w:sz w:val="20"/>
          <w:lang w:val="en-US" w:eastAsia="en-US" w:bidi="ar-SA"/>
        </w:rPr>
        <w:t xml:space="preserve">], Murray J. relied on the decision in </w:t>
      </w:r>
      <w:r>
        <w:rPr>
          <w:rFonts w:ascii="arial" w:eastAsia="arial" w:hAnsi="arial" w:cs="arial"/>
          <w:i/>
          <w:color w:val="000000"/>
          <w:sz w:val="20"/>
          <w:lang w:val="en-US" w:eastAsia="en-US" w:bidi="ar-SA"/>
        </w:rPr>
        <w:t>Motherwell</w:t>
      </w:r>
      <w:r>
        <w:rPr>
          <w:rFonts w:ascii="arial" w:eastAsia="arial" w:hAnsi="arial" w:cs="arial"/>
          <w:color w:val="000000"/>
          <w:sz w:val="20"/>
          <w:lang w:val="en-US" w:eastAsia="en-US" w:bidi="ar-SA"/>
        </w:rPr>
        <w:t xml:space="preserve"> in granting standing to two Aboriginal individuals who were members of the Haida Indian Band. The Aboriginal plaintiffs had used and occupied the land in question for trapping animals, harvesting seafood, and fishing and sought declaratory relief against the provincial Minister of Forests in determining the issuance of tree farm licences. The reserve interest of the Haida Indian Band was not discussed.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Bolton v. Forest Pest Management Institute</w:t>
      </w:r>
      <w:r>
        <w:rPr>
          <w:rFonts w:ascii="arial" w:eastAsia="arial" w:hAnsi="arial" w:cs="arial"/>
          <w:color w:val="000000"/>
          <w:sz w:val="20"/>
          <w:lang w:val="en-US" w:eastAsia="en-US" w:bidi="ar-SA"/>
        </w:rPr>
        <w:t xml:space="preserve"> </w:t>
      </w:r>
      <w:hyperlink r:id="rId620" w:history="1">
        <w:r>
          <w:rPr>
            <w:rFonts w:ascii="arial" w:eastAsia="arial" w:hAnsi="arial" w:cs="arial"/>
            <w:i/>
            <w:color w:val="0077CC"/>
            <w:sz w:val="20"/>
            <w:u w:val="single"/>
            <w:shd w:val="clear" w:color="auto" w:fill="FFFFFF"/>
            <w:lang w:val="en-US" w:eastAsia="en-US" w:bidi="ar-SA"/>
          </w:rPr>
          <w:t>(1985), 21 D.L.R. (4th) 242</w:t>
        </w:r>
      </w:hyperlink>
      <w:r>
        <w:rPr>
          <w:rFonts w:ascii="arial" w:eastAsia="arial" w:hAnsi="arial" w:cs="arial"/>
          <w:color w:val="000000"/>
          <w:sz w:val="20"/>
          <w:lang w:val="en-US" w:eastAsia="en-US" w:bidi="ar-SA"/>
        </w:rPr>
        <w:t xml:space="preserve"> (B.C.C.A. Chambers)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Macfarlane J.A. stated that the plaintiffs' interests constituted a common law proprietary interest (namely, a </w:t>
      </w:r>
      <w:r>
        <w:rPr>
          <w:rFonts w:ascii="arial" w:eastAsia="arial" w:hAnsi="arial" w:cs="arial"/>
          <w:i/>
          <w:color w:val="000000"/>
          <w:sz w:val="20"/>
          <w:lang w:val="en-US" w:eastAsia="en-US" w:bidi="ar-SA"/>
        </w:rPr>
        <w:t>profit à prendre</w:t>
      </w:r>
      <w:r>
        <w:rPr>
          <w:rFonts w:ascii="arial" w:eastAsia="arial" w:hAnsi="arial" w:cs="arial"/>
          <w:color w:val="000000"/>
          <w:sz w:val="20"/>
          <w:lang w:val="en-US" w:eastAsia="en-US" w:bidi="ar-SA"/>
        </w:rPr>
        <w:t>) and thus might support a claim in nuisance. The Aboriginal plaintiffs, members of the Kitsumkalum Band, had registered trap lines and Indian fish food permits on the land in question and they opposed the defendants' proposed herbicide research program in the areas upon which they were reliant for food. Macfarlane J.A. stated at para. 19: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trap line can be registered in the name of one person only. While it does not give the holder of the trap line any proprietary rights in wildlife, or restrict other persons from capturing wildlife, it nevertheless is a right to take animals ferae naturae (wild game) from the lands over which the registered trap line is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xml:space="preserve">  However, a similar approach failed in a claim of nuisance against a private company in </w:t>
      </w:r>
      <w:r>
        <w:rPr>
          <w:rFonts w:ascii="arial" w:eastAsia="arial" w:hAnsi="arial" w:cs="arial"/>
          <w:i/>
          <w:color w:val="000000"/>
          <w:sz w:val="20"/>
          <w:lang w:val="en-US" w:eastAsia="en-US" w:bidi="ar-SA"/>
        </w:rPr>
        <w:t>Palmer v. Nova Scotia Forest Industries</w:t>
      </w:r>
      <w:r>
        <w:rPr>
          <w:rFonts w:ascii="arial" w:eastAsia="arial" w:hAnsi="arial" w:cs="arial"/>
          <w:color w:val="000000"/>
          <w:sz w:val="20"/>
          <w:lang w:val="en-US" w:eastAsia="en-US" w:bidi="ar-SA"/>
        </w:rPr>
        <w:t xml:space="preserve">, </w:t>
      </w:r>
      <w:hyperlink r:id="rId621" w:history="1">
        <w:r>
          <w:rPr>
            <w:rFonts w:ascii="arial" w:eastAsia="arial" w:hAnsi="arial" w:cs="arial"/>
            <w:i/>
            <w:color w:val="0077CC"/>
            <w:sz w:val="20"/>
            <w:u w:val="single"/>
            <w:shd w:val="clear" w:color="auto" w:fill="FFFFFF"/>
            <w:lang w:val="en-US" w:eastAsia="en-US" w:bidi="ar-SA"/>
          </w:rPr>
          <w:t>[1983] N.S.J. No. 534</w:t>
        </w:r>
      </w:hyperlink>
      <w:r>
        <w:rPr>
          <w:rFonts w:ascii="arial" w:eastAsia="arial" w:hAnsi="arial" w:cs="arial"/>
          <w:color w:val="000000"/>
          <w:sz w:val="20"/>
          <w:lang w:val="en-US" w:eastAsia="en-US" w:bidi="ar-SA"/>
        </w:rPr>
        <w:t xml:space="preserve"> (N.S.S.C.)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because the Aboriginal plaintiffs were unable to establish the rights to hunt and fish on the land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Tolko Industries Ltd. v. Okanagan Indian Band</w:t>
      </w:r>
      <w:r>
        <w:rPr>
          <w:rFonts w:ascii="arial" w:eastAsia="arial" w:hAnsi="arial" w:cs="arial"/>
          <w:color w:val="000000"/>
          <w:sz w:val="20"/>
          <w:lang w:val="en-US" w:eastAsia="en-US" w:bidi="ar-SA"/>
        </w:rPr>
        <w:t xml:space="preserve">, </w:t>
      </w:r>
      <w:hyperlink r:id="rId622" w:history="1">
        <w:r>
          <w:rPr>
            <w:rFonts w:ascii="arial" w:eastAsia="arial" w:hAnsi="arial" w:cs="arial"/>
            <w:i/>
            <w:color w:val="0077CC"/>
            <w:sz w:val="20"/>
            <w:u w:val="single"/>
            <w:shd w:val="clear" w:color="auto" w:fill="FFFFFF"/>
            <w:lang w:val="en-US" w:eastAsia="en-US" w:bidi="ar-SA"/>
          </w:rPr>
          <w:t>2010 BCSC 24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Tolko</w:t>
      </w:r>
      <w:r>
        <w:rPr>
          <w:rFonts w:ascii="arial" w:eastAsia="arial" w:hAnsi="arial" w:cs="arial"/>
          <w:color w:val="000000"/>
          <w:sz w:val="20"/>
          <w:lang w:val="en-US" w:eastAsia="en-US" w:bidi="ar-SA"/>
        </w:rPr>
        <w:t>], the Band's recognized right to harvest timber (which had previously been acknowledged by the Crown) was sufficient to ground the action in trespass. Importantly, the Court also stated at para. 43 that until the Band established their title to the area, the Court must presume that it was Crown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Among the four cases cited above (</w:t>
      </w:r>
      <w:r>
        <w:rPr>
          <w:rFonts w:ascii="arial" w:eastAsia="arial" w:hAnsi="arial" w:cs="arial"/>
          <w:i/>
          <w:color w:val="000000"/>
          <w:sz w:val="20"/>
          <w:lang w:val="en-US" w:eastAsia="en-US" w:bidi="ar-SA"/>
        </w:rPr>
        <w:t>Islands Protection Society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Tolko</w:t>
      </w:r>
      <w:r>
        <w:rPr>
          <w:rFonts w:ascii="arial" w:eastAsia="arial" w:hAnsi="arial" w:cs="arial"/>
          <w:color w:val="000000"/>
          <w:sz w:val="20"/>
          <w:lang w:val="en-US" w:eastAsia="en-US" w:bidi="ar-SA"/>
        </w:rPr>
        <w:t xml:space="preserve">), only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includes a specific consideration of whether an Aboriginal reserve interest could ground a claim in private nuisance. Although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is a decision of the Nova Scotia Supreme Court (Trial Division) and thus not binding on me, I find it useful to review its 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xml:space="preserve">  Mr. Justice Nunn draws a distinction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between Aboriginal rights asserted on reserves and off reserves. His Lordship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494</w:t>
      </w:r>
      <w:r>
        <w:rPr>
          <w:rFonts w:ascii="arial" w:eastAsia="arial" w:hAnsi="arial" w:cs="arial"/>
          <w:color w:val="000000"/>
          <w:sz w:val="20"/>
          <w:lang w:val="en-US" w:eastAsia="en-US" w:bidi="ar-SA"/>
        </w:rPr>
        <w:t xml:space="preserve"> In the Isaac case, </w:t>
      </w:r>
      <w:hyperlink r:id="rId623" w:history="1">
        <w:r>
          <w:rPr>
            <w:rFonts w:ascii="arial" w:eastAsia="arial" w:hAnsi="arial" w:cs="arial"/>
            <w:i/>
            <w:color w:val="0077CC"/>
            <w:sz w:val="20"/>
            <w:u w:val="single"/>
            <w:shd w:val="clear" w:color="auto" w:fill="FFFFFF"/>
            <w:lang w:val="en-US" w:eastAsia="en-US" w:bidi="ar-SA"/>
          </w:rPr>
          <w:t>[1975] N.S.J. No. 412</w:t>
        </w:r>
      </w:hyperlink>
      <w:r>
        <w:rPr>
          <w:rFonts w:ascii="arial" w:eastAsia="arial" w:hAnsi="arial" w:cs="arial"/>
          <w:color w:val="000000"/>
          <w:sz w:val="20"/>
          <w:lang w:val="en-US" w:eastAsia="en-US" w:bidi="ar-SA"/>
        </w:rPr>
        <w:t>, supra, Macdonald, J.A., at pp. 498 and 499, makes these observations: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"With deference to those who may hold a contrary view, I think that a real distinction exists in law between the status of an Indian hunting on reserve ground [and] an Indian or non-Indian hunting on non-reserve lands.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one right that was never taken away from [Indians] by treaty or otherwise, was the right to hunt or fish on reserve land. Although such right could be taken away by amendments to the </w:t>
      </w:r>
      <w:r>
        <w:rPr>
          <w:rFonts w:ascii="arial" w:eastAsia="arial" w:hAnsi="arial" w:cs="arial"/>
          <w:i/>
          <w:color w:val="000000"/>
          <w:sz w:val="20"/>
          <w:lang w:val="en-US" w:eastAsia="en-US" w:bidi="ar-SA"/>
        </w:rPr>
        <w:t>Indian Act</w:t>
      </w:r>
      <w:r>
        <w:rPr>
          <w:rFonts w:ascii="arial" w:eastAsia="arial" w:hAnsi="arial" w:cs="arial"/>
          <w:color w:val="000000"/>
          <w:sz w:val="20"/>
          <w:lang w:val="en-US" w:eastAsia="en-US" w:bidi="ar-SA"/>
        </w:rPr>
        <w:t xml:space="preserve"> or by regulations made thereunder, this has not been done.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 xml:space="preserve"> What I am saying is that historically, reserves were created for the use of Indians: not only as their place of residence but also as their hunting and fishing grounds. Thus, hunting and fishing on reserves are so inextricably bound up with land and land use as to constitute a usufructuary right - a legal right that has never been taken away."</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495</w:t>
      </w:r>
      <w:r>
        <w:rPr>
          <w:rFonts w:ascii="arial" w:eastAsia="arial" w:hAnsi="arial" w:cs="arial"/>
          <w:color w:val="000000"/>
          <w:sz w:val="20"/>
          <w:lang w:val="en-US" w:eastAsia="en-US" w:bidi="ar-SA"/>
        </w:rPr>
        <w:t xml:space="preserve"> This reasoning goes further than the comments of Chief Justice MacKeigan and, while obiter with regard to non-reserve lands, I find it compelling.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xml:space="preserve">  Based on the facts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Nunn J. concluded that the case was concerned only with lands outside the reserve and that the Aboriginal plaintiffs had not established their rights in those areas. However, His Lordship commented </w:t>
      </w:r>
      <w:r>
        <w:rPr>
          <w:rFonts w:ascii="arial" w:eastAsia="arial" w:hAnsi="arial" w:cs="arial"/>
          <w:i/>
          <w:color w:val="000000"/>
          <w:sz w:val="20"/>
          <w:lang w:val="en-US" w:eastAsia="en-US" w:bidi="ar-SA"/>
        </w:rPr>
        <w:t>in obiter</w:t>
      </w:r>
      <w:r>
        <w:rPr>
          <w:rFonts w:ascii="arial" w:eastAsia="arial" w:hAnsi="arial" w:cs="arial"/>
          <w:color w:val="000000"/>
          <w:sz w:val="20"/>
          <w:lang w:val="en-US" w:eastAsia="en-US" w:bidi="ar-SA"/>
        </w:rPr>
        <w:t xml:space="preserve"> (para. 509):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denial relates only to that part of the Indian claim relating to aboriginal rights and the right of the bands involved arising out of reserve lands stands on the same footing as other privately owned property of other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He also notes at para. 504: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the situation as to aboriginal rights may very well differ from province to province so that a finding of particular aboriginal rights in one province is of little help in making a determination in this province. Further, such rights might exist in one province and not in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xml:space="preserve">  The statement by Nunn J.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that an Aboriginal reserve right "stands on the same footing as other privately owned property of other plaintiffs" (para. 509), might suggest that a reserve interest could ground a claim in private nuisance in Nova Scotia. However, as Nunn J. notes, the situation might differ between provinces. I turn now to consider each of the two sub-issues that arise in determining whether the Notice should be struck on the basis that it discloses no reasonable claim. For the purposes of this analysis, the plaintiffs' claim is considered first in light of their asserted but unproven Aboriginal title and rights and then in relation to their reserve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Do holders of unproven Aboriginal title and rights have a cause of action against private persons in private or public nuisance or for breach of riparian rights for interference with the claimed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Alcan argues that even if the facts alleged in the Notice are accepted as true, they disclose no reasonable cause of action against it in nuisance or for breach of riparian rights. The premise which underpins this part of Alcan's submissions is that asserted but unproven Aboriginal rights and title are no basis for a claim having as its gravamen interference with property, against a private party such as Alcan.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Alcan submits that, as a third party, it has no obligation to consult with or accommodate the Aboriginal plaintiffs on the basis of their unproven claim to Aboriginal title and rights on the land surrounding the Nechako. For the plaintiffs' claim to succeed, says Alcan, would be to "shortcut" all aspects of the reconciliation process, including negotiation, consultation, and accommodation. The Crown would be unable to fulfill its duties to consult and accommodate because it would be excluded from the proceedings. Further, the Crown, who would not be a party to the proceedings, would not be bound by any order made therein. Alcan argues that the plaintiffs' claim is an attempt to skip the process of reconciliation and move straight to enforcement of their, as yet, unproven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Alcan also submits that the jurisprudence on Aboriginal rights and title demonstrates that the establishment of rights is a necessary precondition to the enforcement of such rights. Without a court's declaration, or the acknowledgment of the Crown, the plaintiffs' claims have no reasonable prospect of success because the Court is unable to determine the scope of alleged rights, which therefore precludes a finding that Alcan's actions interfere with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For these reasons, Alcan insists that there can be no cause of action against it in nuisance or for breach of riparian rights arising from interference with unproven and unrecognized Aboriginal title and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The plaintiffs' argument is that they have the proprietary rights necessary to bring this action based on their claims of Aboriginal title and rights. The plaintiffs contend that, in principle, their claim is no different from any other claim in property-based tort. It would be "absurd", they argue, to suggest that this application to strike, which must proceed on the basis that the facts pleaded are true, should succeed because the property rights pleaded as the basis of the plaintiffs' claim have not yet been proven. The plaintiffs assert that they can succeed in their claim once they prove the property rights (i.e. Aboriginal title and rights) sufficient to ground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plaintiffs submit that their claim does not engage the duty to consult and accommodate, nor does it implicate or affect the framework for reconciliation that has been established in Canada. The plaintiffs claim against Alcan in tort law on the basis of property rights, including Aboriginal property rights. It is not a claim based on the duty to consult. The plaintiffs note that the duty to consult is a procedural right that is only enforceable against the Crown, while, once proven, Aboriginal rights are enforceable against the world.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plaintiffs submit that the question of whether the federal or provincial Crowns ought to be a party to the proceedings does not arise at this stage. Both Crowns have notice of these proceedings and the claims made by the plaintiffs, but neither has sought to be added as a party or otherwise involved, nor has the defendant made such an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The plaintiffs in the case at bar attempt to claim in nuisance on the basis of an, as yet, unproven interest in the land in question. To the extent that similar actions have been attempted in the past, earlier decisions of this and other courts suggest that the plaintiffs' claim has no reasonable prospect of succeeding. While Aboriginal plaintiffs in British Columbia have been successful in asserting claims based on rights to trap animals and fish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and to harvest timber (</w:t>
      </w:r>
      <w:r>
        <w:rPr>
          <w:rFonts w:ascii="arial" w:eastAsia="arial" w:hAnsi="arial" w:cs="arial"/>
          <w:i/>
          <w:color w:val="000000"/>
          <w:sz w:val="20"/>
          <w:lang w:val="en-US" w:eastAsia="en-US" w:bidi="ar-SA"/>
        </w:rPr>
        <w:t>Tolko</w:t>
      </w:r>
      <w:r>
        <w:rPr>
          <w:rFonts w:ascii="arial" w:eastAsia="arial" w:hAnsi="arial" w:cs="arial"/>
          <w:color w:val="000000"/>
          <w:sz w:val="20"/>
          <w:lang w:val="en-US" w:eastAsia="en-US" w:bidi="ar-SA"/>
        </w:rPr>
        <w:t xml:space="preserve">), these rights were registered or otherwise acknowledged by the Crown before the action began. The actions were not grounded in unproven or unrecognized rights.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a similar case in Nova Scotia, failed because the Aboriginal plaintiffs could not establish their claimed rights to hunt and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xml:space="preserve">  Perhaps the strongest authority for the plaintiffs' claim is </w:t>
      </w:r>
      <w:r>
        <w:rPr>
          <w:rFonts w:ascii="arial" w:eastAsia="arial" w:hAnsi="arial" w:cs="arial"/>
          <w:i/>
          <w:color w:val="000000"/>
          <w:sz w:val="20"/>
          <w:lang w:val="en-US" w:eastAsia="en-US" w:bidi="ar-SA"/>
        </w:rPr>
        <w:t>Islands Protection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Society</w:t>
      </w:r>
      <w:r>
        <w:rPr>
          <w:rFonts w:ascii="arial" w:eastAsia="arial" w:hAnsi="arial" w:cs="arial"/>
          <w:color w:val="000000"/>
          <w:sz w:val="20"/>
          <w:lang w:val="en-US" w:eastAsia="en-US" w:bidi="ar-SA"/>
        </w:rPr>
        <w:t xml:space="preserve">, which relied on </w:t>
      </w:r>
      <w:r>
        <w:rPr>
          <w:rFonts w:ascii="arial" w:eastAsia="arial" w:hAnsi="arial" w:cs="arial"/>
          <w:i/>
          <w:color w:val="000000"/>
          <w:sz w:val="20"/>
          <w:lang w:val="en-US" w:eastAsia="en-US" w:bidi="ar-SA"/>
        </w:rPr>
        <w:t>Motherwell</w:t>
      </w:r>
      <w:r>
        <w:rPr>
          <w:rFonts w:ascii="arial" w:eastAsia="arial" w:hAnsi="arial" w:cs="arial"/>
          <w:color w:val="000000"/>
          <w:sz w:val="20"/>
          <w:lang w:val="en-US" w:eastAsia="en-US" w:bidi="ar-SA"/>
        </w:rPr>
        <w:t xml:space="preserve"> in granting standing to Aboriginal plaintiffs who did not have recognized rights. However, the line of reasoning in </w:t>
      </w:r>
      <w:r>
        <w:rPr>
          <w:rFonts w:ascii="arial" w:eastAsia="arial" w:hAnsi="arial" w:cs="arial"/>
          <w:i/>
          <w:color w:val="000000"/>
          <w:sz w:val="20"/>
          <w:lang w:val="en-US" w:eastAsia="en-US" w:bidi="ar-SA"/>
        </w:rPr>
        <w:t>Motherwell</w:t>
      </w:r>
      <w:r>
        <w:rPr>
          <w:rFonts w:ascii="arial" w:eastAsia="arial" w:hAnsi="arial" w:cs="arial"/>
          <w:color w:val="000000"/>
          <w:sz w:val="20"/>
          <w:lang w:val="en-US" w:eastAsia="en-US" w:bidi="ar-SA"/>
        </w:rPr>
        <w:t xml:space="preserve"> has since been rejected by this Court in </w:t>
      </w:r>
      <w:r>
        <w:rPr>
          <w:rFonts w:ascii="arial" w:eastAsia="arial" w:hAnsi="arial" w:cs="arial"/>
          <w:i/>
          <w:color w:val="000000"/>
          <w:sz w:val="20"/>
          <w:lang w:val="en-US" w:eastAsia="en-US" w:bidi="ar-SA"/>
        </w:rPr>
        <w:t>Sutherland v. Canada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Thus, the law of private nuisance as it currently stands in this jurisdiction would not appear to recognize a plaintiff who has claimed, but not yet established, an interest in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The plaintiffs have indicated that they intend to prove their claims to Aboriginal title and Aboriginal rights (and thus establish sufficient grounds to bring a claim in nuisance) in the course of trial; i.e. while establishing the required elements for an action in private or public nuisance (or breach of riparian rights).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In my view, the key problem with this submission is that the plaintiffs assert their claim, not against the Crown, but against a third party defendant, Alcan.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The assertion and resolution of claims to Aboriginal title and Aboriginal rights is inherently intertwined with the ongoing process of reconciliation of Aboriginal rights with Crown sovereignty. While, ordinarily, a claim in nuisance would not engage the duty to consult or accommodate or the broader framework for reconciliation in Canada, the Aboriginal plaintiffs in this case must still establish either the Aboriginal title or the Aboriginal rights that they say ground their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xml:space="preserve">  Thus, the Crown is a key party in this action as it attempts to establish and delineate the scope of Aboriginal title or rights. Indeed, as held in </w:t>
      </w:r>
      <w:r>
        <w:rPr>
          <w:rFonts w:ascii="arial" w:eastAsia="arial" w:hAnsi="arial" w:cs="arial"/>
          <w:i/>
          <w:color w:val="000000"/>
          <w:sz w:val="20"/>
          <w:lang w:val="en-US" w:eastAsia="en-US" w:bidi="ar-SA"/>
        </w:rPr>
        <w:t>Tolko</w:t>
      </w:r>
      <w:r>
        <w:rPr>
          <w:rFonts w:ascii="arial" w:eastAsia="arial" w:hAnsi="arial" w:cs="arial"/>
          <w:color w:val="000000"/>
          <w:sz w:val="20"/>
          <w:lang w:val="en-US" w:eastAsia="en-US" w:bidi="ar-SA"/>
        </w:rPr>
        <w:t xml:space="preserve"> at para. 43 and </w:t>
      </w:r>
      <w:r>
        <w:rPr>
          <w:rFonts w:ascii="arial" w:eastAsia="arial" w:hAnsi="arial" w:cs="arial"/>
          <w:i/>
          <w:color w:val="000000"/>
          <w:sz w:val="20"/>
          <w:lang w:val="en-US" w:eastAsia="en-US" w:bidi="ar-SA"/>
        </w:rPr>
        <w:t>Tsilhqot'in Nation v. British Columbia</w:t>
      </w:r>
      <w:r>
        <w:rPr>
          <w:rFonts w:ascii="arial" w:eastAsia="arial" w:hAnsi="arial" w:cs="arial"/>
          <w:color w:val="000000"/>
          <w:sz w:val="20"/>
          <w:lang w:val="en-US" w:eastAsia="en-US" w:bidi="ar-SA"/>
        </w:rPr>
        <w:t xml:space="preserve">, </w:t>
      </w:r>
      <w:hyperlink r:id="rId624" w:history="1">
        <w:r>
          <w:rPr>
            <w:rFonts w:ascii="arial" w:eastAsia="arial" w:hAnsi="arial" w:cs="arial"/>
            <w:i/>
            <w:color w:val="0077CC"/>
            <w:sz w:val="20"/>
            <w:u w:val="single"/>
            <w:shd w:val="clear" w:color="auto" w:fill="FFFFFF"/>
            <w:lang w:val="en-US" w:eastAsia="en-US" w:bidi="ar-SA"/>
          </w:rPr>
          <w:t>2007 BCSC 1700</w:t>
        </w:r>
      </w:hyperlink>
      <w:r>
        <w:rPr>
          <w:rFonts w:ascii="arial" w:eastAsia="arial" w:hAnsi="arial" w:cs="arial"/>
          <w:color w:val="000000"/>
          <w:sz w:val="20"/>
          <w:lang w:val="en-US" w:eastAsia="en-US" w:bidi="ar-SA"/>
        </w:rPr>
        <w:t>, at para. 978, until there is a finding of Aboriginal title, there must be a presumption that lands not held privately are Crown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xml:space="preserve">  This Court has already expressed misgivings about conducting tort litigation as a vehicle for asserting claims to Aboriginal title or rights: </w:t>
      </w:r>
      <w:r>
        <w:rPr>
          <w:rFonts w:ascii="arial" w:eastAsia="arial" w:hAnsi="arial" w:cs="arial"/>
          <w:i/>
          <w:color w:val="000000"/>
          <w:sz w:val="20"/>
          <w:lang w:val="en-US" w:eastAsia="en-US" w:bidi="ar-SA"/>
        </w:rPr>
        <w:t>Tolko</w:t>
      </w:r>
      <w:r>
        <w:rPr>
          <w:rFonts w:ascii="arial" w:eastAsia="arial" w:hAnsi="arial" w:cs="arial"/>
          <w:color w:val="000000"/>
          <w:sz w:val="20"/>
          <w:lang w:val="en-US" w:eastAsia="en-US" w:bidi="ar-SA"/>
        </w:rPr>
        <w:t xml:space="preserve"> at para. 49. Consultation, accommodation, and negotiation are without doubt the preferred routes to reconciliation of Aboriginal rights with the assertion of Crown sovereignty: See </w:t>
      </w:r>
      <w:r>
        <w:rPr>
          <w:rFonts w:ascii="arial" w:eastAsia="arial" w:hAnsi="arial" w:cs="arial"/>
          <w:i/>
          <w:color w:val="000000"/>
          <w:sz w:val="20"/>
          <w:lang w:val="en-US" w:eastAsia="en-US" w:bidi="ar-SA"/>
        </w:rPr>
        <w:t>William</w:t>
      </w:r>
      <w:r>
        <w:rPr>
          <w:rFonts w:ascii="arial" w:eastAsia="arial" w:hAnsi="arial" w:cs="arial"/>
          <w:color w:val="000000"/>
          <w:sz w:val="20"/>
          <w:lang w:val="en-US" w:eastAsia="en-US" w:bidi="ar-SA"/>
        </w:rPr>
        <w:t xml:space="preserve"> at para. 143; </w:t>
      </w:r>
      <w:r>
        <w:rPr>
          <w:rFonts w:ascii="arial" w:eastAsia="arial" w:hAnsi="arial" w:cs="arial"/>
          <w:i/>
          <w:color w:val="000000"/>
          <w:sz w:val="20"/>
          <w:lang w:val="en-US" w:eastAsia="en-US" w:bidi="ar-SA"/>
        </w:rPr>
        <w:t>Haida</w:t>
      </w:r>
      <w:r>
        <w:rPr>
          <w:rFonts w:ascii="arial" w:eastAsia="arial" w:hAnsi="arial" w:cs="arial"/>
          <w:color w:val="000000"/>
          <w:sz w:val="20"/>
          <w:lang w:val="en-US" w:eastAsia="en-US" w:bidi="ar-SA"/>
        </w:rPr>
        <w:t xml:space="preserve"> at paras. 14, 38. Until an assertion of Aboriginal title and/or rights is proven, it is the honour of the Crown that protects the pending claim. There is no similar obligation on third parties at this stage.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xml:space="preserve">  Finally, while not of itself a bar to allowing this action to proceed to trial, it is worth noting that such a trial would be dominated by issues and evidentiary procedures that private parties, such as Alcan, are not well-positioned to contest. The recognition of Aboriginal rights is a complex legal process. The plaintiffs intend to prove occupation of the land by their ancestors prior to, and exclusive occupation at the time of Sovereignty (per the test for Aboriginal title set out in </w:t>
      </w:r>
      <w:r>
        <w:rPr>
          <w:rFonts w:ascii="arial" w:eastAsia="arial" w:hAnsi="arial" w:cs="arial"/>
          <w:i/>
          <w:color w:val="000000"/>
          <w:sz w:val="20"/>
          <w:lang w:val="en-US" w:eastAsia="en-US" w:bidi="ar-SA"/>
        </w:rPr>
        <w:t>Delgamuukw</w:t>
      </w:r>
      <w:r>
        <w:rPr>
          <w:rFonts w:ascii="arial" w:eastAsia="arial" w:hAnsi="arial" w:cs="arial"/>
          <w:color w:val="000000"/>
          <w:sz w:val="20"/>
          <w:lang w:val="en-US" w:eastAsia="en-US" w:bidi="ar-SA"/>
        </w:rPr>
        <w:t xml:space="preserve"> at para. 143), that the pre-Sovereignty activity of fishing was an element of a practice, custom, or tradition integral to the distinctive culture of the Saik'uz and Stellat'en societies (per the test for Aboriginal rights set out in </w:t>
      </w:r>
      <w:r>
        <w:rPr>
          <w:rFonts w:ascii="arial" w:eastAsia="arial" w:hAnsi="arial" w:cs="arial"/>
          <w:i/>
          <w:color w:val="000000"/>
          <w:sz w:val="20"/>
          <w:lang w:val="en-US" w:eastAsia="en-US" w:bidi="ar-SA"/>
        </w:rPr>
        <w:t>Van der Peet</w:t>
      </w:r>
      <w:r>
        <w:rPr>
          <w:rFonts w:ascii="arial" w:eastAsia="arial" w:hAnsi="arial" w:cs="arial"/>
          <w:color w:val="000000"/>
          <w:sz w:val="20"/>
          <w:lang w:val="en-US" w:eastAsia="en-US" w:bidi="ar-SA"/>
        </w:rPr>
        <w:t xml:space="preserve"> at para. 46), and that this practice translates to a modern legal right capable of grounding a claim in nuisance. The Crown is the only party who can properly fulfill the role of adversary in such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Accordingly, I am persuaded by Alcan's argument to conclude that, considered in the context of the law and the litigation process, a claim in private or public nuisance (or for breach of riparian rights) against it, based on asserted but unproven claims to Aboriginal title and Aboriginal rights, has no reasonable chance of succeeding.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xml:space="preserve">  In reaching this conclusion, I have given due consideration to the principle articulated in </w:t>
      </w:r>
      <w:r>
        <w:rPr>
          <w:rFonts w:ascii="arial" w:eastAsia="arial" w:hAnsi="arial" w:cs="arial"/>
          <w:i/>
          <w:color w:val="000000"/>
          <w:sz w:val="20"/>
          <w:lang w:val="en-US" w:eastAsia="en-US" w:bidi="ar-SA"/>
        </w:rPr>
        <w:t>Hunt</w:t>
      </w:r>
      <w:r>
        <w:rPr>
          <w:rFonts w:ascii="arial" w:eastAsia="arial" w:hAnsi="arial" w:cs="arial"/>
          <w:color w:val="000000"/>
          <w:sz w:val="20"/>
          <w:lang w:val="en-US" w:eastAsia="en-US" w:bidi="ar-SA"/>
        </w:rPr>
        <w:t xml:space="preserve"> that neither the novelty of the cause of action, nor the complexity of the issues, should prevent a plaintiff from proceeding with a case. I also note the authority cited above that suggests that novel actions in matters involving Aboriginal rights and interests, in particular, should not be dismissed or rejected without a full factual record before the courts. However, in applying the principles of the law of Aboriginal rights and title as they currently stand, and in light of the law of private and public nuisance, I am satisfied that there is no reasonable prospect of success for this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 there any basis in law for the plaintiffs' claims to private nuisance or for breach of riparian rights incidental to their reserve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Alcan contends that there is no reasonable prospect of success to the plaintiffs' claim that they have common law riparian rights to the waters adjoining their reserves because such rights were extinguished by the Province before these reserves were created.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Alcan further submits that the fact that the existence of the reserves may provide evidence of occupation is not relevant to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xml:space="preserve">  The plaintiffs argue that their interest in the lands reserved for them is sufficient to ground a claim in private nuisance. The plaintiffs cite </w:t>
      </w:r>
      <w:r>
        <w:rPr>
          <w:rFonts w:ascii="arial" w:eastAsia="arial" w:hAnsi="arial" w:cs="arial"/>
          <w:i/>
          <w:color w:val="000000"/>
          <w:sz w:val="20"/>
          <w:lang w:val="en-US" w:eastAsia="en-US" w:bidi="ar-SA"/>
        </w:rPr>
        <w:t>Joe v. Findlay</w:t>
      </w:r>
      <w:r>
        <w:rPr>
          <w:rFonts w:ascii="arial" w:eastAsia="arial" w:hAnsi="arial" w:cs="arial"/>
          <w:color w:val="000000"/>
          <w:sz w:val="20"/>
          <w:lang w:val="en-US" w:eastAsia="en-US" w:bidi="ar-SA"/>
        </w:rPr>
        <w:t xml:space="preserve"> </w:t>
      </w:r>
      <w:hyperlink r:id="rId625" w:history="1">
        <w:r>
          <w:rPr>
            <w:rFonts w:ascii="arial" w:eastAsia="arial" w:hAnsi="arial" w:cs="arial"/>
            <w:i/>
            <w:color w:val="0077CC"/>
            <w:sz w:val="20"/>
            <w:u w:val="single"/>
            <w:shd w:val="clear" w:color="auto" w:fill="FFFFFF"/>
            <w:lang w:val="en-US" w:eastAsia="en-US" w:bidi="ar-SA"/>
          </w:rPr>
          <w:t>(1978), 87 D.L.R. (3d) 239</w:t>
        </w:r>
      </w:hyperlink>
      <w:r>
        <w:rPr>
          <w:rFonts w:ascii="arial" w:eastAsia="arial" w:hAnsi="arial" w:cs="arial"/>
          <w:color w:val="000000"/>
          <w:sz w:val="20"/>
          <w:lang w:val="en-US" w:eastAsia="en-US" w:bidi="ar-SA"/>
        </w:rPr>
        <w:t xml:space="preserve"> (B.C.S.C.) for the proposition that an Indian band for whom reserve lands are set aside has legal possession to those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xml:space="preserve">  Similarly, the plaintiffs argue that legal possession is sufficient to ground a claim for breach of riparian rights. Like a land owner, the plaintiffs contend, their interest in the lands reserved for them is sufficient to give rise to riparian rights; that is, the right to water from adjacent watercourses in a natural state in both quantity and quality. The plaintiffs rely on </w:t>
      </w:r>
      <w:r>
        <w:rPr>
          <w:rFonts w:ascii="arial" w:eastAsia="arial" w:hAnsi="arial" w:cs="arial"/>
          <w:i/>
          <w:color w:val="000000"/>
          <w:sz w:val="20"/>
          <w:lang w:val="en-US" w:eastAsia="en-US" w:bidi="ar-SA"/>
        </w:rPr>
        <w:t>Chasemore v. Richards</w:t>
      </w:r>
      <w:r>
        <w:rPr>
          <w:rFonts w:ascii="arial" w:eastAsia="arial" w:hAnsi="arial" w:cs="arial"/>
          <w:color w:val="000000"/>
          <w:sz w:val="20"/>
          <w:lang w:val="en-US" w:eastAsia="en-US" w:bidi="ar-SA"/>
        </w:rPr>
        <w:t xml:space="preserve"> (1859), 11 E.R. 140 (H.L.), regarding the common law of riparian rights.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Discussion and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The extent to which an Aboriginal reserve interest is sufficient to ground claims in tort, such as private nuisance has yet to be determined by the courts, and in that sense, constitutes a novel claim. An Aboriginal reserve interest has never been successfully used to ground a claim in private nuisance, but neither has this possibility been ruled out by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xml:space="preserve">  The Aboriginal plaintiffs in </w:t>
      </w:r>
      <w:r>
        <w:rPr>
          <w:rFonts w:ascii="arial" w:eastAsia="arial" w:hAnsi="arial" w:cs="arial"/>
          <w:i/>
          <w:color w:val="000000"/>
          <w:sz w:val="20"/>
          <w:lang w:val="en-US" w:eastAsia="en-US" w:bidi="ar-SA"/>
        </w:rPr>
        <w:t>Islands Protection Society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Tolko</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based their claims in rights other than those arising from reserve interests. To the extent that there is any uncertainty as to whether the law recognizes the plaintiffs' claim, that novelty favours permitting the plaintiffs' claim to proceed to trial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In particular, I note again that novel actions in matters involving the rights and interests of Aboriginal peoples may often be addressed best on the basis of a full factual record before the courts.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xml:space="preserve">  In assessing whether, per the test set out in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 claim of private nuisance asserted on the basis of an Aboriginal reserve interest has a reasonable chance of succeeding, I consider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First, the Supreme Court of Canada has described an Aboriginal interest in reserve land as a right of use and occupation (</w:t>
      </w:r>
      <w:r>
        <w:rPr>
          <w:rFonts w:ascii="arial" w:eastAsia="arial" w:hAnsi="arial" w:cs="arial"/>
          <w:i/>
          <w:color w:val="000000"/>
          <w:sz w:val="20"/>
          <w:lang w:val="en-US" w:eastAsia="en-US" w:bidi="ar-SA"/>
        </w:rPr>
        <w:t>Osoyoos</w:t>
      </w:r>
      <w:r>
        <w:rPr>
          <w:rFonts w:ascii="arial" w:eastAsia="arial" w:hAnsi="arial" w:cs="arial"/>
          <w:color w:val="000000"/>
          <w:sz w:val="20"/>
          <w:lang w:val="en-US" w:eastAsia="en-US" w:bidi="ar-SA"/>
        </w:rPr>
        <w:t xml:space="preserve"> at para. 42). The law of nuisance, as it currently stands in this jurisdiction, does not extend standing to individuals who occupy property as a home without ownership or other interest in it (</w:t>
      </w:r>
      <w:r>
        <w:rPr>
          <w:rFonts w:ascii="arial" w:eastAsia="arial" w:hAnsi="arial" w:cs="arial"/>
          <w:i/>
          <w:color w:val="000000"/>
          <w:sz w:val="20"/>
          <w:lang w:val="en-US" w:eastAsia="en-US" w:bidi="ar-SA"/>
        </w:rPr>
        <w:t>Sutherland v. Canada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 question which arises, then, is whether the plaintiffs' right of "use" of reserve land could be a sufficient interest in which to ground a claim of private nuisance.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xml:space="preserve">  The only tenuous support of a reserve interest providing sufficient standing for a claim of nuisance is found in the remarks </w:t>
      </w:r>
      <w:r>
        <w:rPr>
          <w:rFonts w:ascii="arial" w:eastAsia="arial" w:hAnsi="arial" w:cs="arial"/>
          <w:i/>
          <w:color w:val="000000"/>
          <w:sz w:val="20"/>
          <w:lang w:val="en-US" w:eastAsia="en-US" w:bidi="ar-SA"/>
        </w:rPr>
        <w:t>in obiter</w:t>
      </w:r>
      <w:r>
        <w:rPr>
          <w:rFonts w:ascii="arial" w:eastAsia="arial" w:hAnsi="arial" w:cs="arial"/>
          <w:color w:val="000000"/>
          <w:sz w:val="20"/>
          <w:lang w:val="en-US" w:eastAsia="en-US" w:bidi="ar-SA"/>
        </w:rPr>
        <w:t xml:space="preserve"> by Nunn J. in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that a right arising out of reserve lands "stands on the same footing" as other privately owned property (para. 509).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provides authority for the proposition that registered trap lines and Indian fish food permits can constitute the common law proprietary interest known as a </w:t>
      </w:r>
      <w:r>
        <w:rPr>
          <w:rFonts w:ascii="arial" w:eastAsia="arial" w:hAnsi="arial" w:cs="arial"/>
          <w:i/>
          <w:color w:val="000000"/>
          <w:sz w:val="20"/>
          <w:lang w:val="en-US" w:eastAsia="en-US" w:bidi="ar-SA"/>
        </w:rPr>
        <w:t>profit à prendre</w:t>
      </w:r>
      <w:r>
        <w:rPr>
          <w:rFonts w:ascii="arial" w:eastAsia="arial" w:hAnsi="arial" w:cs="arial"/>
          <w:color w:val="000000"/>
          <w:sz w:val="20"/>
          <w:lang w:val="en-US" w:eastAsia="en-US" w:bidi="ar-SA"/>
        </w:rPr>
        <w:t xml:space="preserve">. However, the interest recognized in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was established independently through the licensing system that regulated activity on lands external to the reserve, not as a right occurring incidental to the reserve interest.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xml:space="preserve">  Compared to either </w:t>
      </w:r>
      <w:r>
        <w:rPr>
          <w:rFonts w:ascii="arial" w:eastAsia="arial" w:hAnsi="arial" w:cs="arial"/>
          <w:i/>
          <w:color w:val="000000"/>
          <w:sz w:val="20"/>
          <w:lang w:val="en-US" w:eastAsia="en-US" w:bidi="ar-SA"/>
        </w:rPr>
        <w:t>Palmer</w:t>
      </w:r>
      <w:r>
        <w:rPr>
          <w:rFonts w:ascii="arial" w:eastAsia="arial" w:hAnsi="arial" w:cs="arial"/>
          <w:color w:val="000000"/>
          <w:sz w:val="20"/>
          <w:lang w:val="en-US" w:eastAsia="en-US" w:bidi="ar-SA"/>
        </w:rPr>
        <w:t xml:space="preserve"> or </w:t>
      </w:r>
      <w:r>
        <w:rPr>
          <w:rFonts w:ascii="arial" w:eastAsia="arial" w:hAnsi="arial" w:cs="arial"/>
          <w:i/>
          <w:color w:val="000000"/>
          <w:sz w:val="20"/>
          <w:lang w:val="en-US" w:eastAsia="en-US" w:bidi="ar-SA"/>
        </w:rPr>
        <w:t>Bolton</w:t>
      </w:r>
      <w:r>
        <w:rPr>
          <w:rFonts w:ascii="arial" w:eastAsia="arial" w:hAnsi="arial" w:cs="arial"/>
          <w:color w:val="000000"/>
          <w:sz w:val="20"/>
          <w:lang w:val="en-US" w:eastAsia="en-US" w:bidi="ar-SA"/>
        </w:rPr>
        <w:t xml:space="preserve">, the circumstances in the case at bar more closely resemble those in </w:t>
      </w:r>
      <w:r>
        <w:rPr>
          <w:rFonts w:ascii="arial" w:eastAsia="arial" w:hAnsi="arial" w:cs="arial"/>
          <w:i/>
          <w:color w:val="000000"/>
          <w:sz w:val="20"/>
          <w:lang w:val="en-US" w:eastAsia="en-US" w:bidi="ar-SA"/>
        </w:rPr>
        <w:t>Pasco</w:t>
      </w:r>
      <w:r>
        <w:rPr>
          <w:rFonts w:ascii="arial" w:eastAsia="arial" w:hAnsi="arial" w:cs="arial"/>
          <w:color w:val="000000"/>
          <w:sz w:val="20"/>
          <w:lang w:val="en-US" w:eastAsia="en-US" w:bidi="ar-SA"/>
        </w:rPr>
        <w:t>, where the band that occupied a reserve adjoining a river asserted riparian rights over the use of the 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xml:space="preserve">  I accept the argument of Alcan that there is no reasonable prospect of success to the plaintiffs' claim that, on the basis of their reserve rights, they have common law riparian rights to the adjoining waters. As Alcan points out, by no later than 1925, all riparian rights in respect of any stream were vested in the Province by means of legislation. The plaintiffs' reserves were not created until 1938. As a result of the principles articulated in </w:t>
      </w:r>
      <w:r>
        <w:rPr>
          <w:rFonts w:ascii="arial" w:eastAsia="arial" w:hAnsi="arial" w:cs="arial"/>
          <w:i/>
          <w:color w:val="000000"/>
          <w:sz w:val="20"/>
          <w:lang w:val="en-US" w:eastAsia="en-US" w:bidi="ar-SA"/>
        </w:rPr>
        <w:t>Wewaykum</w:t>
      </w:r>
      <w:r>
        <w:rPr>
          <w:rFonts w:ascii="arial" w:eastAsia="arial" w:hAnsi="arial" w:cs="arial"/>
          <w:color w:val="000000"/>
          <w:sz w:val="20"/>
          <w:lang w:val="en-US" w:eastAsia="en-US" w:bidi="ar-SA"/>
        </w:rPr>
        <w:t>, the federal Crown could not attach any rights to reserve property until that property was conveyed to it by the Province. It was therefore impossible for the federal Governor in Council to have conferred riparian rights on the plaintiffs' bands, as the federal Crown never had such rights to give.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Therefore, I conclude and find that a claim in private nuisance, or for breach of riparian rights, based on an Aboriginal reserve interest has no reasonable chance of succeeding.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In the result, notwithstanding my finding that Alcan's defence of statutory authorization must fail, I find that Alcan is entitled to an order striking the whole of the Notice. I have concluded that the foundation of the plaintiffs' claim against Alcan is fatally flawed for the reasons given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614"/>
        <w:gridCol w:w="6796"/>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IX.</w:t>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u w:val="single"/>
                <w:lang w:val="en-US" w:eastAsia="en-US" w:bidi="ar-SA"/>
              </w:rPr>
              <w:t>CONCLUSION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Alcan's application for summary judgment is dismissed. Alcan's application for an order striking out the whole of the Notice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B.I. 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1" style="position:absolute;z-index:25187328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26"/>
          <w:headerReference w:type="default" r:id="rId627"/>
          <w:footerReference w:type="even" r:id="rId628"/>
          <w:footerReference w:type="default" r:id="rId629"/>
          <w:headerReference w:type="first" r:id="rId630"/>
          <w:footerReference w:type="first" r:id="rId63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32" w:history="1">
        <w:r>
          <w:rPr>
            <w:rFonts w:ascii="arial" w:eastAsia="arial" w:hAnsi="arial" w:cs="arial"/>
            <w:b/>
            <w:bCs/>
            <w:i/>
            <w:color w:val="0077CC"/>
            <w:kern w:val="32"/>
            <w:sz w:val="28"/>
            <w:szCs w:val="32"/>
            <w:u w:val="single"/>
            <w:shd w:val="clear" w:color="auto" w:fill="FFFFFF"/>
            <w:lang w:val="en-US" w:eastAsia="en-US" w:bidi="ar-SA"/>
          </w:rPr>
          <w:t>Thorne v. Lind, [2013] B.C.J. No. 1014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Kelowna,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22-26, 29-30,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16, 2013.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M80254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Kelowna</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[2013] B.C.J. No. 1014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2013 BCSC 862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Valerie Thorne, Plaintiff, and Isabelle Lind,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(290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2" style="position:absolute;z-index:251673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99" w:name="Keywords_14"/>
      <w:bookmarkEnd w:id="99"/>
      <w:r>
        <w:rPr>
          <w:rFonts w:ascii="arial" w:eastAsia="arial" w:hAnsi="arial" w:cs="arial"/>
          <w:b/>
          <w:color w:val="000000"/>
          <w:sz w:val="20"/>
          <w:lang w:val="en-US" w:eastAsia="en-US" w:bidi="ar-SA"/>
        </w:rPr>
        <w:t>Damages — Physical and Psychological injuries — Physical injuries — Body injuries — Back and spine — Soft tissue — Psychological injuries — Emotional and mental distress — Considerations impacting on award — Degree of impairment — Permanent total or partial disability — Credibility — Action by plaintiff for personal injury damages allowed — Plaintiff, age 44, was driving when broadsided by defendant's vehicle in 2006 — She sought compensation for upper and lower body injuries and psychological injuries — Defendant challenged causation of lower body injuries based on timing of complaints to care providers — Causation proven, as delay in reporting was likely due to other symptoms being more severe — Pain unlikely to resolve — Plaintiff awarded $75,000 for non-pecuniary damages, $24,823 for special damages, $40,000 for lost earning capacity, and $20,000 for costs of future care.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Awareness of loss — Duration of loss — Employment status — Extent of incapacity — Cost of future care — Loss of earning capacity — Loss of housekeeping ability — Special damages — Non-pecuniary loss — Action by plaintiff for personal injury damages allowed — Plaintiff, age 44, was driving when broadsided by defendant's vehicle in 2006 — She sought compensation for upper and lower body injuries and psychological injuries — Defendant challenged causation of lower body injuries based on timing of complaints to care providers — Causation proven, as delay in reporting was likely due to other symptoms being more severe — Pain unlikely to resolve — Plaintiff awarded $75,000 for non-pecuniary damages, $24,823 for special damages, $40,000 for lost earning capacity, and $20,000 for costs of future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0" w:name="Case Summary_14"/>
            <w:bookmarkEnd w:id="1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Thorne, against the defendant, Lind, for damages to compensate for injuries suffered in a motor vehicle accident. In September 2006, the plaintiff, age 44, was driving when her vehicle was broadsided by the defendant's vehicle. In 2013, she continued to suffer pain from the injuries sustained in the accident. The plaintiff worked part-time as a receptionist and dental assistant prior to the accident. She was a mother of three and was active athletically. Following the accident, the plaintiff's injuries and ongoing pain caused her to retrain as a certified educational assistant. The plaintiff sought compensation for special expenses, loss of earning capacity, future care and housekeeping expenses and non-pecuniary damages. The defendant admitted liability for the accident. It was not contested that the plaintiff suffered injuries to her neck, right shoulder and upper back. The defendant disputed that the accident caused injuries to the plaintiff's lower back, right hip and right leg, as she submitted that the onset of those problems was too long after the accident. The defendant also contested the assessment of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1" w:name="Holdings of Court_13"/>
            <w:bookmarkEnd w:id="10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was a credible and reliable witness. Her post-accident conduct indicated a sustained effort toward recovery. She pursued numerous therapies and changed careers in order to reduce the physical requirements of her work. The medical evidence established that the plaintiff's upper body, lower body and psychological injuries were caused by the accident. It was wrong to suggest the plaintiff had not complained of moderate to severe lower back and hip pain early on after the accident. Apparent delay in reporting those symptoms was due to more severe symptoms from other injuries that resolved over time. The pain from the injuries caused the plaintiff to suffer deterioration in her mood. The upper body injuries resolved by 2011, but flared up intermittently. The lower body injuries persisted and were unlikely to resolve. The plaintiff was awarded $75,000 for non-pecuniary damages, $24,823 for special damages, $40,000 for lost earning capacity, $20,000 for costs of future care, and nothing for lost housekeeping expenses. The lost earning capacity award reflected that despite the unlikelihood the plaintiff would have retrained as a dental hygienist, there was a real possibility she would have worked more hours but for her injuries. There was no medical evidence that housekeeping assistance paid for by the plaintiff was medically necessary or that the plaintiff was functionally unable to perform housekeeping tasks.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2" w:name="Counsel_14"/>
      <w:bookmarkEnd w:id="1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3" style="position:absolute;z-index:2517248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Stephen W. Turner.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Tara J. Decker.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03" w:name="Judgment_14"/>
      <w:bookmarkEnd w:id="103"/>
      <w:r>
        <w:pict>
          <v:line id="_x0000_s1104" style="position:absolute;z-index:25177600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04" w:name="S.A. GRIFFIN J."/>
            <w:bookmarkEnd w:id="104"/>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Valerie Thorne was injured when Isabelle Lind drove into the car Ms. Thorne was driving, in Kelowna, B.C. on September 6,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admits liability for the accident. It is not contested that Ms. Thorne suffered some injuries to her neck, right shoulder, and upper back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There is one causation issue. The defendant disputes that the accident caused Ms. Thorne to suffer injuries to her lower back, right hip, and right leg. The defendant says that while there is evidence that Ms. Thorne had ongoing medical problems in those areas in the last few years, the onset of those problems was too long after the accident occurred to have been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All of the injuries caused pain, and Ms. Thorne suffered emotional difficulties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assessment of damages for Ms. Thorne's injuries is also contested.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will approach the issues in this case in the following order:</w:t>
      </w:r>
      <w:r>
        <w:rPr>
          <w:rFonts w:ascii="arial" w:eastAsia="arial" w:hAnsi="arial" w:cs="arial"/>
          <w:sz w:val="20"/>
          <w:lang w:val="en-US" w:eastAsia="en-US" w:bidi="ar-SA"/>
        </w:rPr>
        <w:cr/>
      </w:r>
    </w:p>
    <w:p>
      <w:pPr>
        <w:numPr>
          <w:numId w:val="4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 facts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post-accident treatments and symptoms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legal principles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diagnosis and prognosis</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special expenses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earning capacity</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future care expenses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 expenses</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First I will comment briefly on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 found that Ms. Thorne was careful in her testimony. She displayed appropriate but controlled emotion at times regarding matters one would expect to cause emotion, such as when describing her pain or the strain on her family relationships. Ms. Thorne did not appear to exaggerate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After the accident Ms. Thorne behaved like someone who wanted to get back to her pre-accident life and who was willing to work hard to accomplish this despite her pain, emotional difficulties, and setbacks in her treatment. She lost only a half day of work. She pursued numerous therapies. She changed careers to one which she thought she would be better able to handle the physical requirements of. Her conduct post-accident was of a person trying to limit her losses and to get better. Her conduct was not that of a person trying to amplify her damage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were evidentiary inconsistencies between Ms. Thorne's testimony and some of the information in the medical records. None of these inconsistencies led me to conclude that she was not attempting to tell the truth at trial and when being interviewed by her physicians. These inconsistencies can easily be explained by human error, such as a misunderstanding or a miscommunication between the physician and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 also note that none of the people who performed independent medical examinations on the plaintiff, and none of her medical treatment providers, concluded that Ms. Thorne was not telling the truth about the symptoms that she was experiencing, even after testing her. Some of those who treated her felt that she was, if anything, stoic (for example, Dr. Wickstrom and Dr. Zettl).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concluded that the plaintiff was a credible and reliable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Thorne was born in 1962 in Prince Rupert, B.C., where she grew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After finishing high school in 1980, she entered the work force and did not pursue higher education.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1993, she obtained a job as a receptionist in a dental office. She continued in that field, eventually also working as a dental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1997, she married her husband, Dan Thorne. He works in police enforcement and his employment has taken him to different locations in the province.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of early 2006, the couple and their three children lived in Kamloops, B.C. The youngest children were two girls, ages 6 and 7 at the time of the accident. Dan's sister Deana also lived with the family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Ms. Thorne was very active in recreational activities with her children, particularly the girls. They played at various sports activities including volleyball, badminton, trampoline, skiing, sledding, tubing, soccer, bicycling, and swimming. Ms. Thorne was also active in running, golfing, and in practising yoga.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Thorne's pre-accident health was very good. She had in the past had occasional migraine headaches but had linked these to diet and so had successfully avoided them by avoiding certain foods. She did not recall having any prior back problems, but acknowledged that she may have had the occasional ache or pain similar to that which most people have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March 2006, Ms. Thorne and her family moved to Kelowna where Dan Thorne had a new posting with his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approximately May 2007, Ms. Thorne was hired by the B.C. Cancer Agency in Kelowna, working as a dental assistant. Ms. Thorne worked a total of 15 hours over two days per week. She felt interested in her work and thought about one day becoming a dental hygienist or perhaps working as an assistant in an orthodontist's office. She was taking a course in respect of the orthodontic assistant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On the day of the accident, Ms. Thorne took her two daughters to school and then went to a yoga session approximately 1 1/2 hours long. She then went out to lunch with her husband and, after lunch, headed towards the school to pick up her daughters. She was driving a minivan and wearing a three-point lap and shoulder seat belt. The van had a headrest.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Thorne was travelling through an intersection on a green light when she noticed a car approaching on her left. She honked her horn and the car did not stop. She tried to swerve to the right to avoid it, and then put her brakes on and braced her arms as she anticipated the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other car drove into her vehicle, hitting it on the front driver's side and front door.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Thorne's recounting of what happened immediately after the accident suggests that she was somewhat dazed by it. Her instant thought was that she had to try to move the vehicle out of the intersection but it would not start and the front driver's side wheel was twisted. Someone approached her and told her it was okay and she needed to get out of the vehicle. She could not open her door and so used the back sliding door to get out of the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She recalls instantly getting a headache and being very nervous and shaking.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She also recalls feeling her neck and back start seizing up. She testified that her back hurt across the middle, around the shoulder blade area, up her neck, and then down her spine. She does not recall one side of her body hurting more than the other, just that it felt very tight, achy, and "like a hot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As she described the accident in her testimony, Ms. Thorne was clearly still upset about it. Asked how she was feeling emotionally after the accident, she said she was "pretty shaken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After the accident, Ms. Thorne's husband Dan came from his work to pick her up and take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Post-Accident Treatments and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will now review the evidence of Ms. Thorne's symptoms and treatment post-accident.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David Goldberg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couple of days after the accident, Ms. Thorne went to see Dr. Goldberg, a general practitioner in Kelowna, who worked out of a walk-in clinic near her home. She was not yet a patient of any family physician, having only recently moved to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describing her symptoms to Dr. Goldberg, Ms. Thorne told him that her shoulder, back, and neck were quite painful, particularly the right side of her body. According to her evidence, she described the pain around her shoulder cuff, shoulder blade area, up to her neck, and down her back. She described having trouble sleeping because of the pain and having a hard time concentrating.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Dr. Goldberg was not called as a witness.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Wesley Polack, RMT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Dr. Goldberg immediately referred Ms. Thorne to a registered massage therapist, Wesley Polack. She saw him for treatment seven times in September and three times in October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Ms. Thorne testified that at her first meeting with Mr. Polack, she explained what had happened, and that she was having pain across her shoulders into her neck, and down her back. She said he went down her whole back but it was all very sore and there was not a lot that he could do on that first visit. She said that in subsequent treatments he spent a lot of time on her shoulders and neck, and he began to loosen things up. However, she still felt a lot of pain. Ultimately she did not feel that his treatment was helping her very much overall and so she moved on to other treatment providers after early October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Polack testified at trial. While he could no longer remember Ms. Thorne specifically, he was able to testify about his treatment based on his clinical records. His explanation of his clinical records was helpful as they had proven illegible to most of the other physicians who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Polack testified that at the first visit that he saw Ms. Thorne, on September 11, 2006, she reported that her entire back was very sore. He used two upwards arrows to indicate the degree of pain. He explained that the entire back, noted as "EB" in his records, indicates the entire area from the gluteus maximus and low back right up to the bone base of the skull, and lateral wrapping around the thoracic area and ribs. He noted on her first visit that the back was very tight and the muscle was under a high degree of contraction or spasm. As a result, he was only able to do very light treatment on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Polack explained that as a registered massage therapist, he is able to feel spasm through his hands as he can feel the vibration of the muscle itself sometimes and also can sometimes feel the heat from the area. He can feel the muscle fibres guarding an entire area that has been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Polack was taken through his entire clinical records and confirmed that throughout the time he saw her Ms. Thorne was reporting her entire back as a problem. However, the most acute area, which he concentrated on, was in her upper back. On September 21, 2006 he noted that her lower back had increased "tonus", meaning stiffness or guardedness. His last treatment of her was on October 6, 2006 when again he addressed her entire back, but with a focus on her upper back. He noted that she was showing slight improvement in that he was able to apply the massage therapy at more depth. In the beginning, his mere touch increased her pain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When Mr. Polack first saw Ms. Thorne, he met with her and asked her questions about her areas of pain. His intake form includes a diagram of the human body on which he sketched the areas of pain. These areas noted the mid-to-upper back and neck. He agreed in cross-examination that he did not illustrate the lower back in the diagram. However, he did not vary from his evidence that once he began to touch her, he discovered that her entire back was an issue, including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Polack's clinical records also note Ms. Thorne's complaints of dizziness and headaches.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Joel Kryczka,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October 2006 Ms. Thorne went back to Dr. Goldberg and explained she was still having pain. He referred her to a physiotherapist, Joel Kryczka, at the Pinnacle Physiotherapy Centre in Kelowna.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Thorne's first visit to Mr. Kryczka was on October 10,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Thorne recalls telling Mr. Kryczka about her different areas of pain, including her neck, across her back, and right shoulder blade. She told him it was mostly her right side giving her the pain. She said she told him about feeling dizzy and her back being sore and that her right shoulder was sometimes so sore that she would avoid using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Kryczka testified at trial. At his initial interview of Ms. Thorne on October 10, 2006 he filled out a pain diagram indicating an area of pain in the right neck, right shoulder and right upper back areas. He did not write down any complaints of pain in the lumbar spine, right hip, right leg, or groin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Kryczka explained that on examination of Ms. Thorne during that first visit he noted that she was very stiff and very tender on palpation in the shoulder muscles and very painful with resisted external rotation of the right shoulder. He only assessed her upper spine that day but made a note to do a further assessment and assess her lumbar spine if indicated. He recorded Ms. Thorne's report that she had trouble sleeping and that she had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Kryczka saw Ms. Thorne also on October 13 and 17, 2006, and made no record of any complaint in the lumbar spine or right hip areas. He did note on October 17, 2006 that she complained of soreness after vacuuming and washing floors for 1.5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October 20, 2006, Mr. Kryczka treated Ms. Thorne and recorded in his clinical records that she had a sore lumbar spine in all ranges of motion. He explained in his evidence at trial that she was weak on both sides of her hips, but weaker on the left side hamstring and left gluteus muscles than on the right. Her right anterior hip muscles were tighter than the left.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Kryczka prescribed exercises for Ms. Thorne, and recorded when he saw her on October 24, 2006 that her lumbar spine had some improvement.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next visit by Ms. Thorne to Mr. Kryczka was on October 30, 2006. He noted that she now complained of increased pain in the lumbar spine area. He noted that when she bent forward or to the side at the waist, she had pain. She was very weak on her right side in trying to do a knee-lift bridge. Mr. Kryczka's notes indicate that Ms. Thorne reported that she had been in a prolonged sitting position in a course, bending forward, and that this left her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Mr. Kryczka then saw Ms. Thorne show some progress in early November, but after that she seemed to deteriorate. She had trouble doing a straight leg raise on her own or assisted, on her right side. Mr. Kryczka observed that her entire lower right side was extremely weak and was declining, and he was worried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theory of Ms. Thorne's injuries is that her reports of right hip and low back pain to Mr. Kryczka occurred too late in time after the motor vehicle accident to be related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her evidence in direct, Ms. Thorne explained that when she was seeing her physiotherapist, Mr. Kryczka, she did start to have more pain in her lower back and her hip. She "finally talked" to him about it when she realized it was not going to go away and then they started doing a lot of work on her lower back and hip. She said that she was given exercises and tried different therapies at his direction, but he could not figure out what to do next.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Thorne explained that because her sister has multiple sclerosis, Mr. Kryczka expressed concern that Ms. Thorne needed to be checked to make sure that she did not also have MS. Ms. Thorne said he was more concerned about this than she was as she had previously been checked for MS, due to the familial history, and did not have it. Nevertheless, she agreed with the recommendation and was referred by Mr. Kryczka back to Dr. Goldberg to follow up on this possibility in November 2006.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David Craig, Neurologist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Goldberg referred Ms. Thorne to a neurologist, Dr. Craig.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Craig assessed Ms. Thorne in December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Craig performed different tests on her using needles. He followed up with her in 2007 and referred her to an MRI.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Ms. Thorne's evidence is that Dr. Craig did not think that she had 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Willie Cheyne, Sports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Ms. Thorne was also referred to a specialist in sports medicine, Dr. Willie Cheyne who saw her and reported back to Dr. Goldberg in May 2007. Dr. Cheyne ordered x-rays and an MRI of her lumbar spine. This was not explored to any great extent in the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Continued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Ms. Thorne testified that throughout 2007 and 2008 she continued to feel a great deal of neck, right shoulder, right arm, right hip, right leg, and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Ms. Thorne went back to treatment with Mr. Kryczka in 2007 and continued seeing him for treatment until her last treatment with him in July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Kryczka agreed in cross-examination that his first record of Ms. Thorne complaining of hip pain was on January 22, 2007, when her lumbar spine was sore and she wondered if that was contributed to by shovelling. However, as early as October 30, 2006 he noted problems with her lumbar spine including problems with weakness on her lower right side, and in November 2006 he noted problems with right-side lift raises and stiff hip flexors.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Wendy Wickstrom,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May 2008, Ms. Thorne obtained a new family physician, Dr. Wendy Wickstrom, who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Dr. Wickstrom has been in practice for over 20 years. She has been in Kelowna practicing general medicine for approximately 12-13 years and sees a variety of patients, including in-hospital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Dr. Wickstrom testified that the main problem when she first saw Ms. Thorne as a patient on May 12, 2008 was her right hip, primarily its weakness and pain. Ms. Thorne also complained of neck pain on both sides and although she was not sure of this, Dr. Wickstrom believes she also complained of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Wickstrom agreed in cross-examination that when she saw Ms. Thorne again on May 20, 2008, she recorded her range of motion in her back as good and did not note any pathology regarding her lumbar spine. From May to September 2008, she made no note of Ms. Thorne having a shoulder complaint or a lumbar spine problem. Rather, the predominant problem that she noted in her records was weakness in the right leg.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Dr. Wickstrom felt that at one point Ms. Thorne went through a mild depression and that she was having a lot of difficulty dealing with her injuries. Ms. Thorne struck her as someone who pushes through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Ms. Thorne complained of some joint pains not associated with the accident and was assessed for possible arthritis in September 2008. These investigations came back negative.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Wickstrom saw Ms. Thorne on May 2, 2011 after a second motor vehicle accident on April 28, 2011. According to Dr. Wickstrom's records, Ms. Thorne had some exacerbation of her neck, arm and chest pain, but the flare up of her symptoms was short-lived. This was consistent with Ms. Thorne's evidence.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Shawn McCann, Physical Medicine and Rehabilitation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Dr. Wickstrom referred Ms. Thorne to a specialist in physical medicine and rehabilitation, also known as a physiatrist, Dr. Shawn McCann.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Dr. McCann first saw Ms. Thorne in October 2008. By that date, Ms. Thorne had undergone a significant amount of physiotherapy with Mr. Kryczka.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Ms. Thorne was still having neck and right arm pain when she saw Dr. McCann, but it had improved over time. Her main complaint was in her right lower back, right hip, and right leg area, which she described as having gotten worse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Dr. McCann testified at trial. He explained that he assessed Ms. Thorne at her initial visit to him on October 2, 2008, and on several visits thereafter: May 14, 2009; October 21, 2009; October 20, 2010; December 1, 2010; November 9, 2011; and October 3, 2012.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Dr. McCann performed numerous examinations of Ms. Thorne over this course of time and consistently noted her experiencing pain and tenderness in her right lower back, right buttock, right hip, and right thigh.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This is consistent with Ms. Thorne's evidence that she continued to experience pain in these same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McCann tried and referred Ms. Thorne to various types of treatment: specific stretches; trigger point injections; intramuscular stimulations treatment (IMS treatment); and a right L5-S1 medial branch block.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Dr. McCann reported that Ms. Thorne only had temporary relief with the latter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Ms. Thorne's evidence confirmed that she only had slight and temporary relief from any of these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Dr. Wickstrom testified that she saw Ms. Thorne on September 15, 2009, approximately one month after Ms. Thorne had the L5-S1 medial branch nerve injection. In her opinion, Ms. Thorne did not have significant improvement from this injection. Dr. Wickstrom was challenged on this in cross-examination, and taken to Dr. McCann's report where he wrote that the medial branch block gave Ms. Thorne "some temporary relief of her symptoms". Dr. Wickstrom explained that sometimes patients report relief immediately after the injection but it does not last. She stood by her own observations approximately one month after the injection, that the injection did not appear to have helped.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October 2009, Dr. McCann ordered an MRI with arthrogram of the right hip to make sure that Ms. Thorne did not have a labral tear. This MRI was not performed until September 15, 2010 and it appears that it was not reported until February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MRI report noted a "slight irregularity" and that was "suggestive of a partial incomplete tear of the proximal portion of the ileofemoral ligament". In his evidence, Dr. McCann explained that this report is written in the manner in which radiologists report findings, but it confirmed for him that there was an incomplete tear of Ms. Thorne's proximal portion of the ileofemoral ligament. In his opinion, "this is definitely the potential source of the pain into the right hip and lateral hip area" (at p. 11 of report dated October 3, 2012).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Additional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almost the same time as she began treatment with Dr. McCann, Ms. Thorne also began attending a new physiotherapist, Dawn Mills. Ms. Thorne felt that this physiotherapist gave her some relief from ongoing dizziness and neck and shoulder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Ms. Thorne testified that in April 2009 she was referred to another physiotherapist, Kirsten Vinge. She saw her for many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Also, Ms. Thorne saw massage therapist Tao Farrell on a couple of occasions in March 2010. He referred her to a psychologist, Dr. Lynne Zettl.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In November 2012, Dr. Wickstrom prescribed a pain killer and a drug to assist Ms. Thorne's sleep. Other than that, she felt that Ms. Thorne was not interested in pain medications and was managing her pain through her various therapies.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From time to time, Ms. Thorne has seen a chiropractor to help her deal with pain in her neck and hip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More recently, Ms. Thorne has been referred by Dr. McCann to Dr. Etheridge for prolotherapy injections into her right hip. Ms. Thorne had injections in October 2012 and January 2013, and testified that she obtained some relief. She is expecting further treatments this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Wickstrom agreed with reports from Dr. Etheridge, who has done prolotherapy injections for Ms. Thorne, that the injections have overall reduced her pain by 30-40%. The plan is to continue with this treatment.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Lynne Zettl,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Ms. Thorne explained that she found dealing with her physical limitations and pain since the accident had seriously affected her mood and her relationships with her children and husband.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Ms. Thorne became quite emotionally upset giving this evidence. She came across as sincere and credible. She described how she suffered pain when her daughters would sit on her lap and how she felt restricted in being able to engage in physical activities with them. She testified that her mood was extremely irritable and she became withdrawn. She was extremely nervous and agitated driving or as a passenger. She had trouble sleeping. All of this negatively impacted her marriage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This evidence was corroborated by evidence from Ms. Thorne's husband. It was also corroborated by her sister-in-law, Deana Thorne. These witnesses were spare in their words and did not appear prone to exaggeration. I believed their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Dr. Wickstrom's evidence confirmed that she had referred Ms. Thorne to counselling for psychotherapy, to a psychologist named Dr. McEachern. However, Ms. Thorne reported back and testified at trial to the effect that the rapport with this psychologist was not good. Dr. Wickstrom approved of Ms. Thorne seeing Dr. Zettl and did not make further referrals.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Dr. Wickstrom did not prescribe any mood altering drugs for Ms. Thorne.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Ms. Thorne began seeing Dr. Zettl in March 2010 and regularly saw her up to approximately the summer of 2012. Over time, her mood started to improve as she worked with the psychologist.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Dr. Zettl testified at trial. She is a registered psychologist in B.C. She has a Ph.D. in Clinical Psychology. She specializes in the evaluation and treatment of post-traumatic stress disorder (PTSD) as well as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Dr. Zettl explained that with the regular counselling, by the spring of 2011, Ms. Thorne had recovered enough to start an exercise routine including walking, running, yoga, and golfing, and she was able to pursue full-time employment. Dr. Zettl reports that by this date, Ms. Thorne's mood had improved and her pain levels had reduced in frequency and severity.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Kirsten Vinge, Physiotherapist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The plaintiff has pursued numerous physiotherapy sessions in order to treat her pain and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One of those physiotherapists, Kirsten Vinge, testified at trial. She explained that she first treated Ms. Thorne on April 24, 2009 and continues to treat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Ms. Vinge's observations of Ms. Thorne were consistent with Ms. Thorne's evidence that she felt a lot of restriction and pain in her right leg and low back. Ms. Vinge noticed there was a lot of restriction through Ms. Thorne's lumbar spine, including muscle spasm. Ms. Thorne was having significant right leg pain and low back pain which were pretty much constant.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Initially, Ms. Vinge treated Ms. Thorne from April to October 2009, but did not feel they were making great gains, and by October 2009, Ms. Thorne's injuries had flared up again.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 physiotherapy treatment then abated and Ms. Thorne was seen by Dr. Zettl.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Ms. Thorne returned to treatment with Ms. Vinge in August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Ms. Vinge testified that the continuing complaints from Ms. Thorne were pain in her right hip which would sometimes also involve pain shooting down the right leg. There was also the pain in the right shoulder which sometimes included shooting pain. In the past year she has observed that some of the pain and restrictions in her range of motion have moved to Ms. Thorne's left 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The defendant suggested that the left-sided complaints were not credible. I do not have the same view. It does not strike me as incredible that long-term problems on one side of the body could eventually lead to problems on the other side, whether from favouring the sore side and over-using the other side, changes in posture, or other reasons. In any event, the plaintiff is not advancing a claim for problems to her left-side.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Ms. Vinge observed that Ms. Thorne had quite a bit of restriction in her thoracic spine. She also had difficulty initiating movement of her right hip, including lifting her right hip or moving it into flexion.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Ms. Vinge observed Ms. Thorne is now doing "significantly better" than she was in 2009 when she first saw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As already mentioned, the defendant admits that she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parties do not dispute the applicable legal principles that apply to a claim by a plaintiff against a negligent defendant, which I will now summarize.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A defendant is only liable for the injuries that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plaintiff. In proving causation, the plaintiff must prove on a balance of probabilities that but for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would not have suffered the injuries for which she claims: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8; </w:t>
      </w:r>
      <w:r>
        <w:rPr>
          <w:rFonts w:ascii="arial" w:eastAsia="arial" w:hAnsi="arial" w:cs="arial"/>
          <w:i/>
          <w:color w:val="000000"/>
          <w:sz w:val="20"/>
          <w:lang w:val="en-US" w:eastAsia="en-US" w:bidi="ar-SA"/>
        </w:rPr>
        <w:t>Midgley v. Nguyen,</w:t>
      </w:r>
      <w:r>
        <w:rPr>
          <w:rFonts w:ascii="arial" w:eastAsia="arial" w:hAnsi="arial" w:cs="arial"/>
          <w:color w:val="000000"/>
          <w:sz w:val="20"/>
          <w:lang w:val="en-US" w:eastAsia="en-US" w:bidi="ar-SA"/>
        </w:rPr>
        <w:t xml:space="preserve"> </w:t>
      </w:r>
      <w:hyperlink r:id="rId634" w:history="1">
        <w:r>
          <w:rPr>
            <w:rFonts w:ascii="arial" w:eastAsia="arial" w:hAnsi="arial" w:cs="arial"/>
            <w:i/>
            <w:color w:val="0077CC"/>
            <w:sz w:val="20"/>
            <w:u w:val="single"/>
            <w:shd w:val="clear" w:color="auto" w:fill="FFFFFF"/>
            <w:lang w:val="en-US" w:eastAsia="en-US" w:bidi="ar-SA"/>
          </w:rPr>
          <w:t>2013 BCSC 693</w:t>
        </w:r>
      </w:hyperlink>
      <w:r>
        <w:rPr>
          <w:rFonts w:ascii="arial" w:eastAsia="arial" w:hAnsi="arial" w:cs="arial"/>
          <w:color w:val="000000"/>
          <w:sz w:val="20"/>
          <w:lang w:val="en-US" w:eastAsia="en-US" w:bidi="ar-SA"/>
        </w:rPr>
        <w:t xml:space="preserve"> at paras. 167-172.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When assessing damages, the plaintiff is only to be compensated for the injuries caused by the defendant. The damages assessment is an attempt to put the plaintiff in a position she would have been but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damages assessment does not compensate the plaintiff for expenses or loss she would have incurred in her life in any event, even without the accident, nor does it seek to put her in a better position that she would have been if the accident had not occurred: see </w:t>
      </w:r>
      <w:r>
        <w:rPr>
          <w:rFonts w:ascii="arial" w:eastAsia="arial" w:hAnsi="arial" w:cs="arial"/>
          <w:i/>
          <w:color w:val="000000"/>
          <w:sz w:val="20"/>
          <w:lang w:val="en-US" w:eastAsia="en-US" w:bidi="ar-SA"/>
        </w:rPr>
        <w:t>Moore v. Kyba</w:t>
      </w:r>
      <w:r>
        <w:rPr>
          <w:rFonts w:ascii="arial" w:eastAsia="arial" w:hAnsi="arial" w:cs="arial"/>
          <w:color w:val="000000"/>
          <w:sz w:val="20"/>
          <w:lang w:val="en-US" w:eastAsia="en-US" w:bidi="ar-SA"/>
        </w:rPr>
        <w:t xml:space="preserve">, </w:t>
      </w:r>
      <w:hyperlink r:id="rId413" w:history="1">
        <w:r>
          <w:rPr>
            <w:rFonts w:ascii="arial" w:eastAsia="arial" w:hAnsi="arial" w:cs="arial"/>
            <w:i/>
            <w:color w:val="0077CC"/>
            <w:sz w:val="20"/>
            <w:u w:val="single"/>
            <w:shd w:val="clear" w:color="auto" w:fill="FFFFFF"/>
            <w:lang w:val="en-US" w:eastAsia="en-US" w:bidi="ar-SA"/>
          </w:rPr>
          <w:t>2012 BCCA 361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As mentioned, Ms. Thorne was in another motor vehicle accident in April 2011. The evidence was that this caused her to take some limited time off work. She felt that her existing injuries were temporarily exacerbated by the second accident, but this exacerbation then went away and she returned to the way she felt prior to that accident. Her evidence in this regard was not contradicted. To the extent Ms. Thorne suffered any damages as a result of the second accident, not attributable to the first accident, I have not considered those damages in the case at bar.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The assessment of damages requires the court to consider what the plaintiff's original position would have been had the accident not occurred, and what her position is likely to be in the future, considering any injuries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Past actual events must be proven on a balance of probabilities; however past or future hypothetical events need only be proven on the basis of relative likelihood as explained by Major J. of the Supreme Court of Canada in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paras. 27 - 29.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Here, the following categories of damages are claimed: special expenses; loss of earning capacity; future care expenses; housekeeping expenses; and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xml:space="preserve">  The assessment of a plaintiff's loss of earning capacity, past and future, typically requires consideration of hypothetical pre- and post-accident earning capacity scenarios. Thus, in considering these scenarios, the court is to consider what is a real and substantial possibility, and make contingency allowances for the possibility that the assumptions may prove to be wrong: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Falati v. Smith</w:t>
      </w:r>
      <w:r>
        <w:rPr>
          <w:rFonts w:ascii="arial" w:eastAsia="arial" w:hAnsi="arial" w:cs="arial"/>
          <w:color w:val="000000"/>
          <w:sz w:val="20"/>
          <w:lang w:val="en-US" w:eastAsia="en-US" w:bidi="ar-SA"/>
        </w:rPr>
        <w:t xml:space="preserve">, </w:t>
      </w:r>
      <w:hyperlink r:id="rId422" w:history="1">
        <w:r>
          <w:rPr>
            <w:rFonts w:ascii="arial" w:eastAsia="arial" w:hAnsi="arial" w:cs="arial"/>
            <w:i/>
            <w:color w:val="0077CC"/>
            <w:sz w:val="20"/>
            <w:u w:val="single"/>
            <w:shd w:val="clear" w:color="auto" w:fill="FFFFFF"/>
            <w:lang w:val="en-US" w:eastAsia="en-US" w:bidi="ar-SA"/>
          </w:rPr>
          <w:t>2010 BCSC 465</w:t>
        </w:r>
      </w:hyperlink>
      <w:r>
        <w:rPr>
          <w:rFonts w:ascii="arial" w:eastAsia="arial" w:hAnsi="arial" w:cs="arial"/>
          <w:color w:val="000000"/>
          <w:sz w:val="20"/>
          <w:lang w:val="en-US" w:eastAsia="en-US" w:bidi="ar-SA"/>
        </w:rPr>
        <w:t xml:space="preserve">, aff'd </w:t>
      </w:r>
      <w:hyperlink r:id="rId423" w:history="1">
        <w:r>
          <w:rPr>
            <w:rFonts w:ascii="arial" w:eastAsia="arial" w:hAnsi="arial" w:cs="arial"/>
            <w:i/>
            <w:color w:val="0077CC"/>
            <w:sz w:val="20"/>
            <w:u w:val="single"/>
            <w:shd w:val="clear" w:color="auto" w:fill="FFFFFF"/>
            <w:lang w:val="en-US" w:eastAsia="en-US" w:bidi="ar-SA"/>
          </w:rPr>
          <w:t>2011 BCCA 45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xml:space="preserve">  Damages for the cost of future care are to compensate the plaintiff for expenses she will likely incur in the future due to her injuries caused by the accident. Here the contentious aspect of the claim relates to expenses for physiotherapy and counselling, and for housekeeping expenses. Since these expenses are based on hypothetical future events, they are to be assessed with a mind to positive or negative contingencies reflecting the likelihood that they will be incurred due to the injuries suffered by the plaintiff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xml:space="preserve">  Non-pecuniary damages are also referred to as damages for pain, suffering, and the loss of enjoyment of life. A number of factors are to be considered in assessing these damages. Some of these factors were summarized in the oft-cited decision of Kirkpatrick J.A. in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as including:</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age of the plaintiff;</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injury;</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severity and duration of pain;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disability;</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emotional suffering; and</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or impairment of life;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family, marital and social relationships;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impairment of physical and mental abilities;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loss of lifestyle; and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stoicism (as a factor that should not, generally speaking, penalize the plaintiff: </w:t>
      </w:r>
      <w:r>
        <w:rPr>
          <w:rFonts w:ascii="arial" w:eastAsia="arial" w:hAnsi="arial" w:cs="arial"/>
          <w:i/>
          <w:color w:val="000000"/>
          <w:sz w:val="20"/>
          <w:lang w:val="en-US" w:eastAsia="en-US" w:bidi="ar-SA"/>
        </w:rPr>
        <w:t>Giang v. Clayton</w:t>
      </w:r>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[2005] B.C.J. No. 163</w:t>
        </w:r>
      </w:hyperlink>
      <w:r>
        <w:rPr>
          <w:rFonts w:ascii="arial" w:eastAsia="arial" w:hAnsi="arial" w:cs="arial"/>
          <w:color w:val="000000"/>
          <w:sz w:val="20"/>
          <w:lang w:val="en-US" w:eastAsia="en-US" w:bidi="ar-SA"/>
        </w:rPr>
        <w:t xml:space="preserve">, </w:t>
      </w:r>
      <w:hyperlink r:id="rId414" w:history="1">
        <w:r>
          <w:rPr>
            <w:rFonts w:ascii="arial" w:eastAsia="arial" w:hAnsi="arial" w:cs="arial"/>
            <w:i/>
            <w:color w:val="0077CC"/>
            <w:sz w:val="20"/>
            <w:u w:val="single"/>
            <w:shd w:val="clear" w:color="auto" w:fill="FFFFFF"/>
            <w:lang w:val="en-US" w:eastAsia="en-US" w:bidi="ar-SA"/>
          </w:rPr>
          <w:t>2005 BCCA 54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 turn now to the factual issue of whether or not the accident caused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There are three general areas of symptoms that the plaintiff has experienced: her neck, upper back, and right shoulder and arm, which I will group together as her upper body; her lower back, right hip, and right leg, which I will group together as her lower body; and her mood.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Upper Body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 will address the question of causation in relation to the upper body complaints first. Quoting from the defendant's written submission, "[t]he defendant concedes that the plaintiff sustained soft tissue injuries to her neck, shoulder girdle and right thoracic spine. " Orally the defendant qualified this to submit that there may be some aspect of right shoulder pain not related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Shawn McCann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Dr. McCann's evidence is consistent with that of Dr. Anton's, below, that the accident likely caused Ms. Thorne to suffer injuries to her neck and posterior scapula, and right lower back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Dr. McCann's opinion at page 14 of his report 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Neck and posterior scapular pain.</w:t>
      </w:r>
      <w:r>
        <w:rPr>
          <w:rFonts w:ascii="arial" w:eastAsia="arial" w:hAnsi="arial" w:cs="arial"/>
          <w:color w:val="000000"/>
          <w:sz w:val="20"/>
          <w:lang w:val="en-US" w:eastAsia="en-US" w:bidi="ar-SA"/>
        </w:rPr>
        <w:t xml:space="preserve"> ... it is my opinion the patient suffered a Type II Whiplash Associated disorder of her cervical spine as a result of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Dr. McCann feels that Ms. Thorne had impingement of her right shoulder but, in his opinion, symptoms of this were not recorded in the physical therapist or massage therapist notes right after the accident, and so he is unable to attribute this pain to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Hubert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The defence called Dr. Anton as a witness at trial. He is a medical doctor practicing in the specialty of Physical Medicine and Rehabilitation. He assessed Ms. Thorne on September 17, 2009, at the request of the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Dr. Anton confirmed that in his opinion, the plaintiff suffered the following injuries in the accident:</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soft tissue structures in the neck and shoulder girdle, the right side more affected than the left.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Injuries to soft tissue structure in the right upper back.</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Possible injuries to soft tissue structures in the lower back.</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Joseph Schweigel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The defendant retained Dr. Schweigel to perform an independent medical examination of Ms. Thorne which he did on November 9, 2009, producing a report the same day. He was sent further medical reports to review in 2010 and prepared a supplement report on February 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Schweigel is an orthopaedic surgeon. He concluded that the accident caused Ms. Thorne to sustain soft tissue injuries to the neck, shoulder, and upper back, straining muscles and ligaments. He described this as a mild soft tissue injury, as opposed to a moderate injury (in contrast to Dr. McCann's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Conclusion: Causation Upper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 conclude that it is more likely than not that, but for the accident, Ms. Thorne would not have suffered the injuries to her neck, right shoulder, and upper back, which caused her pain symptoms following the accident. While Dr. McCann had some reservations about attributing a right shoulder impingement to the accident, the other experts did not make this distinction. She did not have right shoulder problems before the accident and had documented problems in this area after the accident. On a balance of probabilities, I find it more likely than not that all of the symptoms in her right shoulder were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Lower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The key issue is whether or not Ms. Thorne's lower back, right hip, and anterior leg pain was caused by the accident. On this issue, what troubled all of the experts was the seemingly delayed reporting of symptoms in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The defendant suggested that Ms. Thorne did not report symptoms in these areas until more than one month after the accident, if one relies on the clinical records, leading to the inference that the accident did not cause these problems. This is the key to the defendant's experts' opinions.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 find that it would be wrong to say that Ms. Thorne had not complained of entire back pain, including low back pain, early on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Mr. Polack, the massage therapist, testified that Ms. Thorne complained of entire back pain, including lower back pain, in September and early October 2006. Mr. Kryczka noted that she complained of lumbar pain on October 20,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Regardless, it is fair to make the observation that the focus of Ms. Thorne's initial complaints was her right shoulder and upper back and neck; but later these areas began to get better and the area of greatest complaint became her low back and right hip, with pain going down her right leg, and the lower body area of complaint worsened.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Shawn McCann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Dr. McCann did not think that the reported lower back pain was outside a time period that could be medically connected to the accident. In his opinion, it was caused by the accident. He concluded: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Right lower back pain</w:t>
      </w:r>
      <w:r>
        <w:rPr>
          <w:rFonts w:ascii="arial" w:eastAsia="arial" w:hAnsi="arial" w:cs="arial"/>
          <w:color w:val="000000"/>
          <w:sz w:val="20"/>
          <w:lang w:val="en-US" w:eastAsia="en-US" w:bidi="ar-SA"/>
        </w:rPr>
        <w:t xml:space="preserve">. It is more probable than not that this woman suffered a </w:t>
      </w:r>
      <w:r>
        <w:rPr>
          <w:rFonts w:ascii="arial" w:eastAsia="arial" w:hAnsi="arial" w:cs="arial"/>
          <w:color w:val="000000"/>
          <w:sz w:val="20"/>
          <w:u w:val="single"/>
          <w:lang w:val="en-US" w:eastAsia="en-US" w:bidi="ar-SA"/>
        </w:rPr>
        <w:t>moderate soft tissue injury to her lumbar spine and buttock area</w:t>
      </w:r>
      <w:r>
        <w:rPr>
          <w:rFonts w:ascii="arial" w:eastAsia="arial" w:hAnsi="arial" w:cs="arial"/>
          <w:color w:val="000000"/>
          <w:sz w:val="20"/>
          <w:lang w:val="en-US" w:eastAsia="en-US" w:bidi="ar-SA"/>
        </w:rPr>
        <w:t xml:space="preserve"> at the time of the motor vehicle accident of September 8, 2006 that has resulted in increased pain and discomfort in the area of the right lower back.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As for the right hip and right leg, Dr. McCann was puzzled, as were many of the treatment providers, by the fact that this complaint was delayed, and then seemed to worsen with time. However he concluded that these injuries were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Dr. McCann approached the causation issue logically: the pain and weakness in the right hip/leg area was real; the partial tear in the proximal portion of the ileofemoral ligament could cause that pain; a trauma of some significant force would have to cause that kind of tear; Ms. Thorne did not report any problems in that area prior to the accident; and Ms. Thorne denied having any other kind of incident causing traumatic force to her body after the accident. He concluded that in his opinion the right hip/leg injury was probably caused by the accident.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Hubert Anton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The defendant relies on Dr. Antons opinion because he questioned whether or not Ms. Thorne's pain and weakness in the right leg was caused by the accident, based on the delayed onset of those symptoms and the lack of any neurological abnormality or diagnosis that would explain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Dr. Anton concluded his opinion with the comment that it was still too early to give a final prognosis. He felt that further investigations were necessary. Since he has not seen the plaintiff since the September 17, 2009 visit, or read subsequent medical records, his opinion can only go so far.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Joseph Schweigel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Dr. Schweigel was strongly of the view that since there was "no documentation" in the medical records of low back or right leg/hip pain in the days following the accident, that the accident did not cause any injury to these areas.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He did not doubt that Ms. Thorne subsequently had low back pain but he felt that this must have been caused by her vacuuming and washing floors on October 17, 2006, coming from underlying degenerative arthritis or possibly from a labral tear caused by those activities.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Analysis of Causation of Lower Body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When analyzing the evidence of causation as it relates to Ms. Thorne's lower body complaints, I note that Dr. McCann saw Ms. Thorne on more occasions than did Dr. Anton or Dr. Schweigel, as the latter physicians only saw Ms. Thorne once. I consider that Dr. McCann had a better ability to assess the patient than did either of these other two physicians.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Also, when Dr. Anton and Dr. Schweigel gave their opinions, they were not aware of the information later revealed in the arthrogram/MRI report of February 2, 2011, given to Dr. McCann. Neither Dr. Anton nor Dr. Schweigel was asked to comment on that report's findings that were "suggestive of a partial incomplete tear of the proximal portion of the ileofemoral ligament." Because of this, I am unable to give much weight to either of Dr. Anton's or Dr. Schweigel's opinions regarding the cause of Ms. Thorne's right hip and right leg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There is no opinion evidence to contradict Dr. McCann's evidence that the partial tear could cause Ms. Thorne to suffer the pain in her right hip and right leg of which she complains.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In addition, neither Dr. Anton nor Dr. Schweigel knew that when Ms. Thorne first went to massage therapy, on September 11, 2006 which was soon after the accident, the therapist noted that her entire back was very sore and tight. Mr. Polack emphasized her significant pain through the use of double arrows. He testified that he also identified spasm in her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Drs. Anton and Schweigel were only aware of problems in Ms. Thorne's upper back initially and they gave significant weight to what they saw as an absence of records of lower back pain. However, they were not able to read the notes of Mr. Polack, massage therapist, properly.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Dr. Schweigel recognized in his opinion of November 9, 2009 that an argument might be made that Ms. Thorne's discomfort in her neck and upper back was so severe that it initially superseded any discomfort that she may have had in her lower back. This is a logical explanation for why the medical treatment clinical notes initially focussed on Ms. Thorne's complaints to her neck and upper back and shoulder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It seems to me entirely possible that a stoic patient might think to herself that what she needs to have treated is her most acute pain, and might therefore only raise that initially as the focus of the treatment she desires from medical personnel. The more acute pain may mask the other pain, or put it more in the background with the patient thinking that it is just soreness that will go away and not realizing that the more modest pain is going to pose a longer term problem. Ms. Thorne came across as a witness as someone who was trying to "work through" her pain, and she explained that she initially was hoping her hip pain and low back pain would go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basis for Dr. Schweigel rejecting this possibility is his interpretation of medical records that indicated to him that Ms. Thorne' s initial neck and upper back pain was mild and in his view it could therefore not have superseded other pain. This is also his basis for ruling out a moderate soft tissue injury: his conclusion that her pain was only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do not think Dr. Schweigel's reading of the medical records matches the facts of what Ms. Thorne was experiencing.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Dr. Schweigel was unable to decipher the massage therapy clinical records of Mr. Polack who, as of Ms. Thorne's first visit to him on September 11, 2006, noted that her entire back was "tonus" or tight and she was "very sore".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Dr. Schweigel discounts a record of Ms. Thorne's visit to her family doctor on September 11, 2006 indicating she had "more severe pain between her shoulder blades". Dr. Schweigel concluded that the pain could not have been severe because she was not prescribed painkillers. This was a mistaken inference, as Ms. Thorne testified that did not wish to take prescription medications for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I found that Dr. Schweigel appeared to lose some impartiality in the way that he phrased his opinions and in giving evidence in cross-examination at trial. He advanced propositions in black and white terms that other physicians expressed as more nuanced. He seemed to stray into the territory of being an advocate when he insisted his reading of medical documentation could lead to no other conclusion than the conclusion that Ms. Thorne did not have low back pain in the days or weeks following the accident, and that her pain was only mild.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whole of the evidence that I heard at trial leads me to conclude that Ms. Thorne's pain after the accident was moderate or severe, not mild, and that she had entire back pain, including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I preferred Dr. McCann's evidence regarding the lower back and hip to that of Dr. Schweigel or Dr. Anton. Dr. McCann's conclusion that the soft tissue injury was moderate fits with the rest of the evidence at trial. He carefully considered the fact that there appeared to be a delay in reporting of some of the pain - the low back and the right hip and right leg pain - but he concluded that the most logical conclusion nonetheless was that the accident most likely caused those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There are two other possible explanations for the delayed documentation of Ms. Thorne's low back pain and right hip/leg pain: one is that Ms. Thorne is making up the pain; the other is that she suffered some other trauma after the accident, which she has deliberately not disclosed to the court. Neither explanation is at all likely.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Ms. Thorne was observed by many medical professionals, all of whom found evidence to support her complaints of low back and right hip/leg pain. Dr. McCann explained that Ms. Thorne would need a significant trauma to cause the tear revealed on the arthrogram. The prospect that simply washing floors or vacuuming might cause such a trauma is not realistic. I also find it unlikely that Ms. Thorne would have suffered some other accident and deliberately hidden it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Wickstrom was cross-examined on this hypothetical proposition: if a person is in an accident and their initial complaints relate to the neck, shoulder and thoracic spine, and then 30 days later or more they complain of lumbar spine pain, the lumbar spine pain would not normally be associated with the accident. Dr. Wickstrom strongly disagreed. She explained that the neck, spine, and lumbar vertebrae and thoracic vertebrae are all linked through ligament and muscle. Often when there is injury to one area of the spine, other areas adjust and problems can be seen later. As well, she noted that one significant injury can override other things going on in the body, due to pain pathways. She has often seen people come in with a new complaint one month after the accident, with no cause for the complaint other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Wickstrom's explanation for a patient's delay in reporting a pain complaint after an accident appears consistent with common sense. It is consistent with Dr. McCann's opinions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xml:space="preserve">  The Supreme Court of Canada reminds us that the "but for" causation test "must be applied in a robust common sense fashion": </w:t>
      </w:r>
      <w:r>
        <w:rPr>
          <w:rFonts w:ascii="arial" w:eastAsia="arial" w:hAnsi="arial" w:cs="arial"/>
          <w:i/>
          <w:color w:val="000000"/>
          <w:sz w:val="20"/>
          <w:lang w:val="en-US" w:eastAsia="en-US" w:bidi="ar-SA"/>
        </w:rPr>
        <w:t>Clements</w:t>
      </w:r>
      <w:r>
        <w:rPr>
          <w:rFonts w:ascii="arial" w:eastAsia="arial" w:hAnsi="arial" w:cs="arial"/>
          <w:color w:val="000000"/>
          <w:sz w:val="20"/>
          <w:lang w:val="en-US" w:eastAsia="en-US" w:bidi="ar-SA"/>
        </w:rPr>
        <w:t xml:space="preserve"> at para. 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I conclude that it is most likely that the accident did cause injuries to Ms. Thorne's low back and right hip and right leg area, causing her the pain and weakness that has continued to plague her since. But for the accident, it is likely that she would not have suffered these injuries.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Causation: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Ms. Thorne's evidence portrayed a deteriorating emotional state following the accident. She tried several different forms of therapy and exercise to try to get better. She continued to work despite her discomfort. She was frustrated that she could not get better. It would be fair to describe Ms. Thorne as being quite miserable. She became very short-tempered and irritable at her husband and children and began to retreat from others.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Lynne Zettl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Zettl diagnosed Ms. Thorne as suffering from PTSD and mild Major Depressive Disorder. She reports there was no prior history of these disorders and it is her opinion that they were caused by the September 8, 2006 motor vehicle accident and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Dr. Zettl observed that Ms. Thorne deals with her symptoms instinctively by withdrawing from activity and contact.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Zettl was also of the view that Ms. Thorne suffered from post-concussion disorder for at least two years post-accident, but the bulk of these symptoms had resolved by the time she saw Ms. Thorne. She bases this on Ms. Thorne's reports of having balance issues, dizziness, feeling that she was "in a fog", and having a difficult time organizing and planning.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The defendant points out that none of Ms. Thorne's treating physicians diagnosed her with concussion.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Dr. Zettl addressed the fact that Ms. Thorne did not wish to pursue taking anti-depressant medications. Dr. Zettl reviewed the fact that Ms. Thorne had discussions with her physician regarding these and her physician agreed with her decision. Dr. Zettl commented that new research shows that daily exercise and psychotherapy are more effective than antidepressants to deal with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There are some potential weaknesses with Dr. Zettl's opinion, including the fact that she had to rely on the plaintiff's reported symptoms. However, I found that the plaintiff's presentation in court and description of her symptoms over time closely matched the symptoms described by Dr. Zettl.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Another potential limitation of Dr. Zettl's opinion is that she appeared not to be aware of the extent of Ms. Thorne's current recreational activities. For example, she wrote that Ms. Thorne tries to golf nine holes with her husband once every two weeks in the summer. In fact, Ms. Thorne testified that last summer she golfed eighteen holes approximately once per week with her husband, although using a riding golf cart which she did not need to use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I do not find this very significant. Ms. Thorne's sister-in-law described Ms. Thorne as having changed after the accident, so that she now moves her body as though she is elderly. There are people in their 80's who golf. There is no evidence to suggest that Ms. Thorne is a competitive golfer with an aggressive or extremely physical golf swing.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Ms. Thorne struck me as a very reliable witness, who was not attempting to exaggerate her claims in this case. Her family physician is aware of how much Ms. Thorne has golfed with her husband. I consider the fact that Dr. Zettl was unaware of the extent of the golfing activity to be simply a result of a misunderstanding in communications between Ms. Thorne and Dr. Zettl.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Dr. Kevin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Dr. Solomons is a psychiatrist who at the request of the defendant performed an independent medical examination on the plaintiff on August 16, 2012. He provided an opinion report dated October 5, 2012 and testified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Much of his evidence confirms the plaintiff's evidence as to her problems with mood post-accident. However he applies a different diagnosis than Dr. Zettl. In Dr. Solomons' opinion, the accident was not severe enough to cause PTSD nor does Ms. Thorne meet the criteria for Major Depressive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Dr. Solomons agreed that Ms. Thorne suffers from mechanically based chronic pain, as opposed to a psychiatric pain disorder.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In Dr. Solomons' opinion, Ms. Thorne's chronic pain following the accident caused her to experience stress. In his opinion the diagnosis best fitting her symptoms is "Adjustment Disorder with Mixed Anxiety and Depressed Mood, secondary with pain". In Dr. Solomons' opinion: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symptoms were of a moderate degree and did not impair her occupational functioning. They may have had an impact on her domestic and recreational functioning, although the primary impact on these aspects of her functioning was the pain itself. Though her emotional symptoms may have caused or contributed to difficulties in her relational functioning (which she described as strained) following the accident, she reported to me that her relationships have now returned to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It strikes me as relatively insignificant what label one uses to describe what Ms. Thorne went through emotionally after the accident, if one concludes that the accident caused this emotional suffering. If, as Dr. Solomons notes, the accident caused the chronic pain, then the emotional suffering was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I am satisfied on the evidence that but for the accident and its after-effects including the pain from her injuries, Ms. Thorne would not have suffered the deterioration in mood that she experienced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Diagnosis and Prognosis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I will now address the current diagnosis and prognosis for Ms. Thorne in respect of the same three areas: her upper body; her lower body; and her mood.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Upper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Dr. McCann's opinion is that Ms. Thorne's neck and posterior scapular pain and discomfort, caused by the accident, lasted until approximately 2011. It now is intermittent but is aggravated by more extreme tasks.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Dr. Wickstrom prepared a report dated December 12, 2012, in which she reviewed each of Ms. Thorne's reported injuries and the course of these injuries over the years. With respect to neck pain, Dr. Wickstrom wrote that it started after the accident and continued "really up until approximately a year ago with intermittent pains and limitation in range of motion". Dr. Wickstrom explained at trial that her intention was to indicate that the neck pain had improved but had not completely resolved.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Dr. Wickstrom was aware that Ms. Thorne was golfing, using a cart, and was running on a treadmill approximately three times per week. She was aware of this when she wrote her report of December 12, 2012, stating that the injuries have resulted in significant limitations in Ms. Thorne's personal life. Dr. Wickstrom commented in cross-examination that the exercises including golf that Ms. Thorne does help her emotionally because she enjoys it, and they will not cause her further damage. At one point, Dr. Wickstrom did advise Ms. Thorne to stop running but Ms. Thorne reported back feeling stiff and feeling more pain, and that movement was good for her.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Right Lower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The symptoms in Ms. Thorne's lower body have turned out to be more significant and limiting to her than her initial upper back, neck and shoulder complaints.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Since her right hip symptoms have lasted over 5 years, it was Dr. McCann's opinion in 2011 that Ms. Thorne has probably reached the maximum recovery she is going to reach. In other words, it is likely that her symptoms will continue.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Dr. McCann noted two additional treatments that may help Ms. Thorne. He thought that she might be able to obtain some relief from prolotherapy. This is a therapy which injects a sugar based solution into the ligament to speed up recovery. As it turns out, she has had some relief from that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As well, in relation to her lower back pain, which Dr. McCann feels is mechanical in nature coming from the soft tissue structures in the lumbar spine, Dr. McCann felt that if it worsens she may be a candidate in the future for a right L5-S1 medial facet rhizotomy. The relief that might be provided by that type of surgery is variable, and usually only provides temporary relief as well. He felt that it was reasonable for the patient to instead continue to try to manage her pain through her lifestyle.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After her counselling with Dr. Zettl, the cloud over Ms. Thorne has lifted.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As Ms. Thorne described it, she feels currently that she still needs emotional improvement but she is not in the same dark place as she was before. She does not feel back to normal, but feels that she is on the mend and if she can continue counselling she can help deal with her stress and anxiety levels and stay on a more even keel. She explained when she is dealing with a lot of pain it raises her stress and anxiety levels.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Lynne Zettl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Dr. Zettl's opinion is that Ms. Thorne's PTSD is resolving, but she is vulnerable to having symptoms increase in severity and frequency under stress and without treatment of ongoing chronic pain. In her opinion, Ms. Thorne's chronic pain keeps her PTSD and depression from resolving completely.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Zettl noted that Ms. Thorne is likely to have continuing limitations in her participation in her personal relationships with her husband and her children, and will not have the energy to participate in them at the same level as pre-accident. As well, she will be unable to do all the recreational activities she previously enjoyed without exacerbating her pain level from a 4/10 to an 8/10. She will not have the capacity to deal with increased stress and change in her employment, and will require flexibility and a variety of movement and activity so she can deal with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Dr. Zettl recommended that Ms. Thorne continue in psychotherapy twice per month for the next two years, and then on an ongoing monthly basis. However, Ms. Thorne did not find it necessary to follow this recommendation over the past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In the last approximately one year, Ms. Thorne is no longer seeing Dr. Zettl, but continues to see Ms. Vinge, the physiotherapist. While Ms. Vinge has had some counselling training, she does not hold herself out as a counsellor. Nevertheless, Ms. Thorne does find that seeing Ms. Vinge regularly helps her mood.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Dr. Kevin Solomons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Dr. Solomons credits Ms. Thorne's counselling with Dr. Zettl as alleviating much of the emotional sequelae of her pain. He considers that it was reasonable for her to receive this counselling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I note that even if one was to disagree with Dr. Zettl's diagnosis, she must have had some understanding of Ms. Thorne's symptoms to be able to treat her as successfully as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As for prognosis and future care needs, Dr. Solomons disagrees with Dr. Zettl's opinion as to the quantity of future psychological treatment that Ms. Thorne may need. However, he agrees with Dr. Zettl that Ms. Thorne is vulnerable to relapse under stress or change.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Dr. Solomons thinks that Ms. Thorne will likely continue to find ongoing pain to be stressful. He noted that she may relapse from time to time in her ability to cope, in which case in his opinion a short course of 6 to 12 counselling sessions will likely restore her coping abilities. He estimated the cost of such sessions may range between $150 to $200 per session. He acknowledged in cross-examination that it is difficult to predict how many times this assistance might be needed by Ms. Thorne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I turn now to the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 plaintiff incurred a large number of expenses in relation to medical treatments, totalling $30,255.48. Of this claim, approximately $8,615.00 relates to housekeeping services. I will consider this item separately. The majority of the claim relates to massage therapy, physiotherapy, and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There was no medical evidence to support the $290 spent for homeopathic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 plaintiff's claim includes a claim for the approximately $1,069.64 cost of attending yoga, which the plaintiff finds therapeutic. However, the plaintiff readily agreed in cross-examination that she attended yoga before the accident, and her expenses have not increased in this regard. She agreed that there is nothing new about the yoga expenses as a result of the accident. I conclude that even without the accident having occurred, Ms. Thorne would have incurred these expenses. She is therefore not entitled to compensation for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Ms. Thorne was encouraged by her family doctor to continue the various massage, physiotherapy, and counselling treatments. She did not pursue treatment when she felt it was of no longer any benefit. I find that all of the other medical expenses were reasonably and necessarily incurred to treat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I note that there was no spike in treatment following Ms. Thorne's 2011 accident. I find that all of the claims relating to her treatment expenses relate to the accident at issue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treatment costs, when the housekeeping, homeopathic, and yoga expenses are deducted, add up to $20,280.84. On top of this I would add the approximately $100 spent on prescriptions, for a total of $20,380.84.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In addition, Ms. Thorne claims approximately $2,010 relating to mileage to attend the various appointments. I acknowledge that some fuel expense was incurred, but some of these trips to appointments were also combined trips for errands. I would assess $1,000 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addition, Ms. Thorne makes a claim for the costs of re-training, namely a Certified Educational Assistant ("CEA") course which cost her $3,442.50. Dr. Anton's opinion was that it was "medically reasonable" for Ms. Thorne to change jobs, if her descriptions of pain and workplace exacerbating factors were accurate. I accept her evidence that she chose to take training as a CEA and to change jobs because she felt it would mean that she would not have to remain in a single position for long periods of time and that this would be better for her to manage her pain. While there are physical aspects of her new job, she is better able to manage them than she was able to manage the physical aspects of her position as a dental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Furthermore, choosing to train as a CEA was a way for Ms. Thorne to mitigate her damages: she might well have a higher past loss claim were it not for her effort to take this training after hours and then to switch careers once she was qualified. I therefore find that the expense she incurred in taking the CEA training was reasonable and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I award the plaintiff $24,823 in total as special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order to assess the plaintiff's claims in relation to loss of earning capacity, it is necessary to review her work history and career plans before and after the accident, and determine whether or not her injuries impose some limitations on her ability to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There are two arguments advanced by the plaintiff's counsel:</w:t>
      </w:r>
      <w:r>
        <w:rPr>
          <w:rFonts w:ascii="arial" w:eastAsia="arial" w:hAnsi="arial" w:cs="arial"/>
          <w:sz w:val="20"/>
          <w:lang w:val="en-US" w:eastAsia="en-US" w:bidi="ar-SA"/>
        </w:rPr>
        <w:cr/>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Thorne would have worked more hours for more pay than she did work, prior to trial, but for the accident; and,</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Ms. Thorne would have worked more hours for more pay in the future than she is now capable of working, but for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plaintiff's counsel bases both theories on the premise that but for the accident, the plaintiff would have taken one year off work in 2010 to train as a dental hygienist, after which she would have worked as a dental hygienist earning $80,000 per year. On this theory, the plaintiff's injuries limited her to working as a CEA earning approximately $22,000 per year plus Employment Insurance benefits during the summers, bringing her total earnings to around $25,000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The defendant argues that the plaintiff has in fact suffered no loss of earning capacity, past or future. The plaintiff's employment income has risen since the accident, with the plaintiff moving from her work 2 days a week as a dental assistant, to her work as a CEA, working part of 5 days per week during the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note that I did not find the medical opinions relating to work tolerance helpful in that the physicians largely relied on Ms. Thorne's reports as to how many hours she was able to tolerate due to pain. This was not a case where there were occupational assessments performed or expert opinions as to Ms. Thorne's functional 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Also, there were changes in the hours that Ms. Thorne worked from year to year as a CEA and I was left with the sense that the physicians may have been confused as to what year was being talked about when they made their notes. Furthermore, the evidence did not clarify the use of terminology: ordinarily full-time work means working 35 to 40 hours per week; but at times "full-time" was used to refer to 25 hours per week as a CEA. I therefore have no confidence as to what a particular physician may have meant when referring to Ms. Thorne working or not working full-time.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 am of the view that I am equally able to judge Ms. Thorne's evidence as to her ability to work, and the comments in medical opinions on this point are therefore of little weight.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Future Plans to Become a Dental Hygienist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Prior to the accident, Ms. Thorne was working 2 days per week in her employment as a dental assistant. She still had two young children at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Ms. Thorne testified that her plan was to increase her work hours, over time, starting when her youngest daughter reached 10 years old, which would be in 2010. Initially, in 2006, she wanted to increase her hours at her then current employer to three days per week, and had plans to apply for part-time work as a receptionist in September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Ms. Thorne testified that before the accident she wished to become a dental hygienist. She understood that she could use some of her dental assistant training as credits. Working in that capacity, she expected she would more than double the hourly rate she was earning as a dental assistant.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A dental hygienist was called as a witness to testify as to her hourly rate. Indeed, she earns roughly double the hourly rate that the plaintiff was earning as a dental assistant, and typically full-time work is 38 hours per week. However, this witness agreed that there are many more institutions now training dental hygienists, and the competition for jobs has increased in the last couple of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Unfortunately there was not enough evidence on this prospect to persuade me that it was ever a reasonable possibility that Ms. Thorne would take the dental hygienist training and obtain employment in that field. In 2010, when she would have started to consider this option, she would have been 48 years 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The evidence of Ms. Thorne and her husband suggests that the nearest institutions offering dental hygienist courses were based in either Prince George or Vancouver. Ms. Thorne testified that she planned to pursue this career in 2010, by spending a couple of years taking courses online, and then attending a final year on-site in Vancouver. I note that this would have meant that she would be finishing up her dental hygienist training sometime in 2013, when she was age 50 or 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The defence points out that Ms. Thorne had other goals that were not necessarily consistent with becoming a dental hygienist. Ms. Thorne had worked as a dental assistant and receptionist since 1983 without taking concrete steps to become a dental hygienist. In 2006 she was taking a course to be able to assist at an orthodontist's office.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There was no evidence as to how Ms. Thorne intended to juggle her family responsibilities with attending dental hygienist training in a long-distance location. Her daughters are still young and in school, and she is the primary person taking care of them and the household.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There was also no evidence as to how long Ms. Thorne might expect to be unemployed if she were to pursue this option, beyond the one year attending school in Vancouver.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I do not doubt the notion that becoming a dental hygienist was a dream of Ms. Thorne's. However, I cannot but conclude that other life events -- marriage, raising children -- and not the accident, would have equally interfered with this dream being achieved. Without more information showing that she had researched the requirements of a dental hygienist and had more of an established plan to pursue that goal, I am not able to conclude that becoming a dental hygienist was a realistic possibility nor that the claim for loss of earning capacity should be premised on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Limitations at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Ms. Thorne testified that, following the accident, she found it increasingly difficult to perform her job duties as a dental assistant. She found that her job required her to sit for long periods of time, and this was difficult for her hip and back. She also found the reaching position, where she would hand instruments to a dentist from a seated position, to be hard on her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She also feels that her shoulder injury contributed to her failing a typing test in September 2006, which she needed to pass in order to qualify to be a receptionist at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On her own initiative, because of her assessment that she needed a job where she could move around and shift positions rather than sitting or standing for too long at a time, she decided to pursue training as a CEA. She pursued this training, taking a night and weekend course beginning in September 2007 and ending in June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The defendant made much of a report by Dr. McCann in his consult report to Dr. Wickstrom dated October 2, 2008. In that report, he wrote that Ms. Thorne "finds standing is her most painful position". However, in a later report, Dr. McCann wrote that Ms. Thorne found sitting to be the most difficult position. This suggests he may have made a mistake in one of his reports. But he also noted that she found prolonged sitting and prolonged standing to be difficult. In my view, none of this is inconsistent with Ms. Thorne's evidence that she feels the need to move around to avoid worsening her pain and stiffness.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Dr. Wickstrom corroborated Ms. Thorne's evidence that she reported having problems in her dental assistant employment because she had to sit and lean forward in a position that aggravated her pain. Although normally this hearsay evidence is not admissible to bolster a plaintiff's credibility, to the extent there is a suggestion that Ms. Thorne may have been changing her story over time, this evidence is consistent with her evidence at trial that she was having difficulties at the time she was seeing Dr. Wickstrom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Eventually Ms. Thorne left her job as a dental assistant for employment as a CEA, towards the end of 2008. I have already noted that I accept Ms. Thorne's evidence that the reason she made this career change is that she thought she could manage it better than employment as a dental assistant or receptionist, due to her pain in sitting for prolonged periods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229</w:t>
      </w:r>
      <w:r>
        <w:rPr>
          <w:rFonts w:ascii="arial" w:eastAsia="arial" w:hAnsi="arial" w:cs="arial"/>
          <w:color w:val="000000"/>
          <w:sz w:val="20"/>
          <w:lang w:val="en-US" w:eastAsia="en-US" w:bidi="ar-SA"/>
        </w:rPr>
        <w:t>  As a CEA, Ms. Thorne is able to work more hours than she had as a dental assistant, and to earn more per hour. She is also able to be home from work to be involved with her children coming home from school, and has summer and school holidays off work as well, which is something she regards as beneficial.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230</w:t>
      </w:r>
      <w:r>
        <w:rPr>
          <w:rFonts w:ascii="arial" w:eastAsia="arial" w:hAnsi="arial" w:cs="arial"/>
          <w:color w:val="000000"/>
          <w:sz w:val="20"/>
          <w:lang w:val="en-US" w:eastAsia="en-US" w:bidi="ar-SA"/>
        </w:rPr>
        <w:t>  She is very good at her job as a CEA, according to the person who supervises her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231</w:t>
      </w:r>
      <w:r>
        <w:rPr>
          <w:rFonts w:ascii="arial" w:eastAsia="arial" w:hAnsi="arial" w:cs="arial"/>
          <w:color w:val="000000"/>
          <w:sz w:val="20"/>
          <w:lang w:val="en-US" w:eastAsia="en-US" w:bidi="ar-SA"/>
        </w:rPr>
        <w:t>  Ms. Thorne has never lost days of work because of her injuries. Her employment income after the accident is more than it was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232</w:t>
      </w:r>
      <w:r>
        <w:rPr>
          <w:rFonts w:ascii="arial" w:eastAsia="arial" w:hAnsi="arial" w:cs="arial"/>
          <w:color w:val="000000"/>
          <w:sz w:val="20"/>
          <w:lang w:val="en-US" w:eastAsia="en-US" w:bidi="ar-SA"/>
        </w:rPr>
        <w:t>  I accept the thrust of Ms. Thorne's evidence that prior to the accident, her long-term plan was to increase her employment once her youngest daughter turned 10 years old, in 2010, starting gradually. Unfortunately, this is difficult to quantify. But even before 2010, as early as 2009, Ms. Thorne did in fact increase her hours of work. From 2009 to present, she has worked in the range of 20 hours to 25 per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233</w:t>
      </w:r>
      <w:r>
        <w:rPr>
          <w:rFonts w:ascii="arial" w:eastAsia="arial" w:hAnsi="arial" w:cs="arial"/>
          <w:color w:val="000000"/>
          <w:sz w:val="20"/>
          <w:lang w:val="en-US" w:eastAsia="en-US" w:bidi="ar-SA"/>
        </w:rPr>
        <w:t>  Ms. Thorne's evidence was that she turned down opportunities to work "full-time" as a CEA and instead chose to accept "part-time" work in the 2010-2011 school year when offered a position at a middle school. There is a difference between 25 "full-time" hours and 20 part-time hours, i.e. approximately 5 hours extra per week for "full-time" work, earning approximately $21/hour. Her evidence was that she felt that in the prior year working the greater hours had been too difficult for her with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234</w:t>
      </w:r>
      <w:r>
        <w:rPr>
          <w:rFonts w:ascii="arial" w:eastAsia="arial" w:hAnsi="arial" w:cs="arial"/>
          <w:color w:val="000000"/>
          <w:sz w:val="20"/>
          <w:lang w:val="en-US" w:eastAsia="en-US" w:bidi="ar-SA"/>
        </w:rPr>
        <w:t>  Ms. Thorne's evidence was that in the 2011-2012 school year she again accepted a "full-time"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235</w:t>
      </w:r>
      <w:r>
        <w:rPr>
          <w:rFonts w:ascii="arial" w:eastAsia="arial" w:hAnsi="arial" w:cs="arial"/>
          <w:color w:val="000000"/>
          <w:sz w:val="20"/>
          <w:lang w:val="en-US" w:eastAsia="en-US" w:bidi="ar-SA"/>
        </w:rPr>
        <w:t>  However, Ms. Thorne's evidence was that in the current school year, 2012-2013, she is working 20 hours per week as a CEA, and an additional 2.5 hours per week as a supervisor of children during breaks (it was unclear to me whether this is recess or lunch breaks). The latter position pays slightly less than the former. Her evidence suggested that she had been offered more hours, as a "full-time" position caring for the same child she currently assists, but she felt too limited by pain to take on that position. On my calculations, the difference in hours works out at most in the range of $3,000 or $4,000 per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236</w:t>
      </w:r>
      <w:r>
        <w:rPr>
          <w:rFonts w:ascii="arial" w:eastAsia="arial" w:hAnsi="arial" w:cs="arial"/>
          <w:color w:val="000000"/>
          <w:sz w:val="20"/>
          <w:lang w:val="en-US" w:eastAsia="en-US" w:bidi="ar-SA"/>
        </w:rPr>
        <w:t>  The defendant argues that Ms. Thorne's evidence that she turned down longer hours this school year was contradicted by another witness, Kayla Ashman, the person who assigns these contracts in the school district. Ms. Ashman testified that the school district did not want a single person looking after the child who Ms. Thorne currently assists, but instead wished to assign the child between two different CEAs.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237</w:t>
      </w:r>
      <w:r>
        <w:rPr>
          <w:rFonts w:ascii="arial" w:eastAsia="arial" w:hAnsi="arial" w:cs="arial"/>
          <w:color w:val="000000"/>
          <w:sz w:val="20"/>
          <w:lang w:val="en-US" w:eastAsia="en-US" w:bidi="ar-SA"/>
        </w:rPr>
        <w:t>  I am not convinced there was a contradiction between these two witnesses as opposed to some other explanation. Ms. Thorne was never challenged on her evidence that she deliberately declined working more hours during the current school year (2012-2013) because of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238</w:t>
      </w:r>
      <w:r>
        <w:rPr>
          <w:rFonts w:ascii="arial" w:eastAsia="arial" w:hAnsi="arial" w:cs="arial"/>
          <w:color w:val="000000"/>
          <w:sz w:val="20"/>
          <w:lang w:val="en-US" w:eastAsia="en-US" w:bidi="ar-SA"/>
        </w:rPr>
        <w:t>  In Ms. Thorne's employment as a CEA, she is able to move around more frequently than if she had a desk-job. However, there are still physical aspects to the work. At times she may have to manage or assist a large child.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239</w:t>
      </w:r>
      <w:r>
        <w:rPr>
          <w:rFonts w:ascii="arial" w:eastAsia="arial" w:hAnsi="arial" w:cs="arial"/>
          <w:color w:val="000000"/>
          <w:sz w:val="20"/>
          <w:lang w:val="en-US" w:eastAsia="en-US" w:bidi="ar-SA"/>
        </w:rPr>
        <w:t>  Craig Washburn is a CEA who has worked at the same school as Ms. Thorne. He first met her in the 2011-2012 school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240</w:t>
      </w:r>
      <w:r>
        <w:rPr>
          <w:rFonts w:ascii="arial" w:eastAsia="arial" w:hAnsi="arial" w:cs="arial"/>
          <w:color w:val="000000"/>
          <w:sz w:val="20"/>
          <w:lang w:val="en-US" w:eastAsia="en-US" w:bidi="ar-SA"/>
        </w:rPr>
        <w:t>  He confirmed that from his observations, Ms. Thorne appeared to have a sore back. For example, she had difficulty getting up off the floor or from a bending over position, at times. As well, he noticed her putting her hand behind her back to rest on her right lower back and right hip, seeming to indicate soreness. He also observed that she is uncomfortable sitting or standing for a long period of time and so liked to change positions often during the day. For example, she may stand for part of a school assembly rather than remaining seated the whole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241</w:t>
      </w:r>
      <w:r>
        <w:rPr>
          <w:rFonts w:ascii="arial" w:eastAsia="arial" w:hAnsi="arial" w:cs="arial"/>
          <w:color w:val="000000"/>
          <w:sz w:val="20"/>
          <w:lang w:val="en-US" w:eastAsia="en-US" w:bidi="ar-SA"/>
        </w:rPr>
        <w:t>  Ms. Ashman is a resource teacher at the school district where Ms. Thorne works. She described Ms. Thorne as one of her best CEAs and as being great with kids.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242</w:t>
      </w:r>
      <w:r>
        <w:rPr>
          <w:rFonts w:ascii="arial" w:eastAsia="arial" w:hAnsi="arial" w:cs="arial"/>
          <w:color w:val="000000"/>
          <w:sz w:val="20"/>
          <w:lang w:val="en-US" w:eastAsia="en-US" w:bidi="ar-SA"/>
        </w:rPr>
        <w:t>  Ms. Ashman identified that the CEAs employed by her school district must be capable of performing all physical aspects of the job. The job can be sometimes physically demanding depending on the student assigned to the CEA.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243</w:t>
      </w:r>
      <w:r>
        <w:rPr>
          <w:rFonts w:ascii="arial" w:eastAsia="arial" w:hAnsi="arial" w:cs="arial"/>
          <w:color w:val="000000"/>
          <w:sz w:val="20"/>
          <w:lang w:val="en-US" w:eastAsia="en-US" w:bidi="ar-SA"/>
        </w:rPr>
        <w:t>  Ms. Ashman did note that the school at times provides some accommodation for Ms. Thorne. For example, Ms. Ashman noticed that it was difficult for Ms. Thorne to get up off the floor. Since she was first assisting with a kindergarten student, Ms. Ashman spoke to the school's occupational therapist and had a stool provided to assist Ms. Thorne.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244</w:t>
      </w:r>
      <w:r>
        <w:rPr>
          <w:rFonts w:ascii="arial" w:eastAsia="arial" w:hAnsi="arial" w:cs="arial"/>
          <w:color w:val="000000"/>
          <w:sz w:val="20"/>
          <w:lang w:val="en-US" w:eastAsia="en-US" w:bidi="ar-SA"/>
        </w:rPr>
        <w:t>  I accept Ms Thorne's evidence that since the accident, she has found that her pain increases when she works longer hours.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245</w:t>
      </w:r>
      <w:r>
        <w:rPr>
          <w:rFonts w:ascii="arial" w:eastAsia="arial" w:hAnsi="arial" w:cs="arial"/>
          <w:color w:val="000000"/>
          <w:sz w:val="20"/>
          <w:lang w:val="en-US" w:eastAsia="en-US" w:bidi="ar-SA"/>
        </w:rPr>
        <w:t>  With respect to pre-trial loss of earning capacity, the question is whether, but for the accident, there is a real possibility that Ms. Thorne would have sought and obtained employment that provided more hours or more pay than she actually did obtain pre-trial. I find there is a substantial possibility that she would have done so were it not for the pain she suffers due to her injuries caused by the accident. However, I must also take into account the possibility that she would only have increased her hours modestly, given that she still had two children who were at home after school hours, and the strong chance that she would have chosen employment that allowed her to continue to be the primary caregiver in the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246</w:t>
      </w:r>
      <w:r>
        <w:rPr>
          <w:rFonts w:ascii="arial" w:eastAsia="arial" w:hAnsi="arial" w:cs="arial"/>
          <w:color w:val="000000"/>
          <w:sz w:val="20"/>
          <w:lang w:val="en-US" w:eastAsia="en-US" w:bidi="ar-SA"/>
        </w:rPr>
        <w:t>  As for future loss of earning capacity, the same question applies: but for the accident, is there a real possibility that Ms. Thorne would have sought and obtained employment that would provide more hours or more pay than she actually will obtain now that she is coping with injuries and pain? I find that there is such a real possibility that Ms. Thorne would have been able to increase her employment hours and earnings over time as her children got older and especially once her children finished high school.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247</w:t>
      </w:r>
      <w:r>
        <w:rPr>
          <w:rFonts w:ascii="arial" w:eastAsia="arial" w:hAnsi="arial" w:cs="arial"/>
          <w:color w:val="000000"/>
          <w:sz w:val="20"/>
          <w:lang w:val="en-US" w:eastAsia="en-US" w:bidi="ar-SA"/>
        </w:rPr>
        <w:t>  There is no easy way to assess Ms. Thorne's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248</w:t>
      </w:r>
      <w:r>
        <w:rPr>
          <w:rFonts w:ascii="arial" w:eastAsia="arial" w:hAnsi="arial" w:cs="arial"/>
          <w:color w:val="000000"/>
          <w:sz w:val="20"/>
          <w:lang w:val="en-US" w:eastAsia="en-US" w:bidi="ar-SA"/>
        </w:rPr>
        <w:t>  The evidence in this case does not support performing the type of calculations advanced by plaintiff's counsel - comparing a dental hygienist's income to the actual income being earned by the plaintiff now, and projecting it forward to age 65. I note that the plaintiff's counsel has not suggested any contingencies or present value calculations that would be applied to such an approach, leaving such adjustments to the court's imagination.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249</w:t>
      </w:r>
      <w:r>
        <w:rPr>
          <w:rFonts w:ascii="arial" w:eastAsia="arial" w:hAnsi="arial" w:cs="arial"/>
          <w:color w:val="000000"/>
          <w:sz w:val="20"/>
          <w:lang w:val="en-US" w:eastAsia="en-US" w:bidi="ar-SA"/>
        </w:rPr>
        <w:t>  I find that Ms. Thorne's injuries have left her with less stamina to work and made her somewhat less attractive to future employers. On the other hand, her injuries have not prevented her from working. The possibility that the injuries have caused her to suffer some limits in her working capacity must be partially discounted by the possibility that she would not have pursued a full spectrum of employment options given her prior work history, her age, and the ages of her children. The possibility that her limitations are becoming more manageable with her treatment must also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250</w:t>
      </w:r>
      <w:r>
        <w:rPr>
          <w:rFonts w:ascii="arial" w:eastAsia="arial" w:hAnsi="arial" w:cs="arial"/>
          <w:color w:val="000000"/>
          <w:sz w:val="20"/>
          <w:lang w:val="en-US" w:eastAsia="en-US" w:bidi="ar-SA"/>
        </w:rPr>
        <w:t xml:space="preserve">  It seems to me the most appropriate approach is to consider the plaintiff's loss as similar to the impairment of a capital asset, as discussed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251</w:t>
      </w:r>
      <w:r>
        <w:rPr>
          <w:rFonts w:ascii="arial" w:eastAsia="arial" w:hAnsi="arial" w:cs="arial"/>
          <w:color w:val="000000"/>
          <w:sz w:val="20"/>
          <w:lang w:val="en-US" w:eastAsia="en-US" w:bidi="ar-SA"/>
        </w:rPr>
        <w:t>  On this basis, I assess Ms. Thorne's total loss of past and future earning capacity as $40,000.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Future Care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252</w:t>
      </w:r>
      <w:r>
        <w:rPr>
          <w:rFonts w:ascii="arial" w:eastAsia="arial" w:hAnsi="arial" w:cs="arial"/>
          <w:color w:val="000000"/>
          <w:sz w:val="20"/>
          <w:lang w:val="en-US" w:eastAsia="en-US" w:bidi="ar-SA"/>
        </w:rPr>
        <w:t>  The plaintiff seeks compensation for the following future expenses:</w:t>
      </w:r>
      <w:r>
        <w:rPr>
          <w:rFonts w:ascii="arial" w:eastAsia="arial" w:hAnsi="arial" w:cs="arial"/>
          <w:sz w:val="20"/>
          <w:lang w:val="en-US" w:eastAsia="en-US" w:bidi="ar-SA"/>
        </w:rPr>
        <w:cr/>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physiotherapy, massage therapy, or other forms of therapy such as chiropractic;</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counselling for mood and pain coping; and</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housekeeping assistance. I will address this expense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253</w:t>
      </w:r>
      <w:r>
        <w:rPr>
          <w:rFonts w:ascii="arial" w:eastAsia="arial" w:hAnsi="arial" w:cs="arial"/>
          <w:color w:val="000000"/>
          <w:sz w:val="20"/>
          <w:lang w:val="en-US" w:eastAsia="en-US" w:bidi="ar-SA"/>
        </w:rPr>
        <w:t xml:space="preserve">  The defendant argues the proposition that common sense must govern claims of this nature, citing </w:t>
      </w:r>
      <w:r>
        <w:rPr>
          <w:rFonts w:ascii="arial" w:eastAsia="arial" w:hAnsi="arial" w:cs="arial"/>
          <w:i/>
          <w:color w:val="000000"/>
          <w:sz w:val="20"/>
          <w:lang w:val="en-US" w:eastAsia="en-US" w:bidi="ar-SA"/>
        </w:rPr>
        <w:t>Penner v. Insurance Corporation of British Columbia</w:t>
      </w:r>
      <w:r>
        <w:rPr>
          <w:rFonts w:ascii="arial" w:eastAsia="arial" w:hAnsi="arial" w:cs="arial"/>
          <w:color w:val="000000"/>
          <w:sz w:val="20"/>
          <w:lang w:val="en-US" w:eastAsia="en-US" w:bidi="ar-SA"/>
        </w:rPr>
        <w:t xml:space="preserve">, </w:t>
      </w:r>
      <w:hyperlink r:id="rId635" w:history="1">
        <w:r>
          <w:rPr>
            <w:rFonts w:ascii="arial" w:eastAsia="arial" w:hAnsi="arial" w:cs="arial"/>
            <w:i/>
            <w:color w:val="0077CC"/>
            <w:sz w:val="20"/>
            <w:u w:val="single"/>
            <w:shd w:val="clear" w:color="auto" w:fill="FFFFFF"/>
            <w:lang w:val="en-US" w:eastAsia="en-US" w:bidi="ar-SA"/>
          </w:rPr>
          <w:t>2011 BCCA 135</w:t>
        </w:r>
      </w:hyperlink>
      <w:r>
        <w:rPr>
          <w:rFonts w:ascii="arial" w:eastAsia="arial" w:hAnsi="arial" w:cs="arial"/>
          <w:color w:val="000000"/>
          <w:sz w:val="20"/>
          <w:lang w:val="en-US" w:eastAsia="en-US" w:bidi="ar-SA"/>
        </w:rPr>
        <w:t xml:space="preserve"> at para. 13, which cites </w:t>
      </w:r>
      <w:r>
        <w:rPr>
          <w:rFonts w:ascii="arial" w:eastAsia="arial" w:hAnsi="arial" w:cs="arial"/>
          <w:i/>
          <w:color w:val="000000"/>
          <w:sz w:val="20"/>
          <w:lang w:val="en-US" w:eastAsia="en-US" w:bidi="ar-SA"/>
        </w:rPr>
        <w:t>Travis v. Kwon</w:t>
      </w:r>
      <w:r>
        <w:rPr>
          <w:rFonts w:ascii="arial" w:eastAsia="arial" w:hAnsi="arial" w:cs="arial"/>
          <w:color w:val="000000"/>
          <w:sz w:val="20"/>
          <w:lang w:val="en-US" w:eastAsia="en-US" w:bidi="ar-SA"/>
        </w:rPr>
        <w:t xml:space="preserve">, </w:t>
      </w:r>
      <w:hyperlink r:id="rId636" w:history="1">
        <w:r>
          <w:rPr>
            <w:rFonts w:ascii="arial" w:eastAsia="arial" w:hAnsi="arial" w:cs="arial"/>
            <w:i/>
            <w:color w:val="0077CC"/>
            <w:sz w:val="20"/>
            <w:u w:val="single"/>
            <w:shd w:val="clear" w:color="auto" w:fill="FFFFFF"/>
            <w:lang w:val="en-US" w:eastAsia="en-US" w:bidi="ar-SA"/>
          </w:rPr>
          <w:t>2009 BCSC 63</w:t>
        </w:r>
      </w:hyperlink>
      <w:r>
        <w:rPr>
          <w:rFonts w:ascii="arial" w:eastAsia="arial" w:hAnsi="arial" w:cs="arial"/>
          <w:color w:val="000000"/>
          <w:sz w:val="20"/>
          <w:lang w:val="en-US" w:eastAsia="en-US" w:bidi="ar-SA"/>
        </w:rPr>
        <w:t xml:space="preserve"> at paras. 109-111.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254</w:t>
      </w:r>
      <w:r>
        <w:rPr>
          <w:rFonts w:ascii="arial" w:eastAsia="arial" w:hAnsi="arial" w:cs="arial"/>
          <w:color w:val="000000"/>
          <w:sz w:val="20"/>
          <w:lang w:val="en-US" w:eastAsia="en-US" w:bidi="ar-SA"/>
        </w:rPr>
        <w:t>  I agree with the common sense proposition. However, I note that the present case is not like the cited cases, in that here the plaintiff has not hired an expert who has put forward a laundry-list of every possible item that will be needed in the future, including small items like cold packs or dusters. Rather, the plaintiff has been sensible in her approach of explaining honestly what she has been through in the last several years, and predicting that some of these expenses are likely to continue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255</w:t>
      </w:r>
      <w:r>
        <w:rPr>
          <w:rFonts w:ascii="arial" w:eastAsia="arial" w:hAnsi="arial" w:cs="arial"/>
          <w:color w:val="000000"/>
          <w:sz w:val="20"/>
          <w:lang w:val="en-US" w:eastAsia="en-US" w:bidi="ar-SA"/>
        </w:rPr>
        <w:t>  Over the course of the approximately 7 years since the accident, the plaintiff has spent approximately $3,500 per year on various therapies. Her efforts have been fruitful in that her symptoms have become more manageable, and so she is unlikely to need the same intensive level of therapy on a week-to-week basis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256</w:t>
      </w:r>
      <w:r>
        <w:rPr>
          <w:rFonts w:ascii="arial" w:eastAsia="arial" w:hAnsi="arial" w:cs="arial"/>
          <w:color w:val="000000"/>
          <w:sz w:val="20"/>
          <w:lang w:val="en-US" w:eastAsia="en-US" w:bidi="ar-SA"/>
        </w:rPr>
        <w:t>  Dr. Wickstrom, Ms. Thorne's family physician, is of the opinion that Ms. Thorne will continue to need physiotherapy, counseling, and chiropractic treatments. I accept the logic that if the plaintiff's injuries continue, which is likely, from time to time it will be medically necessary for her to receive some of these kinds of treatments, and she is entitled to an award for the cost of future care to reflect this.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257</w:t>
      </w:r>
      <w:r>
        <w:rPr>
          <w:rFonts w:ascii="arial" w:eastAsia="arial" w:hAnsi="arial" w:cs="arial"/>
          <w:color w:val="000000"/>
          <w:sz w:val="20"/>
          <w:lang w:val="en-US" w:eastAsia="en-US" w:bidi="ar-SA"/>
        </w:rPr>
        <w:t>  I do not accept she will need counselling to the full extent predicted by Dr. Zettl.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258</w:t>
      </w:r>
      <w:r>
        <w:rPr>
          <w:rFonts w:ascii="arial" w:eastAsia="arial" w:hAnsi="arial" w:cs="arial"/>
          <w:color w:val="000000"/>
          <w:sz w:val="20"/>
          <w:lang w:val="en-US" w:eastAsia="en-US" w:bidi="ar-SA"/>
        </w:rPr>
        <w:t>  I find that there is a real and substantial possibility that Ms. Thorne will need some ongoing therapies such as physiotherapy, massage therapy or occasional chiropractic therapy, as well as psychological counselling, to manage her ongoing pain and symptoms caused by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259</w:t>
      </w:r>
      <w:r>
        <w:rPr>
          <w:rFonts w:ascii="arial" w:eastAsia="arial" w:hAnsi="arial" w:cs="arial"/>
          <w:color w:val="000000"/>
          <w:sz w:val="20"/>
          <w:lang w:val="en-US" w:eastAsia="en-US" w:bidi="ar-SA"/>
        </w:rPr>
        <w:t>  It seems there is some likelihood that over time there will be less and less medical necessity for some number of the overall treatments, and these will become more of a tool for Ms. Thorne to obtain greater enjoyment of life. To the extent the latter is the case, the award of non-pecuniary damages will compensate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260</w:t>
      </w:r>
      <w:r>
        <w:rPr>
          <w:rFonts w:ascii="arial" w:eastAsia="arial" w:hAnsi="arial" w:cs="arial"/>
          <w:color w:val="000000"/>
          <w:sz w:val="20"/>
          <w:lang w:val="en-US" w:eastAsia="en-US" w:bidi="ar-SA"/>
        </w:rPr>
        <w:t>  I find that it is reasonable to assess Ms. Thorne damages for the cost of future treatments, whether physiotherapy, massage therapy, counselling, or other treatments to assist her in dealing with stiffness and pain, in the amount of $20,000.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Housekeeping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261</w:t>
      </w:r>
      <w:r>
        <w:rPr>
          <w:rFonts w:ascii="arial" w:eastAsia="arial" w:hAnsi="arial" w:cs="arial"/>
          <w:color w:val="000000"/>
          <w:sz w:val="20"/>
          <w:lang w:val="en-US" w:eastAsia="en-US" w:bidi="ar-SA"/>
        </w:rPr>
        <w:t>  The plaintiff claims past and future housekeeping expenses as part of the special expenses claim and the claim for the 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262</w:t>
      </w:r>
      <w:r>
        <w:rPr>
          <w:rFonts w:ascii="arial" w:eastAsia="arial" w:hAnsi="arial" w:cs="arial"/>
          <w:color w:val="000000"/>
          <w:sz w:val="20"/>
          <w:lang w:val="en-US" w:eastAsia="en-US" w:bidi="ar-SA"/>
        </w:rPr>
        <w:t>  Prior to the accident, Ms. Thorne performed the majority of interior housekeeping work in her household including cooking, cleaning, and laundry.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263</w:t>
      </w:r>
      <w:r>
        <w:rPr>
          <w:rFonts w:ascii="arial" w:eastAsia="arial" w:hAnsi="arial" w:cs="arial"/>
          <w:color w:val="000000"/>
          <w:sz w:val="20"/>
          <w:lang w:val="en-US" w:eastAsia="en-US" w:bidi="ar-SA"/>
        </w:rPr>
        <w:t>  After the accident, Ms. Thorne found that the heavier chores, such as washing floors and windows, scrubbing bathrooms, and vacuuming, were too painful for her to perform.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264</w:t>
      </w:r>
      <w:r>
        <w:rPr>
          <w:rFonts w:ascii="arial" w:eastAsia="arial" w:hAnsi="arial" w:cs="arial"/>
          <w:color w:val="000000"/>
          <w:sz w:val="20"/>
          <w:lang w:val="en-US" w:eastAsia="en-US" w:bidi="ar-SA"/>
        </w:rPr>
        <w:t>  Eventually she hired a housekeeper in February 2009, and she continues to hire that service twice per month. To date she has spent approximately $8,615.00 on these services.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265</w:t>
      </w:r>
      <w:r>
        <w:rPr>
          <w:rFonts w:ascii="arial" w:eastAsia="arial" w:hAnsi="arial" w:cs="arial"/>
          <w:color w:val="000000"/>
          <w:sz w:val="20"/>
          <w:lang w:val="en-US" w:eastAsia="en-US" w:bidi="ar-SA"/>
        </w:rPr>
        <w:t>  Ms. Thorne testified that she continues to need this assistance because the heavier chores are still too painful for her to perform. While her husband does some of the household work, mainly the outdoor yard work, his full-time job often takes him away from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266</w:t>
      </w:r>
      <w:r>
        <w:rPr>
          <w:rFonts w:ascii="arial" w:eastAsia="arial" w:hAnsi="arial" w:cs="arial"/>
          <w:color w:val="000000"/>
          <w:sz w:val="20"/>
          <w:lang w:val="en-US" w:eastAsia="en-US" w:bidi="ar-SA"/>
        </w:rPr>
        <w:t>  The defendant challenged Ms. Thorne in cross-examination, suggesting that she only hired a housekeeper once she had started working more hours as a CEA in February 2009. Ms. Thorne acknowledged that she did not hire a housekeeper until then. The sense of her evidence was that after the accident her household was not being kept up to the standards she had followed pre-accident and eventually she felt it necessary to hire a housekeeper. This was confirmed by her sister-in-law's observations.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267</w:t>
      </w:r>
      <w:r>
        <w:rPr>
          <w:rFonts w:ascii="arial" w:eastAsia="arial" w:hAnsi="arial" w:cs="arial"/>
          <w:color w:val="000000"/>
          <w:sz w:val="20"/>
          <w:lang w:val="en-US" w:eastAsia="en-US" w:bidi="ar-SA"/>
        </w:rPr>
        <w:t>  Since the most hours that Ms. Thorne has worked as a CEA has been 25 hours per week, I do not accept the implication raised in cross-examination that her employment is the sole reason for hiring a housekeeper. Ms. Thorne's working hours leave her with enough time to do her own housekeeping all other things being equal.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268</w:t>
      </w:r>
      <w:r>
        <w:rPr>
          <w:rFonts w:ascii="arial" w:eastAsia="arial" w:hAnsi="arial" w:cs="arial"/>
          <w:color w:val="000000"/>
          <w:sz w:val="20"/>
          <w:lang w:val="en-US" w:eastAsia="en-US" w:bidi="ar-SA"/>
        </w:rPr>
        <w:t>  What I have difficulty with in this case is drawing the line between a medically necessary expense, and a choice made to incur an expense in order to have more enjoyment in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269</w:t>
      </w:r>
      <w:r>
        <w:rPr>
          <w:rFonts w:ascii="arial" w:eastAsia="arial" w:hAnsi="arial" w:cs="arial"/>
          <w:color w:val="000000"/>
          <w:sz w:val="20"/>
          <w:lang w:val="en-US" w:eastAsia="en-US" w:bidi="ar-SA"/>
        </w:rPr>
        <w:t>  There is no evidence from a physician or other medical professional that housekeeping assistance is medically necessary, or that Ms. Thorne is functionally unable to perform housekeeping tasks. Rather, the evidence suggests that certain housekeeping tasks will exacerbate her symptoms and so she understandably would prefer to get help with these activities rather than suffer the risk of increased pain. By paying for housekeeping assistance, she can enjoy her home more and she is left more able to perform her employment functions and to engage in other, more pleasant,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270</w:t>
      </w:r>
      <w:r>
        <w:rPr>
          <w:rFonts w:ascii="arial" w:eastAsia="arial" w:hAnsi="arial" w:cs="arial"/>
          <w:color w:val="000000"/>
          <w:sz w:val="20"/>
          <w:lang w:val="en-US" w:eastAsia="en-US" w:bidi="ar-SA"/>
        </w:rPr>
        <w:t>  I have concluded that the evidence does not satisfy me that the housekeeping expense is medically necessary and should be compensated as an aspect of past or future care costs. I have, however, taken it into account in the assessment of non-pecuniary damages, in appreciating that due to her injuries she will suffer more pain doing these types of activities and less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271</w:t>
      </w:r>
      <w:r>
        <w:rPr>
          <w:rFonts w:ascii="arial" w:eastAsia="arial" w:hAnsi="arial" w:cs="arial"/>
          <w:color w:val="000000"/>
          <w:sz w:val="20"/>
          <w:lang w:val="en-US" w:eastAsia="en-US" w:bidi="ar-SA"/>
        </w:rPr>
        <w:t>  I turn now to the category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272</w:t>
      </w:r>
      <w:r>
        <w:rPr>
          <w:rFonts w:ascii="arial" w:eastAsia="arial" w:hAnsi="arial" w:cs="arial"/>
          <w:color w:val="000000"/>
          <w:sz w:val="20"/>
          <w:lang w:val="en-US" w:eastAsia="en-US" w:bidi="ar-SA"/>
        </w:rPr>
        <w:t>  Ms. Thorne explained at trial the many uncomfortable symptoms she has endured in various degrees following the accident: headaches; feelings of dizziness; long lasting pain in her neck, shoulder and upper back; pain in her lower back; pain in her right hip and leg; and emotional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273</w:t>
      </w:r>
      <w:r>
        <w:rPr>
          <w:rFonts w:ascii="arial" w:eastAsia="arial" w:hAnsi="arial" w:cs="arial"/>
          <w:color w:val="000000"/>
          <w:sz w:val="20"/>
          <w:lang w:val="en-US" w:eastAsia="en-US" w:bidi="ar-SA"/>
        </w:rPr>
        <w:t>  Ms. Thorne testified at trial that she still gets headaches 2 or 3 times per week, and severe pain in her neck 3 or 4 times per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274</w:t>
      </w:r>
      <w:r>
        <w:rPr>
          <w:rFonts w:ascii="arial" w:eastAsia="arial" w:hAnsi="arial" w:cs="arial"/>
          <w:color w:val="000000"/>
          <w:sz w:val="20"/>
          <w:lang w:val="en-US" w:eastAsia="en-US" w:bidi="ar-SA"/>
        </w:rPr>
        <w:t>  Ms. Thorne testified that she continues to have episodes of more severe pain and stiffness and continues to search out ways to treat these problems. In November 2012, she woke up with her back seized up and then was referred by her physiotherapist to a chiropractor, who she has seen. That led to a referral to a kinesiologist with whom she is working to ensure she is performing exercises correctly.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275</w:t>
      </w:r>
      <w:r>
        <w:rPr>
          <w:rFonts w:ascii="arial" w:eastAsia="arial" w:hAnsi="arial" w:cs="arial"/>
          <w:color w:val="000000"/>
          <w:sz w:val="20"/>
          <w:lang w:val="en-US" w:eastAsia="en-US" w:bidi="ar-SA"/>
        </w:rPr>
        <w:t>  Ms. Thorne testified that her most serious pain currently is in her lower back. She feels it is a radiating pain that shoots off into her right hip in the back and above her buttocks. The pain also shoots into her groin and down her right leg to about her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276</w:t>
      </w:r>
      <w:r>
        <w:rPr>
          <w:rFonts w:ascii="arial" w:eastAsia="arial" w:hAnsi="arial" w:cs="arial"/>
          <w:color w:val="000000"/>
          <w:sz w:val="20"/>
          <w:lang w:val="en-US" w:eastAsia="en-US" w:bidi="ar-SA"/>
        </w:rPr>
        <w:t>  As for her mood, she feels that she is learning to deal with her pain but as it increases so do her stress and anxiety levels.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277</w:t>
      </w:r>
      <w:r>
        <w:rPr>
          <w:rFonts w:ascii="arial" w:eastAsia="arial" w:hAnsi="arial" w:cs="arial"/>
          <w:color w:val="000000"/>
          <w:sz w:val="20"/>
          <w:lang w:val="en-US" w:eastAsia="en-US" w:bidi="ar-SA"/>
        </w:rPr>
        <w:t>  There is no doubt that her injuries seriously affected her enjoyment of life in the past. They have negatively impacted her enjoyment of every aspect of her life: her personal relationships; her ability to care for her home to the same standards as pre-accident; and her ability to enjoy work. While Ms. Thorne has found ways to cope, she is likely to always be coping with pain and her symptoms in her future, and this will continue to limit her enjoyment of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278</w:t>
      </w:r>
      <w:r>
        <w:rPr>
          <w:rFonts w:ascii="arial" w:eastAsia="arial" w:hAnsi="arial" w:cs="arial"/>
          <w:color w:val="000000"/>
          <w:sz w:val="20"/>
          <w:lang w:val="en-US" w:eastAsia="en-US" w:bidi="ar-SA"/>
        </w:rPr>
        <w:t>  The plaintiff suggests the following authorities are useful:</w:t>
      </w:r>
      <w:r>
        <w:rPr>
          <w:rFonts w:ascii="arial" w:eastAsia="arial" w:hAnsi="arial" w:cs="arial"/>
          <w:sz w:val="20"/>
          <w:lang w:val="en-US" w:eastAsia="en-US" w:bidi="ar-SA"/>
        </w:rPr>
        <w:cr/>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Cleeve v. Gregerson</w:t>
      </w:r>
      <w:r>
        <w:rPr>
          <w:rFonts w:ascii="arial" w:eastAsia="arial" w:hAnsi="arial" w:cs="arial"/>
          <w:color w:val="000000"/>
          <w:sz w:val="20"/>
          <w:lang w:val="en-US" w:eastAsia="en-US" w:bidi="ar-SA"/>
        </w:rPr>
        <w:t xml:space="preserve">, </w:t>
      </w:r>
      <w:hyperlink r:id="rId637" w:history="1">
        <w:r>
          <w:rPr>
            <w:rFonts w:ascii="arial" w:eastAsia="arial" w:hAnsi="arial" w:cs="arial"/>
            <w:i/>
            <w:color w:val="0077CC"/>
            <w:sz w:val="20"/>
            <w:u w:val="single"/>
            <w:shd w:val="clear" w:color="auto" w:fill="FFFFFF"/>
            <w:lang w:val="en-US" w:eastAsia="en-US" w:bidi="ar-SA"/>
          </w:rPr>
          <w:t>2007 BCSC 1112</w:t>
        </w:r>
      </w:hyperlink>
      <w:r>
        <w:rPr>
          <w:rFonts w:ascii="arial" w:eastAsia="arial" w:hAnsi="arial" w:cs="arial"/>
          <w:color w:val="000000"/>
          <w:sz w:val="20"/>
          <w:lang w:val="en-US" w:eastAsia="en-US" w:bidi="ar-SA"/>
        </w:rPr>
        <w:t xml:space="preserve"> ($85,000 non-pecuniary damages)</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Beagle v. Cornelson Estate</w:t>
      </w:r>
      <w:r>
        <w:rPr>
          <w:rFonts w:ascii="arial" w:eastAsia="arial" w:hAnsi="arial" w:cs="arial"/>
          <w:color w:val="000000"/>
          <w:sz w:val="20"/>
          <w:lang w:val="en-US" w:eastAsia="en-US" w:bidi="ar-SA"/>
        </w:rPr>
        <w:t xml:space="preserve">, </w:t>
      </w:r>
      <w:hyperlink r:id="rId638" w:history="1">
        <w:r>
          <w:rPr>
            <w:rFonts w:ascii="arial" w:eastAsia="arial" w:hAnsi="arial" w:cs="arial"/>
            <w:i/>
            <w:color w:val="0077CC"/>
            <w:sz w:val="20"/>
            <w:u w:val="single"/>
            <w:shd w:val="clear" w:color="auto" w:fill="FFFFFF"/>
            <w:lang w:val="en-US" w:eastAsia="en-US" w:bidi="ar-SA"/>
          </w:rPr>
          <w:t>2012 BCSC 1934</w:t>
        </w:r>
      </w:hyperlink>
      <w:r>
        <w:rPr>
          <w:rFonts w:ascii="arial" w:eastAsia="arial" w:hAnsi="arial" w:cs="arial"/>
          <w:color w:val="000000"/>
          <w:sz w:val="20"/>
          <w:lang w:val="en-US" w:eastAsia="en-US" w:bidi="ar-SA"/>
        </w:rPr>
        <w:t xml:space="preserve"> ($90,000 non-pecuniary damages)</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Combs v. Bergen</w:t>
      </w:r>
      <w:r>
        <w:rPr>
          <w:rFonts w:ascii="arial" w:eastAsia="arial" w:hAnsi="arial" w:cs="arial"/>
          <w:color w:val="000000"/>
          <w:sz w:val="20"/>
          <w:lang w:val="en-US" w:eastAsia="en-US" w:bidi="ar-SA"/>
        </w:rPr>
        <w:t xml:space="preserve">, </w:t>
      </w:r>
      <w:hyperlink r:id="rId639" w:history="1">
        <w:r>
          <w:rPr>
            <w:rFonts w:ascii="arial" w:eastAsia="arial" w:hAnsi="arial" w:cs="arial"/>
            <w:i/>
            <w:color w:val="0077CC"/>
            <w:sz w:val="20"/>
            <w:u w:val="single"/>
            <w:shd w:val="clear" w:color="auto" w:fill="FFFFFF"/>
            <w:lang w:val="en-US" w:eastAsia="en-US" w:bidi="ar-SA"/>
          </w:rPr>
          <w:t>2013 BCSC 321</w:t>
        </w:r>
      </w:hyperlink>
      <w:r>
        <w:rPr>
          <w:rFonts w:ascii="arial" w:eastAsia="arial" w:hAnsi="arial" w:cs="arial"/>
          <w:color w:val="000000"/>
          <w:sz w:val="20"/>
          <w:lang w:val="en-US" w:eastAsia="en-US" w:bidi="ar-SA"/>
        </w:rPr>
        <w:t xml:space="preserve"> ($70,000 non-pecuniary damages)</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Ortega v. Pena</w:t>
      </w:r>
      <w:r>
        <w:rPr>
          <w:rFonts w:ascii="arial" w:eastAsia="arial" w:hAnsi="arial" w:cs="arial"/>
          <w:color w:val="000000"/>
          <w:sz w:val="20"/>
          <w:lang w:val="en-US" w:eastAsia="en-US" w:bidi="ar-SA"/>
        </w:rPr>
        <w:t xml:space="preserve">, </w:t>
      </w:r>
      <w:hyperlink r:id="rId640" w:history="1">
        <w:r>
          <w:rPr>
            <w:rFonts w:ascii="arial" w:eastAsia="arial" w:hAnsi="arial" w:cs="arial"/>
            <w:i/>
            <w:color w:val="0077CC"/>
            <w:sz w:val="20"/>
            <w:u w:val="single"/>
            <w:shd w:val="clear" w:color="auto" w:fill="FFFFFF"/>
            <w:lang w:val="en-US" w:eastAsia="en-US" w:bidi="ar-SA"/>
          </w:rPr>
          <w:t>2012 BCSC 1884</w:t>
        </w:r>
      </w:hyperlink>
      <w:r>
        <w:rPr>
          <w:rFonts w:ascii="arial" w:eastAsia="arial" w:hAnsi="arial" w:cs="arial"/>
          <w:color w:val="000000"/>
          <w:sz w:val="20"/>
          <w:lang w:val="en-US" w:eastAsia="en-US" w:bidi="ar-SA"/>
        </w:rPr>
        <w:t xml:space="preserve"> ($80,000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279</w:t>
      </w:r>
      <w:r>
        <w:rPr>
          <w:rFonts w:ascii="arial" w:eastAsia="arial" w:hAnsi="arial" w:cs="arial"/>
          <w:color w:val="000000"/>
          <w:sz w:val="20"/>
          <w:lang w:val="en-US" w:eastAsia="en-US" w:bidi="ar-SA"/>
        </w:rPr>
        <w:t>  The defendant cites the following authorities as more comparable:</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Cabral v. Brice,</w:t>
      </w:r>
      <w:r>
        <w:rPr>
          <w:rFonts w:ascii="arial" w:eastAsia="arial" w:hAnsi="arial" w:cs="arial"/>
          <w:color w:val="000000"/>
          <w:sz w:val="20"/>
          <w:lang w:val="en-US" w:eastAsia="en-US" w:bidi="ar-SA"/>
        </w:rPr>
        <w:t xml:space="preserve"> </w:t>
      </w:r>
      <w:hyperlink r:id="rId641" w:history="1">
        <w:r>
          <w:rPr>
            <w:rFonts w:ascii="arial" w:eastAsia="arial" w:hAnsi="arial" w:cs="arial"/>
            <w:i/>
            <w:color w:val="0077CC"/>
            <w:sz w:val="20"/>
            <w:u w:val="single"/>
            <w:shd w:val="clear" w:color="auto" w:fill="FFFFFF"/>
            <w:lang w:val="en-US" w:eastAsia="en-US" w:bidi="ar-SA"/>
          </w:rPr>
          <w:t>2010 BCSC 197</w:t>
        </w:r>
      </w:hyperlink>
      <w:r>
        <w:rPr>
          <w:rFonts w:ascii="arial" w:eastAsia="arial" w:hAnsi="arial" w:cs="arial"/>
          <w:color w:val="000000"/>
          <w:sz w:val="20"/>
          <w:lang w:val="en-US" w:eastAsia="en-US" w:bidi="ar-SA"/>
        </w:rPr>
        <w:t xml:space="preserve"> ($50,000 non-pecuniary damages);</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Perry v. Ismail</w:t>
      </w:r>
      <w:r>
        <w:rPr>
          <w:rFonts w:ascii="arial" w:eastAsia="arial" w:hAnsi="arial" w:cs="arial"/>
          <w:color w:val="000000"/>
          <w:sz w:val="20"/>
          <w:lang w:val="en-US" w:eastAsia="en-US" w:bidi="ar-SA"/>
        </w:rPr>
        <w:t xml:space="preserve">, </w:t>
      </w:r>
      <w:hyperlink r:id="rId642" w:history="1">
        <w:r>
          <w:rPr>
            <w:rFonts w:ascii="arial" w:eastAsia="arial" w:hAnsi="arial" w:cs="arial"/>
            <w:i/>
            <w:color w:val="0077CC"/>
            <w:sz w:val="20"/>
            <w:u w:val="single"/>
            <w:shd w:val="clear" w:color="auto" w:fill="FFFFFF"/>
            <w:lang w:val="en-US" w:eastAsia="en-US" w:bidi="ar-SA"/>
          </w:rPr>
          <w:t>2012 BCSC 123</w:t>
        </w:r>
      </w:hyperlink>
      <w:r>
        <w:rPr>
          <w:rFonts w:ascii="arial" w:eastAsia="arial" w:hAnsi="arial" w:cs="arial"/>
          <w:color w:val="000000"/>
          <w:sz w:val="20"/>
          <w:lang w:val="en-US" w:eastAsia="en-US" w:bidi="ar-SA"/>
        </w:rPr>
        <w:t xml:space="preserve"> ($42,500 non-pecuniary damages);</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Warner v. Cousins</w:t>
      </w:r>
      <w:r>
        <w:rPr>
          <w:rFonts w:ascii="arial" w:eastAsia="arial" w:hAnsi="arial" w:cs="arial"/>
          <w:color w:val="000000"/>
          <w:sz w:val="20"/>
          <w:lang w:val="en-US" w:eastAsia="en-US" w:bidi="ar-SA"/>
        </w:rPr>
        <w:t xml:space="preserve">, </w:t>
      </w:r>
      <w:hyperlink r:id="rId643" w:history="1">
        <w:r>
          <w:rPr>
            <w:rFonts w:ascii="arial" w:eastAsia="arial" w:hAnsi="arial" w:cs="arial"/>
            <w:i/>
            <w:color w:val="0077CC"/>
            <w:sz w:val="20"/>
            <w:u w:val="single"/>
            <w:shd w:val="clear" w:color="auto" w:fill="FFFFFF"/>
            <w:lang w:val="en-US" w:eastAsia="en-US" w:bidi="ar-SA"/>
          </w:rPr>
          <w:t>2012 BCSC 1737</w:t>
        </w:r>
      </w:hyperlink>
      <w:r>
        <w:rPr>
          <w:rFonts w:ascii="arial" w:eastAsia="arial" w:hAnsi="arial" w:cs="arial"/>
          <w:color w:val="000000"/>
          <w:sz w:val="20"/>
          <w:lang w:val="en-US" w:eastAsia="en-US" w:bidi="ar-SA"/>
        </w:rPr>
        <w:t xml:space="preserve"> ($50,000 non-pecuniary damages);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i/>
          <w:color w:val="000000"/>
          <w:sz w:val="20"/>
          <w:lang w:val="en-US" w:eastAsia="en-US" w:bidi="ar-SA"/>
        </w:rPr>
        <w:t>Wepryk v. Juraschka</w:t>
      </w:r>
      <w:r>
        <w:rPr>
          <w:rFonts w:ascii="arial" w:eastAsia="arial" w:hAnsi="arial" w:cs="arial"/>
          <w:color w:val="000000"/>
          <w:sz w:val="20"/>
          <w:lang w:val="en-US" w:eastAsia="en-US" w:bidi="ar-SA"/>
        </w:rPr>
        <w:t xml:space="preserve">, </w:t>
      </w:r>
      <w:hyperlink r:id="rId644" w:history="1">
        <w:r>
          <w:rPr>
            <w:rFonts w:ascii="arial" w:eastAsia="arial" w:hAnsi="arial" w:cs="arial"/>
            <w:i/>
            <w:color w:val="0077CC"/>
            <w:sz w:val="20"/>
            <w:u w:val="single"/>
            <w:shd w:val="clear" w:color="auto" w:fill="FFFFFF"/>
            <w:lang w:val="en-US" w:eastAsia="en-US" w:bidi="ar-SA"/>
          </w:rPr>
          <w:t>2012 BCSC 974</w:t>
        </w:r>
      </w:hyperlink>
      <w:r>
        <w:rPr>
          <w:rFonts w:ascii="arial" w:eastAsia="arial" w:hAnsi="arial" w:cs="arial"/>
          <w:color w:val="000000"/>
          <w:sz w:val="20"/>
          <w:lang w:val="en-US" w:eastAsia="en-US" w:bidi="ar-SA"/>
        </w:rPr>
        <w:t xml:space="preserve"> ($50,000 non-pecuniary damages); and</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i/>
          <w:color w:val="000000"/>
          <w:sz w:val="20"/>
          <w:lang w:val="en-US" w:eastAsia="en-US" w:bidi="ar-SA"/>
        </w:rPr>
        <w:t>Williams v. Loverock</w:t>
      </w:r>
      <w:r>
        <w:rPr>
          <w:rFonts w:ascii="arial" w:eastAsia="arial" w:hAnsi="arial" w:cs="arial"/>
          <w:color w:val="000000"/>
          <w:sz w:val="20"/>
          <w:lang w:val="en-US" w:eastAsia="en-US" w:bidi="ar-SA"/>
        </w:rPr>
        <w:t xml:space="preserve">, </w:t>
      </w:r>
      <w:hyperlink r:id="rId645" w:history="1">
        <w:r>
          <w:rPr>
            <w:rFonts w:ascii="arial" w:eastAsia="arial" w:hAnsi="arial" w:cs="arial"/>
            <w:i/>
            <w:color w:val="0077CC"/>
            <w:sz w:val="20"/>
            <w:u w:val="single"/>
            <w:shd w:val="clear" w:color="auto" w:fill="FFFFFF"/>
            <w:lang w:val="en-US" w:eastAsia="en-US" w:bidi="ar-SA"/>
          </w:rPr>
          <w:t>2013 BCSC 153</w:t>
        </w:r>
      </w:hyperlink>
      <w:r>
        <w:rPr>
          <w:rFonts w:ascii="arial" w:eastAsia="arial" w:hAnsi="arial" w:cs="arial"/>
          <w:color w:val="000000"/>
          <w:sz w:val="20"/>
          <w:lang w:val="en-US" w:eastAsia="en-US" w:bidi="ar-SA"/>
        </w:rPr>
        <w:t xml:space="preserve"> ($50,000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280</w:t>
      </w:r>
      <w:r>
        <w:rPr>
          <w:rFonts w:ascii="arial" w:eastAsia="arial" w:hAnsi="arial" w:cs="arial"/>
          <w:color w:val="000000"/>
          <w:sz w:val="20"/>
          <w:lang w:val="en-US" w:eastAsia="en-US" w:bidi="ar-SA"/>
        </w:rPr>
        <w:t>  Of course, no two cases are alike.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281</w:t>
      </w:r>
      <w:r>
        <w:rPr>
          <w:rFonts w:ascii="arial" w:eastAsia="arial" w:hAnsi="arial" w:cs="arial"/>
          <w:color w:val="000000"/>
          <w:sz w:val="20"/>
          <w:lang w:val="en-US" w:eastAsia="en-US" w:bidi="ar-SA"/>
        </w:rPr>
        <w:t>  In this case, the plaintiff not only suffered serious pain for almost seven years since the accident, she is likely to continue to do so. Her pain has been in two separate areas of her body: upper body and lower body. In addition, the plaintiff here suffered serious emotional distress as a result of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282</w:t>
      </w:r>
      <w:r>
        <w:rPr>
          <w:rFonts w:ascii="arial" w:eastAsia="arial" w:hAnsi="arial" w:cs="arial"/>
          <w:color w:val="000000"/>
          <w:sz w:val="20"/>
          <w:lang w:val="en-US" w:eastAsia="en-US" w:bidi="ar-SA"/>
        </w:rPr>
        <w:t>  Ms. Thorne is not as likely to get the same enjoyment from her work that she otherwise would have, but for her injuries, due to her pain. Thus, while her injuries may not be reflected in a large loss of earning capacity award, her loss of enjoyment from her work may be reflected in the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283</w:t>
      </w:r>
      <w:r>
        <w:rPr>
          <w:rFonts w:ascii="arial" w:eastAsia="arial" w:hAnsi="arial" w:cs="arial"/>
          <w:color w:val="000000"/>
          <w:sz w:val="20"/>
          <w:lang w:val="en-US" w:eastAsia="en-US" w:bidi="ar-SA"/>
        </w:rPr>
        <w:t>  Ms. Thorne used to be able to keep her house spotlessly clean, but now finds her pain inhibits her ability to maintain it at the same level. While I have concluded it is not medically necessary for her to hire housekeeping assistance, no doubt it is important for her to be able to do so in order to better enjoy life and cope with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284</w:t>
      </w:r>
      <w:r>
        <w:rPr>
          <w:rFonts w:ascii="arial" w:eastAsia="arial" w:hAnsi="arial" w:cs="arial"/>
          <w:color w:val="000000"/>
          <w:sz w:val="20"/>
          <w:lang w:val="en-US" w:eastAsia="en-US" w:bidi="ar-SA"/>
        </w:rPr>
        <w:t>  Ms. Thorne used to be much more physically affectionate with her children, and active in playing sports with them, but her injuries have seriously inhibited this behaviour. This clearly has imposed on her a large emotional loss, as it made her more distant from her youngest children as they were growing up than she would have otherwise been.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285</w:t>
      </w:r>
      <w:r>
        <w:rPr>
          <w:rFonts w:ascii="arial" w:eastAsia="arial" w:hAnsi="arial" w:cs="arial"/>
          <w:color w:val="000000"/>
          <w:sz w:val="20"/>
          <w:lang w:val="en-US" w:eastAsia="en-US" w:bidi="ar-SA"/>
        </w:rPr>
        <w:t>  Ms. Thorne used to be able to be more active recreationally with her husband. While she has found ways to compensate for this, she nevertheless no longer can get the same pleasure from recreational activities that she used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286</w:t>
      </w:r>
      <w:r>
        <w:rPr>
          <w:rFonts w:ascii="arial" w:eastAsia="arial" w:hAnsi="arial" w:cs="arial"/>
          <w:color w:val="000000"/>
          <w:sz w:val="20"/>
          <w:lang w:val="en-US" w:eastAsia="en-US" w:bidi="ar-SA"/>
        </w:rPr>
        <w:t>  In all the circumstances here, I find that an appropriate award for non-pecuniary damages is $75,000.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287</w:t>
      </w:r>
      <w:r>
        <w:rPr>
          <w:rFonts w:ascii="arial" w:eastAsia="arial" w:hAnsi="arial" w:cs="arial"/>
          <w:color w:val="000000"/>
          <w:sz w:val="20"/>
          <w:lang w:val="en-US" w:eastAsia="en-US" w:bidi="ar-SA"/>
        </w:rPr>
        <w:t>  I conclude that the accident caused Ms. Thorne to suffer injuries to her neck, upper back and right shoulder; to her lower back, right hip and right leg; and to her mood.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288</w:t>
      </w:r>
      <w:r>
        <w:rPr>
          <w:rFonts w:ascii="arial" w:eastAsia="arial" w:hAnsi="arial" w:cs="arial"/>
          <w:color w:val="000000"/>
          <w:sz w:val="20"/>
          <w:lang w:val="en-US" w:eastAsia="en-US" w:bidi="ar-SA"/>
        </w:rPr>
        <w:t>  I have awarded her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091"/>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expenses:</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$24,823</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973"/>
        <w:gridCol w:w="1569"/>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 capacity:</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1987"/>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expenses</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1255"/>
        <w:gridCol w:w="491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housekeeping expenses: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$0</w:t>
            </w:r>
          </w:p>
        </w:tc>
        <w:tc>
          <w:tcPr>
            <w:tcW w:w="4813"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1882"/>
        <w:gridCol w:w="42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$75,000</w:t>
            </w:r>
          </w:p>
        </w:tc>
        <w:tc>
          <w:tcPr>
            <w:tcW w:w="419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522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TOTAL:</w:t>
            </w:r>
          </w:p>
        </w:tc>
        <w:tc>
          <w:tcPr>
            <w:tcW w:w="512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 </w:t>
            </w:r>
            <w:r>
              <w:rPr>
                <w:rFonts w:ascii="arial" w:eastAsia="arial" w:hAnsi="arial" w:cs="arial"/>
                <w:b/>
                <w:color w:val="000000"/>
                <w:sz w:val="18"/>
                <w:lang w:val="en-US" w:eastAsia="en-US" w:bidi="ar-SA"/>
              </w:rPr>
              <w:t>$159,823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289</w:t>
      </w:r>
      <w:r>
        <w:rPr>
          <w:rFonts w:ascii="arial" w:eastAsia="arial" w:hAnsi="arial" w:cs="arial"/>
          <w:color w:val="000000"/>
          <w:sz w:val="20"/>
          <w:lang w:val="en-US" w:eastAsia="en-US" w:bidi="ar-SA"/>
        </w:rPr>
        <w:t>  The total damages awarded are $159,823.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290</w:t>
      </w:r>
      <w:r>
        <w:rPr>
          <w:rFonts w:ascii="arial" w:eastAsia="arial" w:hAnsi="arial" w:cs="arial"/>
          <w:color w:val="000000"/>
          <w:sz w:val="20"/>
          <w:lang w:val="en-US" w:eastAsia="en-US" w:bidi="ar-SA"/>
        </w:rPr>
        <w:t>  The plaintiff would ordinarily be entitled to her costs at the ordinary scale. However, if there are facts of which I am not aware relating to costs, the parties are at liberty to seek a further hearing before me on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05" style="position:absolute;z-index:2518272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46"/>
          <w:headerReference w:type="default" r:id="rId647"/>
          <w:footerReference w:type="even" r:id="rId648"/>
          <w:footerReference w:type="default" r:id="rId649"/>
          <w:headerReference w:type="first" r:id="rId650"/>
          <w:footerReference w:type="first" r:id="rId6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52" w:history="1">
        <w:r>
          <w:rPr>
            <w:rFonts w:ascii="arial" w:eastAsia="arial" w:hAnsi="arial" w:cs="arial"/>
            <w:b/>
            <w:bCs/>
            <w:i/>
            <w:color w:val="0077CC"/>
            <w:kern w:val="32"/>
            <w:sz w:val="28"/>
            <w:szCs w:val="32"/>
            <w:u w:val="single"/>
            <w:shd w:val="clear" w:color="auto" w:fill="FFFFFF"/>
            <w:lang w:val="en-US" w:eastAsia="en-US" w:bidi="ar-SA"/>
          </w:rPr>
          <w:t>Tzeachten First Nation v. Canada Lands Co., [2014] B.C.J. No. 3092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P.J. Pearlman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28,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L051395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3092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2014 BCSC 2361</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[2015] 2 C.N.L.R. 398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2014 CarswellBC 3777</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248 A.C.W.S. (3d) 316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53" w:history="1">
        <w:r>
          <w:rPr>
            <w:rFonts w:ascii="arial" w:eastAsia="arial" w:hAnsi="arial" w:cs="arial"/>
            <w:i/>
            <w:color w:val="0077CC"/>
            <w:sz w:val="20"/>
            <w:u w:val="single"/>
            <w:shd w:val="clear" w:color="auto" w:fill="FFFFFF"/>
            <w:lang w:val="en-US" w:eastAsia="en-US" w:bidi="ar-SA"/>
          </w:rPr>
          <w:t>73 B.C.L.R. (5th) 290</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Chief Joe Hall, Chief of the Tzeachten First Nation, on behalf of all members of the Tzeachten First Nation, all members of the Skowkale First Nation and all members of the Yakweakwioose First Nation, Plaintiffs, and Canada Lands Company Limited and Canada Lands Company CLC Limited and the Attorney General of Canada and Her Majesty the Queen in Right of the Province of British Columbia,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06" style="position:absolute;z-index:2516746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05" w:name="Keywords_15"/>
      <w:bookmarkEnd w:id="105"/>
      <w:r>
        <w:rPr>
          <w:rFonts w:ascii="arial" w:eastAsia="arial" w:hAnsi="arial" w:cs="arial"/>
          <w:b/>
          <w:color w:val="000000"/>
          <w:sz w:val="20"/>
          <w:lang w:val="en-US" w:eastAsia="en-US" w:bidi="ar-SA"/>
        </w:rPr>
        <w:t>Aboriginal law — Aboriginal lands — Types — Aboriginal title lands — Possession for occupation and use — Title and ownership — Transfer and disposition — Duties of the Crown — Sui generis fiduciary duty — Land claims — Traditional territories — Constitutional issues — Federal v. provincial jurisdiction — Application by defendant Canada for leave to file third party notice against British Columbia and sever third party claim from main action allowed in part — Plaintiff First Nations claimed damages and possession of land allegedly wrongfully disposed of by Colony of British Columbia prior to union — Defendant asserted it did not assume liability at time of union — Action and third party claim raised Crown successorship and interpretation of Terms of Union, defendant's position not frivolous and determination of who was liable appropriate — Third party claim not sufficiently distinct for severance, which would prejudice plaintiffs by delay.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Civil litigation — Civil procedure — Parties — Third party procedure — Notice — Leave — Trials — Severance of issues or parties — Application by defendant Canada for leave to file third party notice against British Columbia and sever third party claim from main action allowed in part — Plaintiff First Nations claimed damages and possession of land allegedly wrongfully disposed of by Colony of British Columbia prior to union — Defendant asserted it did not assume liability at time of union — Action and third party claim raised Crown successorship and interpretation of Terms of Union, defendant's position not frivolous and determination of who was liable appropriate — Third party claim not sufficiently distinct for severance, which would prejudice plaintiffs by delay.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Constitutional law — Canadian constitution — Constitution Acts — Constitution Act, 1867 (formerly British North America Act, 1867) — Canada Act, 1982 — Constitution Act, 1982 — Provincial or territorial status and boundaries — Creation of new provinces or territories — Application by defendant Canada for leave to file third party notice against British Columbia and sever third party claim from main action allowed in part — Plaintiff First Nations claimed damages and possession of land allegedly wrongfully disposed of by Colony of British Columbia prior to union — Defendant asserted it did not assume liability at time of union — Action and third party claim raised Crown successorship and interpretation of Terms of Union, defendant's position not frivolous and determination of who was liable appropriate — Third party claim not sufficiently distinct for severance, which would prejudice plaintiffs by delay.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06" w:name="Case Summary_15"/>
            <w:bookmarkEnd w:id="1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defendant Canada for leave to file third party notice against British Columbia and for an order the third party issues be heard after final determination of the main claim. The principal issue in the third party notice was whether Canada or British Columbia was responsible for damages to plaintiffs arising from wrongful acts or omission by the Colony of British Columbia prior to confederation. The plaintiffs were First Nations who sought possession of land for which they asserted Aboriginal title, and damages for loss of use. The plaintiffs claimed the lands were reserved for Indians but wrongfully disposed of by the Colony of British Columbia in 1867 or 1868. The plaintiffs asserted Canada was liable for British Columbia's debts and obligations existing at the time of the union so did not claim against British Columbia. The defendant asserted any obligations or damages relating to the subject land did not appear in the Colony's accounts so Canada did not assume liability at the time of the union. In the third party notice, Canada sought a declaration British Columbia was responsible and liable for all damages. The proposed third party notice expanded on the history of the financial settlement at the time of the union. The defendant argued the third party notice raised important constitutional issues and denying its application would cause significant prejudice. The defendant argued the proposed third party claim did not meet the requirements of Rule 3-5(1) because the plaintiffs were not seeking indemnity or contribution, did not claim the third party owed a duty to Canada, and the plaintiffs had limited their claim to Canada so if the defendant succeeded in defending the claim on the basis of the Terms of Union, it had a complete remedy. The plaintiffs took no position on the third party notice but objected to any division of the third party claim from the main trial.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07" w:name="Holdings of Court_14"/>
            <w:bookmarkEnd w:id="107"/>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Canada only sought declaratory relief against British Columbia was not a bar to the proposed third party claim. The plaintiffs claim was against the defendant as the successor to the Colony for loss of use of lands, and this would require a historical examination and interpretation of the Terms of Union. Both the main issue and third party claim raised issues of Crown successorship and Terms of Union. The proposed third party claim was thus connected to the subject matter of the main action, and whether the defendant or third party was liable for alleged pre-Confederation wrongdoings was a live issue, and the declaration sought by the defendant directly affected the plaintiffs' interests. The plaintiffs had not expressly waived any claim against the defendant and, if the court was going to hear the defendant's defence it should also decide who was responsible, so the third party claim was not unnecessary. The historical record had to be filed and canvassed for trial anyway, and British Columbia had not suggested it would be unable to make timely production. The defendant's position was not frivolous. Leave was granted. However, the plaintiffs would be prejudiced if the resolution of their claim was delayed. The defendant did not file any evidence on additional time and expense that would result from severance, nor had it demonstrated that hearing the claim and third party claim together would be unduly complicated. The evidence overlapped, in a 16-week trial, there should be sufficient time to hear both claims, and the issues were not sufficiently distinct to warrant separate trials. The claim and third party claim would proceed together.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08" w:name="Legislation Cited_10"/>
      <w:bookmarkEnd w:id="1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07" style="position:absolute;z-index:2517258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Terms of Union, 1871, Article 1, Article 2, Article 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Constitution Act, 1867, R.S.C. 1985, App. II, No. 5, s. 91(24)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Crown Liability and Proceedings Act, </w:t>
      </w:r>
      <w:hyperlink r:id="rId654" w:history="1">
        <w:r>
          <w:rPr>
            <w:rFonts w:ascii="arial" w:eastAsia="arial" w:hAnsi="arial" w:cs="arial"/>
            <w:i/>
            <w:color w:val="0077CC"/>
            <w:sz w:val="20"/>
            <w:u w:val="single"/>
            <w:shd w:val="clear" w:color="auto" w:fill="FFFFFF"/>
            <w:lang w:val="en-US" w:eastAsia="en-US" w:bidi="ar-SA"/>
          </w:rPr>
          <w:t>R.S.C. 1985, c. C-50, s. 23</w:t>
        </w:r>
      </w:hyperlink>
      <w:r>
        <w:rPr>
          <w:rFonts w:ascii="arial" w:eastAsia="arial" w:hAnsi="arial" w:cs="arial"/>
          <w:color w:val="000000"/>
          <w:sz w:val="20"/>
          <w:lang w:val="en-US" w:eastAsia="en-US" w:bidi="ar-SA"/>
        </w:rPr>
        <w:t>(1)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3-5(1)(a), Rule 3-5(1)(b), Rule 3-5(4)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09" w:name="Counsel_15"/>
      <w:bookmarkEnd w:id="1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08" style="position:absolute;z-index:2517770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Kate M. Blomfield &amp; Peter Millerd.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Canada Lands Company Limited and Canada Lands Company CLC Limited: No appearance.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Attorney General of Canada: Mary French &amp; Christa Hook.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Her Majesty the Queen in Right of the Province of British Columbia: Ken Tyler &amp; M. Scott Kerwin.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0" w:name="Judgment_15"/>
      <w:bookmarkEnd w:id="110"/>
      <w:r>
        <w:pict>
          <v:line id="_x0000_s1109" style="position:absolute;z-index:25182822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9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1" w:name="P.J. PEARLMAN J."/>
            <w:bookmarkEnd w:id="111"/>
            <w:r>
              <w:rPr>
                <w:rFonts w:ascii="arial" w:eastAsia="arial" w:hAnsi="arial" w:cs="arial"/>
                <w:b/>
                <w:color w:val="000000"/>
                <w:sz w:val="30"/>
                <w:lang w:val="en-US" w:eastAsia="en-US" w:bidi="ar-SA"/>
              </w:rPr>
              <w:t>P.J. PEARLMAN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the Attorney General of Canada ("Canada"), applies for leave pursuant to Rule 3-5(4)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to file a third party notice naming the defendant, Her Majesty the Queen in Right of the Province of British Columbia ("British Columbia") as a third party. The principal issue raised in the proposed third party notice is whether, under the </w:t>
      </w:r>
      <w:r>
        <w:rPr>
          <w:rFonts w:ascii="arial" w:eastAsia="arial" w:hAnsi="arial" w:cs="arial"/>
          <w:i/>
          <w:color w:val="000000"/>
          <w:sz w:val="20"/>
          <w:lang w:val="en-US" w:eastAsia="en-US" w:bidi="ar-SA"/>
        </w:rPr>
        <w:t>British Columbia Terms of Union</w:t>
      </w:r>
      <w:r>
        <w:rPr>
          <w:rFonts w:ascii="arial" w:eastAsia="arial" w:hAnsi="arial" w:cs="arial"/>
          <w:color w:val="000000"/>
          <w:sz w:val="20"/>
          <w:lang w:val="en-US" w:eastAsia="en-US" w:bidi="ar-SA"/>
        </w:rPr>
        <w:t>, Schedule to Constitution Act, 1982, R.S.C.1985, App II, No.10,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Canada or British Columbia is responsible for any loss or damage owed to the plaintiffs arising from wrongful acts or omissions of officials of the Colony of British Columbia prior to Confederation.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Leave of the court is required for Canada to file the third party notice because the time for filing without leave has expired.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By the proposed third party notice, Canada seeks the following declarations:</w:t>
      </w:r>
      <w:r>
        <w:rPr>
          <w:rFonts w:ascii="arial" w:eastAsia="arial" w:hAnsi="arial" w:cs="arial"/>
          <w:sz w:val="20"/>
          <w:lang w:val="en-US" w:eastAsia="en-US" w:bidi="ar-SA"/>
        </w:rPr>
        <w:cr/>
      </w:r>
    </w:p>
    <w:p>
      <w:pPr>
        <w:numPr>
          <w:numId w:val="4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British Columbia is responsible for any loss or damage that may be found to have been caused by the Colony of British Columbia in relation to the lands at issue;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British Columbia must satisfy any and all obligations, debts, duties, or liabilities flowing or arising from that loss or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Canada also applies for an order that the issues of fact and the law raised in the third party notice are to be tried and determined after a final determination, including all appeals, of the issues of fact and law raised in the plaintiffs' fourth amended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British Columbia opposes Canada's application on the ground that the proposed third party claim does not fall within any of the categories for such claims set out in Rule 3-5(1), and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plaintiffs take no position on whether the proposed third party claim meets the requirements of Rule 3-5. However, the plaintiffs oppose the division of the trial into separate phases on the ground that they will be prejudiced by delay. They say that Canada has failed to establish that severance would result in any significant savings in time or expense, or that there are any compelling or exceptional circumstances that would justify severance.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Canada Lands Company Limited and Canada Lands Company CLC Limited ("the CLC defendants"), took no position, and did not participate in the hearing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ACTION AND THE ISSUES RAISED IN THE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In my Reasons for Judgment indexed as </w:t>
      </w:r>
      <w:r>
        <w:rPr>
          <w:rFonts w:ascii="arial" w:eastAsia="arial" w:hAnsi="arial" w:cs="arial"/>
          <w:i/>
          <w:color w:val="000000"/>
          <w:sz w:val="20"/>
          <w:lang w:val="en-US" w:eastAsia="en-US" w:bidi="ar-SA"/>
        </w:rPr>
        <w:t>Chief Joe Hall v. Canada Lands Company Limited</w:t>
      </w:r>
      <w:r>
        <w:rPr>
          <w:rFonts w:ascii="arial" w:eastAsia="arial" w:hAnsi="arial" w:cs="arial"/>
          <w:color w:val="000000"/>
          <w:sz w:val="20"/>
          <w:lang w:val="en-US" w:eastAsia="en-US" w:bidi="ar-SA"/>
        </w:rPr>
        <w:t xml:space="preserve">, </w:t>
      </w:r>
      <w:hyperlink r:id="rId655" w:history="1">
        <w:r>
          <w:rPr>
            <w:rFonts w:ascii="arial" w:eastAsia="arial" w:hAnsi="arial" w:cs="arial"/>
            <w:i/>
            <w:color w:val="0077CC"/>
            <w:sz w:val="20"/>
            <w:u w:val="single"/>
            <w:shd w:val="clear" w:color="auto" w:fill="FFFFFF"/>
            <w:lang w:val="en-US" w:eastAsia="en-US" w:bidi="ar-SA"/>
          </w:rPr>
          <w:t>2014 BCSC 1704</w:t>
        </w:r>
      </w:hyperlink>
      <w:r>
        <w:rPr>
          <w:rFonts w:ascii="arial" w:eastAsia="arial" w:hAnsi="arial" w:cs="arial"/>
          <w:color w:val="000000"/>
          <w:sz w:val="20"/>
          <w:lang w:val="en-US" w:eastAsia="en-US" w:bidi="ar-SA"/>
        </w:rPr>
        <w:t>, I summarized the plaintiffs' claims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 In this action, the plaintiffs Tzeachten First Nation, Skowkale First Nation and Yakweakwioose First Nation seek possession of two parcels of land totalling about 120 acres, known as the Rifle Range and Promontory Heights (collectively the "subject lands") which formed part of the former Canadian Forces Base Chilliwack. The plaintiffs claim aboriginal title to the subject lands. They also allege the subject lands formed part of Colonial Reserve No. 13, which they claim was set apart for their use and benefit by Governor James Douglas in 1864. The plaintiffs contend they were wrongfully deprived of their reserve interest in the subject lands when the Colony of British Columbia reduced Colonial Reserve 13 in or about 1868. The plaintiffs seek possession of the subject lands, compensation for those portions of the land that cannot be restored to them, and damages for loss of use of the subject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By paragraph 5(b) of their fourth amended statement of claim filed June 17, 2014, the plaintiffs plead: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Attorney General of Canada is the representative of Her Majesty in Right of Canada ("Canada") pursuant to section 23(1) of the </w:t>
      </w:r>
      <w:r>
        <w:rPr>
          <w:rFonts w:ascii="arial" w:eastAsia="arial" w:hAnsi="arial" w:cs="arial"/>
          <w:i/>
          <w:color w:val="000000"/>
          <w:sz w:val="20"/>
          <w:lang w:val="en-US" w:eastAsia="en-US" w:bidi="ar-SA"/>
        </w:rPr>
        <w:t>Crown Liability and Proceedings Act</w:t>
      </w:r>
      <w:r>
        <w:rPr>
          <w:rFonts w:ascii="arial" w:eastAsia="arial" w:hAnsi="arial" w:cs="arial"/>
          <w:color w:val="000000"/>
          <w:sz w:val="20"/>
          <w:lang w:val="en-US" w:eastAsia="en-US" w:bidi="ar-SA"/>
        </w:rPr>
        <w:t>, R.S.C. 1985, c. C - 50, as amended. ... Canada:</w:t>
      </w:r>
    </w:p>
    <w:p>
      <w:pPr>
        <w:spacing w:before="120" w:line="240" w:lineRule="atLeast"/>
        <w:ind w:left="1080"/>
        <w:rPr>
          <w:rFonts w:ascii="arial" w:eastAsia="arial" w:hAnsi="arial" w:cs="arial"/>
          <w:sz w:val="20"/>
          <w:lang w:val="en-US" w:eastAsia="en-US" w:bidi="ar-SA"/>
        </w:rPr>
      </w:pPr>
      <w:r>
        <w:rPr>
          <w:rFonts w:ascii="arial" w:eastAsia="arial" w:hAnsi="arial" w:cs="arial"/>
          <w:color w:val="000000"/>
          <w:sz w:val="18"/>
          <w:lang w:val="en-US" w:eastAsia="en-US" w:bidi="ar-SA"/>
        </w:rPr>
        <w:t>[Editor's note: Text in brackets is struck out in the original.]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is the successor in Canada to and is the subject of all obligations, duties, liabilities which His Majesty the King or Her Majesty in right of the United Kingdom ([the "Imperial Crown"]) or the Imperial Parliament, or the Colony of British Columbia (the "Colony") had or owed to the Plaintiffs, pursuant to terms 1 and 13 of the British Columbia </w:t>
      </w:r>
      <w:r>
        <w:rPr>
          <w:rFonts w:ascii="arial" w:eastAsia="arial" w:hAnsi="arial" w:cs="arial"/>
          <w:i/>
          <w:color w:val="000000"/>
          <w:sz w:val="20"/>
          <w:lang w:val="en-US" w:eastAsia="en-US" w:bidi="ar-SA"/>
        </w:rPr>
        <w:t>Terms of Union, 1871</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or otherwise by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At paragraph 11, the plaintiffs claim that the subject lands are "lands reserved for the Indians" within the meaning of s. 91(24)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and cannot lawfully be disposed of without the consent of the plaintiffs, or accommodation of their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At sub-paragraphs 11(b) and (d), the plaintiffs plead that in 1864 representatives of Sir James Douglas, Governor of the Colony of British Columbia, set apart Colonial Reserve 13 for their use and benefit, and that in or about 1867 or 1868, Joseph Trutch, Chief Commissioner of Lands and Works for the Colony of British Columbia, wrongfully disposed of the subject lands by making them available for non-Aboriginal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plaintiffs rely upon and plead Articles 1 and 13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which provide: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shall be liable for the debts and liabilities of British Columbia existing at the time of the Union.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charge of the Indians, and the trusteeship and management of the lands reserved for their use and benefit, shall be assumed by the Dominion Government, and a policy as liberal as that hitherto pursued by the British Columbia Government shall be continued by the Dominion Government after the Union. To carry out such policy, tracts of land of such extent as it has hitherto been the practice of the British Columbia Government to appropriate for that purpose, shall from time to time be conveyed by the Local Government to the Dominion Government in trust for the use and benefit of the Indians on application of the Dominion Government; and in case of disagreement between the two Governments respecting the quantity of such tracts of land to be so granted, the matter shall be referred for the decision of the Secretary of State for the Colonies.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relief sought by the plaintiffs includes damages for trespass, damages for the wrongful sale of portions of the subject lands, damages for unjust enrichment and, in the alternative to their claim for possession, damages for the value of the subject lands and for the loss of use of the subject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plaintiffs have restricted their claims for damages to claims against Canada and the CLC defendants. They do not claim damages against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By its further amended statement of defence filed July 15, 2014, Canada pleads, in addition to Articles 1 and 13, Article 2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which provides:</w:t>
      </w:r>
      <w:r>
        <w:rPr>
          <w:rFonts w:ascii="arial" w:eastAsia="arial" w:hAnsi="arial" w:cs="arial"/>
          <w:sz w:val="20"/>
          <w:lang w:val="en-US" w:eastAsia="en-US" w:bidi="ar-SA"/>
        </w:rPr>
        <w:cr/>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not having incurred debts equal to those of the other Provinces now constituting the Dominion, shall be entitled to receive, by half-yearly payments, in advance from the General Government, interest at the rate of five per cent, per annum on the difference between the actual amount of its indebtedness at the date of the Union, and the indebtedness per head of the population of Nova Scotia and New Brunswick (27.77 dollars), the population of British Columbia being taken at 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response to paragraph 5(b) of the fourth amended statement of claim, Canada has pleaded:</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pursuant to Article 1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Canada was liable for the debts and liabilities of British Columbia existing at the time of Union, calculated on the basis of the public debt recorded in the accounts of the Colony and limited to the debt allowance provided for in Article 2: further amended defence, paragraph 6;</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phrase "existing debts and liabilities" in Article 1 referred to actual public debts known to exist in 1871: further amended defence, paragraph 6;</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Article 2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provided for an upper limit on debts and liabilities assumed under Article 1: further amended defence, paragraph 6.1;</w:t>
      </w:r>
    </w:p>
    <w:p>
      <w:pPr>
        <w:numPr>
          <w:numId w:val="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obligation of the Colony of British Columbia in relation to the subject lands and sounding in damages was unknown in 1871, did not appear in the public accounts for the Colony and did not fall within the meaning of "existing debts and liabilities" in Article 1: further amended defence, paragraph 6.2;</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if the plaintiff's claim for damages does constitute an "existing debt and liability" within the meaning of Article 1, Article 2 limited Canada's assumption of liability so that Canada would be liable only for the portion of any award of damages: further amended defence, paragraph 6.3;</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insofar as the plaintiffs seek damages for alleged pre-Confederation breaches of duty in relation to the subject lands, the responsibility for that liability became the sole obligation of the Province upon the Province's assumption of administration and control of the subject lands, under the common law principle that when the administration and control of property is transferred from one emanation of the Crown and vested in another, the present, contingent, and future rights, benefits, assets, liabilities, duties, debts, and obligations associated with that property are transferred with the property itself: further amended defence, paragraph 6.4;</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Article 13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Canada assumed only the trusteeship and management of lands set aside as Indian reserves at the time of the Colony of British Columbia's entry into Confederation. The subject lands were neither reserved nor set aside for the use and benefit of the plaintiffs. Further, any right or entitlement of the plaintiffs in the subject lands was an "interest other than that of the Province under s. 109 of the </w:t>
      </w:r>
      <w:r>
        <w:rPr>
          <w:rFonts w:ascii="arial" w:eastAsia="arial" w:hAnsi="arial" w:cs="arial"/>
          <w:i/>
          <w:color w:val="000000"/>
          <w:sz w:val="20"/>
          <w:lang w:val="en-US" w:eastAsia="en-US" w:bidi="ar-SA"/>
        </w:rPr>
        <w:t>Constitution Act, 1867</w:t>
      </w:r>
      <w:r>
        <w:rPr>
          <w:rFonts w:ascii="arial" w:eastAsia="arial" w:hAnsi="arial" w:cs="arial"/>
          <w:color w:val="000000"/>
          <w:sz w:val="20"/>
          <w:lang w:val="en-US" w:eastAsia="en-US" w:bidi="ar-SA"/>
        </w:rPr>
        <w:t>, so the Province held and continues to hold the subject lands subject to the plaintiffs' interest: further amended defence, paragraphs 6.5 and 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By its further amended defence, Canada also pleads limitations, laches and extinguishment, and seeks an order for the dismissal of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its proposed third party notice, Canada expands upon the history of the financial settlement made between the Dominion of Canada the Colony of British Columbia by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Canada then repeats in Part 3, as the legal basis for its third party claim, the same propositions that it put forward in the further amended statement of defence concerning the scope, meaning and effect of Articles 1, 2 and 13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This action is set for trial for 80 days commencing February 2, 2015.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At the time of hearing this application, Canada had not delivered any expert report relating to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Nor had Canada listed the historical documents it intends to adduce on the interpretation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Under the current Case Plan Order, the time for delivery of the defendants' expert reports, other than those relating to quantum of damages, expired on September 30,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POSITIONS OF THE PARTIES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Canada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Canada submits that the proposed third party notice raises the important constitutional issue of whether the federal or provincial Crown is responsible for liabilities arising from pre-Confederation wrongdoing, and says that issue, which involves the interpretation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should be decided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Canada argues that the proposed third party claim seeks relief relating to or connected with the original subject matter of the action, and therefore falls within Rule 3-5(1)(b). Counsel for Canada submit the subject matter of the action includes the plaintiffs' claim that the Colony of British Columbia failed to protect their reserve interest in the subject lands, and that as a consequence, the plaintiffs are entitled to damages from Canada, as the successor to the Colony. Canada contends that its third party claim for a declaration that British Columbia is solely responsible for any damages to which the plaintiffs are entitled as a result of the wrongdoing of the Colony of British Columbia seeks relief related to or connected with the subject matter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Canada submits that granting leave to file the proposed third party notice would not affect the trial date if the Court grants the order for the separate trial and determination of the issue of federal or provincial responsibility for any pre-Confederation wrongdoing. British Columbia would not be put to the cost of pre-trial steps regarding that issue until the Court had determined in the main action the plaintiffs' interest in the subject lands and any quantum of damages. Canada suggests that if the third party claim is tried separately, neither the plaintiffs nor the CLC defendants would need to participate in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Canada argues that a denial of this application would cause significant prejudice by precluding Canada from pursuing a claim in this action against the Province on the issue of responsibility for damages for any pre-Confederation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Canada submits there are practical and compelling reasons to sever the issue of pre-Confederation liability from the main action. Canada maintains that the question of federal or provincial responsibility for pre-Confederation liabilities is distinct from the determination of the Colonial Crown's liability to the plaintiffs, and the calculation of any damages that may flow from pre-Confederation wrongdoing. The question of which Crown -- federal or provincial -- is liable for any damages owed to the plaintiffs for any wrongdoing of the Colony of British Columbia will be analyzed on a discrete historical record concerning negotiations between the Dominion of Canada and the Colony of British Columbia leading to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and the law relating to the successorship of Crown obligations. Further, this issue would only need to be addressed if the plaintiffs succeed in establishing their reserve interest in the subject lands, and a wrongful act or omission by Colonial officials that deprived them of that interest.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British Columbia argues that the third party claim does not fall within Rule 3-5(1) because:</w:t>
      </w:r>
      <w:r>
        <w:rPr>
          <w:rFonts w:ascii="arial" w:eastAsia="arial" w:hAnsi="arial" w:cs="arial"/>
          <w:sz w:val="20"/>
          <w:lang w:val="en-US" w:eastAsia="en-US" w:bidi="ar-SA"/>
        </w:rPr>
        <w:cr/>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Canada makes no claim for a contribution or indemnity against British Columbia;</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proposed pleadings do not allege that British Columbia owed any obligation or duty to Canada.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do not provide Canada with a cause of action entitling it to relief against the Province related to or connected with the subject matter of the plaintiffs' action. Accordingly, the proposed third party claim does not fall within Rule 3-5(1)(b) ;</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the plaintiffs have limited their claim for damages to Canada, there is no real issue in dispute about which level of government is responsible for pre-Confederation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British Columbia also contends that the proposed third party claim is "unnecessary" within the meaning of Rule 9-5(1)(b). British Columbia argues that if the plaintiffs are not able to establish that Canada is the successor to the Colony, then their claim for damages on this branch of their case will be dismissed. Counsel submits that where, as here, the plaintiffs do not claim damages against British Columbia, a declaration that British Columbia would have been responsible for any damages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British Columbia says Canada has pleaded as defences the issues relating to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it proposes to raise in its third party notice. If Canada is successful in defending against the plaintiffs' claim that it is the successor to the Colony, then it has a "complete remedy" and the third party claim is unnecessary.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plaintiffs submit that the severance order sought by Canada will prejudice them. If they establish they are entitled to damages for the wrongful acts of colonial officials, they say they should not be delayed in receiving their remedy by having to await the final resolution of further court proceedings between Canada and British Columbia to determine who will ultimately pay their damages. The plaintiffs say they have attempted to minimize that prejudice. They proposed that Canada provide an undertaking that if after a final determination, including appeals, of the issues of fact and law raised in their fourth amended statement of claim, the plaintiffs have established an entitlement to damages, then Canada would pay those damages to the plaintiffs forthwith, and before any judicial determination of which emanation of the Crown was ultimately responsible for those damages. Canada chose not to provide that undertaking.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plaintiffs also contend that an alternative proposal for severance made by Canada during submissions, that the third party claim be heard a few months after the trial of the main action, also prejudices them by delay, and by creating uncertainty about when the third party proceeding would be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Albeit without the benefit of an exchange of time estimates by the parties, counsel for the plaintiffs thought there would be sufficient time within the 80 days presently scheduled for the Court to hear the issue of federal or provincial responsibility for any damages attributable to pre-Confederation wrongdoing. Further, as Ms. Blomfield observed, during the argument of this application, counsel for Canada advised that if severance were not ordered, Canada would deliver its historical documents concerning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before the December holiday break. The plaintiffs submit that Canada will be able to fully argue the issues raised in its third party claim during the trial as currently scheduled, and will suffer no prejudice if all of the issues are heard together. Alternatively, if the Court has concerns about Canada or British Columbia not being ready or able to address the issue of federal or provincial responsibility for pre-Confederation liabilities, the plaintiffs propose the Court fix the dates for a short adjournment between the main trial and the hearing of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questions arising for determination on this application are:</w:t>
      </w:r>
      <w:r>
        <w:rPr>
          <w:rFonts w:ascii="arial" w:eastAsia="arial" w:hAnsi="arial" w:cs="arial"/>
          <w:sz w:val="20"/>
          <w:lang w:val="en-US" w:eastAsia="en-US" w:bidi="ar-SA"/>
        </w:rPr>
        <w:cr/>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Canada's proposed third party claim fall within Rule 3-5(1)?</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proposed third party claim unnecessary?</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third party claim falls within Rule 3-5(1), should the Court exercise its discretion to grant leave to file the third party notice?</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If so, should the third party claim be tried separately from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 AND ANALYSIS</w:t>
      </w:r>
      <w:r>
        <w:rPr>
          <w:rFonts w:ascii="arial" w:eastAsia="arial" w:hAnsi="arial" w:cs="arial"/>
          <w:sz w:val="20"/>
          <w:lang w:val="en-US" w:eastAsia="en-US" w:bidi="ar-SA"/>
        </w:rPr>
        <w:cr/>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Does the proposed Third Party Claim fall within Rule 3-5(1)?</w:t>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Applicable Legal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Rule 3-5(1) provides:</w:t>
      </w:r>
      <w:r>
        <w:rPr>
          <w:rFonts w:ascii="arial" w:eastAsia="arial" w:hAnsi="arial" w:cs="arial"/>
          <w:sz w:val="20"/>
          <w:lang w:val="en-US" w:eastAsia="en-US" w:bidi="ar-SA"/>
        </w:rPr>
        <w:cr/>
      </w:r>
    </w:p>
    <w:p>
      <w:pPr>
        <w:numPr>
          <w:numId w:val="2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 against whom relief is sought in an action may, if that party is not a plaintiff in the action, pursue a third party claim against any person if the party alleges that</w:t>
      </w:r>
    </w:p>
    <w:p>
      <w:pPr>
        <w:numPr>
          <w:numId w:val="28"/>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contribution or indemnity from the person in relation to any relief that is being sought against the party in the action,</w:t>
      </w:r>
    </w:p>
    <w:p>
      <w:pPr>
        <w:numPr>
          <w:numId w:val="2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party is entitled to relief against the person and that relief relates to or is connected with the subject matter of the action, or</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question or issue between the party and the person</w:t>
      </w:r>
    </w:p>
    <w:p>
      <w:pPr>
        <w:numPr>
          <w:numId w:val="31"/>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substantially the same as a question or issue that relates to or is connected with</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relief claimed in the action, or</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subject matter of the action,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properly be determined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Rule 3-5(14) authorizes the court to impose terms on any third party procedure to limit or avoid prejudice or unnecessary delay that might otherwise be suffered by a party as a result of the third party proceedings. Pursuant to Rule 3-5(15), the court has discretion to order that an issue raised in third party proceedings be tried at such time as the court may direct.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McNaughton v. Baker</w:t>
      </w:r>
      <w:r>
        <w:rPr>
          <w:rFonts w:ascii="arial" w:eastAsia="arial" w:hAnsi="arial" w:cs="arial"/>
          <w:color w:val="000000"/>
          <w:sz w:val="20"/>
          <w:lang w:val="en-US" w:eastAsia="en-US" w:bidi="ar-SA"/>
        </w:rPr>
        <w:t xml:space="preserve"> </w:t>
      </w:r>
      <w:hyperlink r:id="rId656" w:history="1">
        <w:r>
          <w:rPr>
            <w:rFonts w:ascii="arial" w:eastAsia="arial" w:hAnsi="arial" w:cs="arial"/>
            <w:i/>
            <w:color w:val="0077CC"/>
            <w:sz w:val="20"/>
            <w:u w:val="single"/>
            <w:shd w:val="clear" w:color="auto" w:fill="FFFFFF"/>
            <w:lang w:val="en-US" w:eastAsia="en-US" w:bidi="ar-SA"/>
          </w:rPr>
          <w:t>(1988), 25 B.C.L.R. (2d) 17</w:t>
        </w:r>
      </w:hyperlink>
      <w:r>
        <w:rPr>
          <w:rFonts w:ascii="arial" w:eastAsia="arial" w:hAnsi="arial" w:cs="arial"/>
          <w:color w:val="000000"/>
          <w:sz w:val="20"/>
          <w:lang w:val="en-US" w:eastAsia="en-US" w:bidi="ar-SA"/>
        </w:rPr>
        <w:t xml:space="preserve"> (C.A.) at 21, McLachlin J.A., (as she then was), explained the purpose of third party proceedings: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Third party pleadings function as a special type of statement of claim. Indeed, the claim they embody could be brought by separate action. But to avoid a multiplicity of proceedings, the rules permit the claim to be made in the action which has been commenced against the defendant. The object of permitting third party proceedings to be tried with the main action is to provide a single procedure for the resolution of related questions, issues or remedies, in order to avoid multiple actions and inconsistent findings, to provide a mechanism for the third party to defend the plaintiff's claim, and to ensure the third party claim is decided before a defendant is called upon to pay the full amount of any judgment. The avoidance of a multiplicity of proceedings is fundamental to our rules of civil procedure. This has been the case since the reforms effected by the Judicature Acts in the nineteenth century. As Cotton L.J. stated in </w:t>
      </w:r>
      <w:r>
        <w:rPr>
          <w:rFonts w:ascii="arial" w:eastAsia="arial" w:hAnsi="arial" w:cs="arial"/>
          <w:i/>
          <w:color w:val="000000"/>
          <w:sz w:val="20"/>
          <w:lang w:val="en-US" w:eastAsia="en-US" w:bidi="ar-SA"/>
        </w:rPr>
        <w:t>Searle v. Choat</w:t>
      </w:r>
      <w:r>
        <w:rPr>
          <w:rFonts w:ascii="arial" w:eastAsia="arial" w:hAnsi="arial" w:cs="arial"/>
          <w:color w:val="000000"/>
          <w:sz w:val="20"/>
          <w:lang w:val="en-US" w:eastAsia="en-US" w:bidi="ar-SA"/>
        </w:rPr>
        <w:t xml:space="preserve"> (1884), 25 Ch. D. 727: "the whole tenor of the </w:t>
      </w:r>
      <w:r>
        <w:rPr>
          <w:rFonts w:ascii="arial" w:eastAsia="arial" w:hAnsi="arial" w:cs="arial"/>
          <w:i/>
          <w:color w:val="000000"/>
          <w:sz w:val="20"/>
          <w:lang w:val="en-US" w:eastAsia="en-US" w:bidi="ar-SA"/>
        </w:rPr>
        <w:t>Judicature Acts</w:t>
      </w:r>
      <w:r>
        <w:rPr>
          <w:rFonts w:ascii="arial" w:eastAsia="arial" w:hAnsi="arial" w:cs="arial"/>
          <w:color w:val="000000"/>
          <w:sz w:val="20"/>
          <w:lang w:val="en-US" w:eastAsia="en-US" w:bidi="ar-SA"/>
        </w:rPr>
        <w:t xml:space="preserve"> is to require all proceedings as far as possible to be taken in one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A party seeking to bring third party proceedings is not required to adduce evidence supporting the claim. Rather, the court proceeds on the assumption that the facts pleaded can be established: </w:t>
      </w:r>
      <w:r>
        <w:rPr>
          <w:rFonts w:ascii="arial" w:eastAsia="arial" w:hAnsi="arial" w:cs="arial"/>
          <w:i/>
          <w:color w:val="000000"/>
          <w:sz w:val="20"/>
          <w:lang w:val="en-US" w:eastAsia="en-US" w:bidi="ar-SA"/>
        </w:rPr>
        <w:t>McNaughton</w:t>
      </w:r>
      <w:r>
        <w:rPr>
          <w:rFonts w:ascii="arial" w:eastAsia="arial" w:hAnsi="arial" w:cs="arial"/>
          <w:color w:val="000000"/>
          <w:sz w:val="20"/>
          <w:lang w:val="en-US" w:eastAsia="en-US" w:bidi="ar-SA"/>
        </w:rPr>
        <w:t xml:space="preserve"> at paras. 28-33.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Rule 3-5(1)(a) has no application here, where Canada does not claim against British Columbia for a contribution or indemnity. Rather, Canada seeks a declaration that British Columbia is responsible for any loss or damage caused by the Colony of British Columbia in relation to the subject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Canada submits that its third party claim for declaratory relief against British Columbia relates to or is connected with "the subject matter of the action", and therefore falls within Rule 35-5(1)(b).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fact that Canada seeks only declaratory relief against British Columbia is not a bar to the proposed third party claim. The court has discretion to permit a third party proceeding where declaratory relief is sought, even without the necessity of a </w:t>
      </w:r>
      <w:r>
        <w:rPr>
          <w:rFonts w:ascii="arial" w:eastAsia="arial" w:hAnsi="arial" w:cs="arial"/>
          <w:i/>
          <w:color w:val="000000"/>
          <w:sz w:val="20"/>
          <w:lang w:val="en-US" w:eastAsia="en-US" w:bidi="ar-SA"/>
        </w:rPr>
        <w:t>lis</w:t>
      </w:r>
      <w:r>
        <w:rPr>
          <w:rFonts w:ascii="arial" w:eastAsia="arial" w:hAnsi="arial" w:cs="arial"/>
          <w:color w:val="000000"/>
          <w:sz w:val="20"/>
          <w:lang w:val="en-US" w:eastAsia="en-US" w:bidi="ar-SA"/>
        </w:rPr>
        <w:t xml:space="preserve">, provided the claim falls within one of the categories set out in Rule 3-5(1): </w:t>
      </w:r>
      <w:r>
        <w:rPr>
          <w:rFonts w:ascii="arial" w:eastAsia="arial" w:hAnsi="arial" w:cs="arial"/>
          <w:i/>
          <w:color w:val="000000"/>
          <w:sz w:val="20"/>
          <w:lang w:val="en-US" w:eastAsia="en-US" w:bidi="ar-SA"/>
        </w:rPr>
        <w:t>Rurka v. JALG Industries Inc.</w:t>
      </w:r>
      <w:r>
        <w:rPr>
          <w:rFonts w:ascii="arial" w:eastAsia="arial" w:hAnsi="arial" w:cs="arial"/>
          <w:color w:val="000000"/>
          <w:sz w:val="20"/>
          <w:lang w:val="en-US" w:eastAsia="en-US" w:bidi="ar-SA"/>
        </w:rPr>
        <w:t xml:space="preserve"> </w:t>
      </w:r>
      <w:hyperlink r:id="rId657" w:history="1">
        <w:r>
          <w:rPr>
            <w:rFonts w:ascii="arial" w:eastAsia="arial" w:hAnsi="arial" w:cs="arial"/>
            <w:i/>
            <w:color w:val="0077CC"/>
            <w:sz w:val="20"/>
            <w:u w:val="single"/>
            <w:shd w:val="clear" w:color="auto" w:fill="FFFFFF"/>
            <w:lang w:val="en-US" w:eastAsia="en-US" w:bidi="ar-SA"/>
          </w:rPr>
          <w:t>(1999), 30 C.P.C. (4th) 34</w:t>
        </w:r>
      </w:hyperlink>
      <w:r>
        <w:rPr>
          <w:rFonts w:ascii="arial" w:eastAsia="arial" w:hAnsi="arial" w:cs="arial"/>
          <w:color w:val="000000"/>
          <w:sz w:val="20"/>
          <w:lang w:val="en-US" w:eastAsia="en-US" w:bidi="ar-SA"/>
        </w:rPr>
        <w:t xml:space="preserve"> (B.C.S.C.) at para. 31; </w:t>
      </w:r>
      <w:r>
        <w:rPr>
          <w:rFonts w:ascii="arial" w:eastAsia="arial" w:hAnsi="arial" w:cs="arial"/>
          <w:i/>
          <w:color w:val="000000"/>
          <w:sz w:val="20"/>
          <w:lang w:val="en-US" w:eastAsia="en-US" w:bidi="ar-SA"/>
        </w:rPr>
        <w:t>British Columbia Ferry Corp. v. T &amp; N plc</w:t>
      </w:r>
      <w:r>
        <w:rPr>
          <w:rFonts w:ascii="arial" w:eastAsia="arial" w:hAnsi="arial" w:cs="arial"/>
          <w:color w:val="000000"/>
          <w:sz w:val="20"/>
          <w:lang w:val="en-US" w:eastAsia="en-US" w:bidi="ar-SA"/>
        </w:rPr>
        <w:t xml:space="preserve"> </w:t>
      </w:r>
      <w:hyperlink r:id="rId658" w:history="1">
        <w:r>
          <w:rPr>
            <w:rFonts w:ascii="arial" w:eastAsia="arial" w:hAnsi="arial" w:cs="arial"/>
            <w:i/>
            <w:color w:val="0077CC"/>
            <w:sz w:val="20"/>
            <w:u w:val="single"/>
            <w:shd w:val="clear" w:color="auto" w:fill="FFFFFF"/>
            <w:lang w:val="en-US" w:eastAsia="en-US" w:bidi="ar-SA"/>
          </w:rPr>
          <w:t>(1995), 16 B.C.L.R. (3d) 115</w:t>
        </w:r>
      </w:hyperlink>
      <w:r>
        <w:rPr>
          <w:rFonts w:ascii="arial" w:eastAsia="arial" w:hAnsi="arial" w:cs="arial"/>
          <w:color w:val="000000"/>
          <w:sz w:val="20"/>
          <w:lang w:val="en-US" w:eastAsia="en-US" w:bidi="ar-SA"/>
        </w:rPr>
        <w:t xml:space="preserve"> (C.A.) at paras. 29, 31. I will return later in these reasons to the question of whether the court should exercise its discretion to permit the filing of the proposed third party notice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I turn now to consider the "subject matter of the action". In </w:t>
      </w:r>
      <w:r>
        <w:rPr>
          <w:rFonts w:ascii="arial" w:eastAsia="arial" w:hAnsi="arial" w:cs="arial"/>
          <w:i/>
          <w:color w:val="000000"/>
          <w:sz w:val="20"/>
          <w:lang w:val="en-US" w:eastAsia="en-US" w:bidi="ar-SA"/>
        </w:rPr>
        <w:t>Webber v. Lowrie</w:t>
      </w:r>
      <w:r>
        <w:rPr>
          <w:rFonts w:ascii="arial" w:eastAsia="arial" w:hAnsi="arial" w:cs="arial"/>
          <w:color w:val="000000"/>
          <w:sz w:val="20"/>
          <w:lang w:val="en-US" w:eastAsia="en-US" w:bidi="ar-SA"/>
        </w:rPr>
        <w:t xml:space="preserve"> </w:t>
      </w:r>
      <w:hyperlink r:id="rId659" w:history="1">
        <w:r>
          <w:rPr>
            <w:rFonts w:ascii="arial" w:eastAsia="arial" w:hAnsi="arial" w:cs="arial"/>
            <w:i/>
            <w:color w:val="0077CC"/>
            <w:sz w:val="20"/>
            <w:u w:val="single"/>
            <w:shd w:val="clear" w:color="auto" w:fill="FFFFFF"/>
            <w:lang w:val="en-US" w:eastAsia="en-US" w:bidi="ar-SA"/>
          </w:rPr>
          <w:t>(1978), 8 B.C.L.R. 131</w:t>
        </w:r>
      </w:hyperlink>
      <w:r>
        <w:rPr>
          <w:rFonts w:ascii="arial" w:eastAsia="arial" w:hAnsi="arial" w:cs="arial"/>
          <w:color w:val="000000"/>
          <w:sz w:val="20"/>
          <w:lang w:val="en-US" w:eastAsia="en-US" w:bidi="ar-SA"/>
        </w:rPr>
        <w:t xml:space="preserve"> (B.C.C.A.), the court characterized the subject matter of an action for personal injuries arising from a motor vehicle accident as "damages flowing from the negligent conduct". In </w:t>
      </w:r>
      <w:r>
        <w:rPr>
          <w:rFonts w:ascii="arial" w:eastAsia="arial" w:hAnsi="arial" w:cs="arial"/>
          <w:i/>
          <w:color w:val="000000"/>
          <w:sz w:val="20"/>
          <w:lang w:val="en-US" w:eastAsia="en-US" w:bidi="ar-SA"/>
        </w:rPr>
        <w:t>Lui v. West Granville Manor Ltd.</w:t>
      </w:r>
      <w:r>
        <w:rPr>
          <w:rFonts w:ascii="arial" w:eastAsia="arial" w:hAnsi="arial" w:cs="arial"/>
          <w:color w:val="000000"/>
          <w:sz w:val="20"/>
          <w:lang w:val="en-US" w:eastAsia="en-US" w:bidi="ar-SA"/>
        </w:rPr>
        <w:t xml:space="preserve"> </w:t>
      </w:r>
      <w:hyperlink r:id="rId660" w:history="1">
        <w:r>
          <w:rPr>
            <w:rFonts w:ascii="arial" w:eastAsia="arial" w:hAnsi="arial" w:cs="arial"/>
            <w:i/>
            <w:color w:val="0077CC"/>
            <w:sz w:val="20"/>
            <w:u w:val="single"/>
            <w:shd w:val="clear" w:color="auto" w:fill="FFFFFF"/>
            <w:lang w:val="en-US" w:eastAsia="en-US" w:bidi="ar-SA"/>
          </w:rPr>
          <w:t>(1985), 61 B.C.L.R. 315</w:t>
        </w:r>
      </w:hyperlink>
      <w:r>
        <w:rPr>
          <w:rFonts w:ascii="arial" w:eastAsia="arial" w:hAnsi="arial" w:cs="arial"/>
          <w:color w:val="000000"/>
          <w:sz w:val="20"/>
          <w:lang w:val="en-US" w:eastAsia="en-US" w:bidi="ar-SA"/>
        </w:rPr>
        <w:t xml:space="preserve"> (B.C.C.A.), the court emphasized that the original subject matter of the action must be determined in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Here, the subject matter of the action includes the plaintiffs' claim for damages against Canada for loss of use flowing from the wrongful disposition of the subject lands by the Colony of British Columbia. The plaintiffs' claim against Canada, as the alleged successor to the Colony of British Columbia, for damages for loss of use of the subject lands will require an examination of the historical record concerning the making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and the interpretation of Articles 1, 2 and 13. In its defence to that claim and in support of its third party claim, Canada will rely on the same historical record and will urge the court to find that Canada has no responsibility for any pre-Confederation liability relating to the subject lands. Canada also seeks a determination that British Columbia is the successor to the Colony of British Columbia, and is responsible for any damages caused by the Colony. Both the main action and the proposed third party claim raise related issues of Crown successorship and the meaning, scope and effect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The declaratory relief sought by Canada concerning British Columbia's responsibility for pre-Confederation liabilities is related to or connected with the subject matter of this action. I find that the proposed third party claim falls within Rule 3-5(1)(b).</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Is The Proposed Third Party Claim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A pleading is "unnecessary" or "vexatious" if it does not go to establishing the party's cause of action or does not advance a claim known in law: </w:t>
      </w:r>
      <w:r>
        <w:rPr>
          <w:rFonts w:ascii="arial" w:eastAsia="arial" w:hAnsi="arial" w:cs="arial"/>
          <w:i/>
          <w:color w:val="000000"/>
          <w:sz w:val="20"/>
          <w:lang w:val="en-US" w:eastAsia="en-US" w:bidi="ar-SA"/>
        </w:rPr>
        <w:t>Citizens for Foreign Aid Reform Inc. v. Canadian Jewish Congress</w:t>
      </w:r>
      <w:r>
        <w:rPr>
          <w:rFonts w:ascii="arial" w:eastAsia="arial" w:hAnsi="arial" w:cs="arial"/>
          <w:color w:val="000000"/>
          <w:sz w:val="20"/>
          <w:lang w:val="en-US" w:eastAsia="en-US" w:bidi="ar-SA"/>
        </w:rPr>
        <w:t xml:space="preserve"> </w:t>
      </w:r>
      <w:hyperlink r:id="rId661" w:history="1">
        <w:r>
          <w:rPr>
            <w:rFonts w:ascii="arial" w:eastAsia="arial" w:hAnsi="arial" w:cs="arial"/>
            <w:i/>
            <w:color w:val="0077CC"/>
            <w:sz w:val="20"/>
            <w:u w:val="single"/>
            <w:shd w:val="clear" w:color="auto" w:fill="FFFFFF"/>
            <w:lang w:val="en-US" w:eastAsia="en-US" w:bidi="ar-SA"/>
          </w:rPr>
          <w:t>(1999), 36 C.P.C. (4th) 266</w:t>
        </w:r>
      </w:hyperlink>
      <w:r>
        <w:rPr>
          <w:rFonts w:ascii="arial" w:eastAsia="arial" w:hAnsi="arial" w:cs="arial"/>
          <w:color w:val="000000"/>
          <w:sz w:val="20"/>
          <w:lang w:val="en-US" w:eastAsia="en-US" w:bidi="ar-SA"/>
        </w:rPr>
        <w:t xml:space="preserve"> (B.C.S.C.) at para. 47. Under Rule 9-5(1)(b), the court may order a pleading to be struck on the ground that it is unnecessary, scandalous, frivolous or vexatious.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British Columbia submits that Canada's third party notice is "unnecessary" within the meaning of Rule 9-5(1)(b) and says on this basis the court should refuse to grant leave to file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Because the plaintiffs have only claimed against Canada for damages for loss of use of the subject lands, British Columbia says that the declaratory relief sought in the proposed third party notice is hypothetical, and therefore unnecessary. In support of its position, British Columbia relies on </w:t>
      </w:r>
      <w:r>
        <w:rPr>
          <w:rFonts w:ascii="arial" w:eastAsia="arial" w:hAnsi="arial" w:cs="arial"/>
          <w:i/>
          <w:color w:val="000000"/>
          <w:sz w:val="20"/>
          <w:lang w:val="en-US" w:eastAsia="en-US" w:bidi="ar-SA"/>
        </w:rPr>
        <w:t>Cheslatta Carrier Nation v. British Columbia</w:t>
      </w:r>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(2000), 80 B.C.L.R. (3d) 212</w:t>
        </w:r>
      </w:hyperlink>
      <w:r>
        <w:rPr>
          <w:rFonts w:ascii="arial" w:eastAsia="arial" w:hAnsi="arial" w:cs="arial"/>
          <w:color w:val="000000"/>
          <w:sz w:val="20"/>
          <w:lang w:val="en-US" w:eastAsia="en-US" w:bidi="ar-SA"/>
        </w:rPr>
        <w:t xml:space="preserve">, </w:t>
      </w:r>
      <w:hyperlink r:id="rId662" w:history="1">
        <w:r>
          <w:rPr>
            <w:rFonts w:ascii="arial" w:eastAsia="arial" w:hAnsi="arial" w:cs="arial"/>
            <w:i/>
            <w:color w:val="0077CC"/>
            <w:sz w:val="20"/>
            <w:u w:val="single"/>
            <w:shd w:val="clear" w:color="auto" w:fill="FFFFFF"/>
            <w:lang w:val="en-US" w:eastAsia="en-US" w:bidi="ar-SA"/>
          </w:rPr>
          <w:t>2000 BCCA 539</w:t>
        </w:r>
      </w:hyperlink>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Cheslatta</w:t>
      </w:r>
      <w:r>
        <w:rPr>
          <w:rFonts w:ascii="arial" w:eastAsia="arial" w:hAnsi="arial" w:cs="arial"/>
          <w:color w:val="000000"/>
          <w:sz w:val="20"/>
          <w:lang w:val="en-US" w:eastAsia="en-US" w:bidi="ar-SA"/>
        </w:rPr>
        <w:t>, the plaintiff First Nation sought a declaration of aboriginal fishing rights but did not plead any infringement of those rights. The Court of Appeal, at para. 17, held that in the absence of a dispute the declaration would not serve a legal purpose by resolving a real difficulty.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my view, </w:t>
      </w:r>
      <w:r>
        <w:rPr>
          <w:rFonts w:ascii="arial" w:eastAsia="arial" w:hAnsi="arial" w:cs="arial"/>
          <w:i/>
          <w:color w:val="000000"/>
          <w:sz w:val="20"/>
          <w:lang w:val="en-US" w:eastAsia="en-US" w:bidi="ar-SA"/>
        </w:rPr>
        <w:t>Cheslatta</w:t>
      </w:r>
      <w:r>
        <w:rPr>
          <w:rFonts w:ascii="arial" w:eastAsia="arial" w:hAnsi="arial" w:cs="arial"/>
          <w:color w:val="000000"/>
          <w:sz w:val="20"/>
          <w:lang w:val="en-US" w:eastAsia="en-US" w:bidi="ar-SA"/>
        </w:rPr>
        <w:t xml:space="preserve"> is distinguishable from this case. Here, the plaintiffs have claimed damages for the alleged wrongful deprivation of their reserve interest in the subject lands. Canada contests liability for those damages. The dispute about whether Canada or British Columbia is responsible for the alleged pre-Confederation wrongdoing is raised on specific facts and is a live issue. If the plaintiffs establish they were wrongfully deprived of their reserve interest in the subject lands by the Colony of British Columbia, the declarations sought by Canada will directly affect the interests of the plaintiffs, Canada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British Columbia also argues that Canada has raised matters relating to Crown successorship and to the interpretation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in its further amended defence that it now seeks to raise in the proposed third party notice. Relying upon </w:t>
      </w:r>
      <w:r>
        <w:rPr>
          <w:rFonts w:ascii="arial" w:eastAsia="arial" w:hAnsi="arial" w:cs="arial"/>
          <w:i/>
          <w:color w:val="000000"/>
          <w:sz w:val="20"/>
          <w:lang w:val="en-US" w:eastAsia="en-US" w:bidi="ar-SA"/>
        </w:rPr>
        <w:t>Adams v. Thompson, Berwick Pratt and Partners</w:t>
      </w:r>
      <w:r>
        <w:rPr>
          <w:rFonts w:ascii="arial" w:eastAsia="arial" w:hAnsi="arial" w:cs="arial"/>
          <w:color w:val="000000"/>
          <w:sz w:val="20"/>
          <w:lang w:val="en-US" w:eastAsia="en-US" w:bidi="ar-SA"/>
        </w:rPr>
        <w:t xml:space="preserve"> </w:t>
      </w:r>
      <w:hyperlink r:id="rId663" w:history="1">
        <w:r>
          <w:rPr>
            <w:rFonts w:ascii="arial" w:eastAsia="arial" w:hAnsi="arial" w:cs="arial"/>
            <w:i/>
            <w:color w:val="0077CC"/>
            <w:sz w:val="20"/>
            <w:u w:val="single"/>
            <w:shd w:val="clear" w:color="auto" w:fill="FFFFFF"/>
            <w:lang w:val="en-US" w:eastAsia="en-US" w:bidi="ar-SA"/>
          </w:rPr>
          <w:t>(1987), 15 B.C.L.R. (2d) 51</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Laidar Holdings Ltd. v. Lindt &amp; Sprungli (Canada) Ltd.</w:t>
      </w:r>
      <w:r>
        <w:rPr>
          <w:rFonts w:ascii="arial" w:eastAsia="arial" w:hAnsi="arial" w:cs="arial"/>
          <w:color w:val="000000"/>
          <w:sz w:val="20"/>
          <w:lang w:val="en-US" w:eastAsia="en-US" w:bidi="ar-SA"/>
        </w:rPr>
        <w:t xml:space="preserve">, </w:t>
      </w:r>
      <w:hyperlink r:id="rId664" w:history="1">
        <w:r>
          <w:rPr>
            <w:rFonts w:ascii="arial" w:eastAsia="arial" w:hAnsi="arial" w:cs="arial"/>
            <w:i/>
            <w:color w:val="0077CC"/>
            <w:sz w:val="20"/>
            <w:u w:val="single"/>
            <w:shd w:val="clear" w:color="auto" w:fill="FFFFFF"/>
            <w:lang w:val="en-US" w:eastAsia="en-US" w:bidi="ar-SA"/>
          </w:rPr>
          <w:t>2012 BCCA 22</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WorleyParsons Canada Ltd. v. David Nairn and Associates</w:t>
      </w:r>
      <w:r>
        <w:rPr>
          <w:rFonts w:ascii="arial" w:eastAsia="arial" w:hAnsi="arial" w:cs="arial"/>
          <w:color w:val="000000"/>
          <w:sz w:val="20"/>
          <w:lang w:val="en-US" w:eastAsia="en-US" w:bidi="ar-SA"/>
        </w:rPr>
        <w:t xml:space="preserve">, </w:t>
      </w:r>
      <w:hyperlink r:id="rId665" w:history="1">
        <w:r>
          <w:rPr>
            <w:rFonts w:ascii="arial" w:eastAsia="arial" w:hAnsi="arial" w:cs="arial"/>
            <w:i/>
            <w:color w:val="0077CC"/>
            <w:sz w:val="20"/>
            <w:u w:val="single"/>
            <w:shd w:val="clear" w:color="auto" w:fill="FFFFFF"/>
            <w:lang w:val="en-US" w:eastAsia="en-US" w:bidi="ar-SA"/>
          </w:rPr>
          <w:t>2013 BCCA 513</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Northmark Mechanical Systems Inc. v. Watson (Estate)</w:t>
      </w:r>
      <w:r>
        <w:rPr>
          <w:rFonts w:ascii="arial" w:eastAsia="arial" w:hAnsi="arial" w:cs="arial"/>
          <w:color w:val="000000"/>
          <w:sz w:val="20"/>
          <w:lang w:val="en-US" w:eastAsia="en-US" w:bidi="ar-SA"/>
        </w:rPr>
        <w:t xml:space="preserve">, </w:t>
      </w:r>
      <w:hyperlink r:id="rId666" w:history="1">
        <w:r>
          <w:rPr>
            <w:rFonts w:ascii="arial" w:eastAsia="arial" w:hAnsi="arial" w:cs="arial"/>
            <w:i/>
            <w:color w:val="0077CC"/>
            <w:sz w:val="20"/>
            <w:u w:val="single"/>
            <w:shd w:val="clear" w:color="auto" w:fill="FFFFFF"/>
            <w:lang w:val="en-US" w:eastAsia="en-US" w:bidi="ar-SA"/>
          </w:rPr>
          <w:t>2009 BCSC 1237</w:t>
        </w:r>
      </w:hyperlink>
      <w:r>
        <w:rPr>
          <w:rFonts w:ascii="arial" w:eastAsia="arial" w:hAnsi="arial" w:cs="arial"/>
          <w:color w:val="000000"/>
          <w:sz w:val="20"/>
          <w:lang w:val="en-US" w:eastAsia="en-US" w:bidi="ar-SA"/>
        </w:rPr>
        <w:t>, British Columbia submits that a third party action cannot ordinarily be maintained upon a pleading a defendant can raise directly against the plaintiff by its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the defendant engineers issued a third party notice against the plaintiff's solicitors. The defendant alleged the solicitors had provided negligent advice to their clients that caused or contributed to the loss suffered by the plaintiffs on the development of a subdivision. After reviewing the authorities, McLachlin J.A. (as she then was), writing for the Court, stated the rule in these terms at para. 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thus may be stated with confidence, in my view, that a third party claim </w:t>
      </w:r>
      <w:r>
        <w:rPr>
          <w:rFonts w:ascii="arial" w:eastAsia="arial" w:hAnsi="arial" w:cs="arial"/>
          <w:color w:val="000000"/>
          <w:sz w:val="20"/>
          <w:u w:val="single"/>
          <w:lang w:val="en-US" w:eastAsia="en-US" w:bidi="ar-SA"/>
        </w:rPr>
        <w:t>will not lie against another person with respect to an obligation belonging to the plaintiff which the defendant can raise directly against the plaintiff by way of defence.</w:t>
      </w:r>
      <w:r>
        <w:rPr>
          <w:rFonts w:ascii="arial" w:eastAsia="arial" w:hAnsi="arial" w:cs="arial"/>
          <w:color w:val="000000"/>
          <w:sz w:val="20"/>
          <w:lang w:val="en-US" w:eastAsia="en-US" w:bidi="ar-SA"/>
        </w:rPr>
        <w:t xml:space="preserve"> Where the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the third party is attributable to the plaintiff, there is no need for third party proceedings since the defendant has his full remedy against the plaintiff. On the other hand, where the pleadings and the alleged facts raise the possibility of a claim against the third party for which the plaintiff may not be responsible, the third party claim should be allowed to stand.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Because the solicitors were acting as the plaintiff's agents, or were advising the plaintiffs in respect of their obligations,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solicitors was attributable to the plaintiffs. In those circumstances, the engineers' defence, if successful, would provide a complete remedy. There was no need for a third party claim. Accordingly, the Court upheld the decision of the chambers judge striking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Laidar Holdings Ltd.</w:t>
      </w:r>
      <w:r>
        <w:rPr>
          <w:rFonts w:ascii="arial" w:eastAsia="arial" w:hAnsi="arial" w:cs="arial"/>
          <w:color w:val="000000"/>
          <w:sz w:val="20"/>
          <w:lang w:val="en-US" w:eastAsia="en-US" w:bidi="ar-SA"/>
        </w:rPr>
        <w:t xml:space="preserve">, the Court of Appeal upheld the decision of a chambers judge dismissing an application by a third party to join the solicitors for the defendant Lindt as a fourth party. The only cause of action alleged against the solicitors was the breach of a duty owed only to Lindt.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the Court held at para. 35 that such a breach of duty did not give the third party, DTZ, an independent right of contribution against the solicitors. If the law firm was negligent in its advice to its client, DTZ would, like the engineers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"have a complete remedy" by way of reduction of the defendant's damages for which the third party could be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Laidar</w:t>
      </w:r>
      <w:r>
        <w:rPr>
          <w:rFonts w:ascii="arial" w:eastAsia="arial" w:hAnsi="arial" w:cs="arial"/>
          <w:color w:val="000000"/>
          <w:sz w:val="20"/>
          <w:lang w:val="en-US" w:eastAsia="en-US" w:bidi="ar-SA"/>
        </w:rPr>
        <w:t xml:space="preserve">, the Court applied the principle stated by McLachlin J.A.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at 55 that "[w]here the fault alleged against the proposed third party is in fact the fault of the plaintiff, the defendant can raise that fault by way of defence, making third party proceedings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WorleyParsons Canada Ltd.</w:t>
      </w:r>
      <w:r>
        <w:rPr>
          <w:rFonts w:ascii="arial" w:eastAsia="arial" w:hAnsi="arial" w:cs="arial"/>
          <w:color w:val="000000"/>
          <w:sz w:val="20"/>
          <w:lang w:val="en-US" w:eastAsia="en-US" w:bidi="ar-SA"/>
        </w:rPr>
        <w:t xml:space="preserve"> turned, in part, on the application of the same principle. There, the Campbell River Indian Band claimed damages against the defendant WorleyParsons Canada Ltd. for the negligent design of a cruise ship terminal that proved unattractive to cruise ship operators. The defendant brought third party proceedings against David Nairn and Associates ("DNA") a firm retained by the Band to provide certain professional services. The defendant sought contribution and indemnity from DNA on the basis that DNA was negligent in failing to evaluate the suitability of Campbell River as a port of call for cruise ships, or determining whether the cruise ship facility would benefit the Band economically. The chambers judge granted DNA's application to strike the third party notice on the ground that the allegations made against DNA were all matters that the defendant was entitled to raise directly against the Band in defending the action. The Court of Appeal upheld the decision of the chambers judge striking the third party notice. At para. 32, the Court held that because virtually all of the matters raised in the third party notice against DNA related to damages that were distinct from those allegedly caused by the defendant, no claim for contribution or indemnity could be brought in respect of those matters. To the extent that the defendant claimed against DNA for its failure to mitigate the plaintiff's damages, the third party notice was redundant. The duty to mitigate belonged to the plaintiff and the defendant could raise the defence of failure to mitigate directly against the Band in its defence of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principle stated in </w:t>
      </w:r>
      <w:r>
        <w:rPr>
          <w:rFonts w:ascii="arial" w:eastAsia="arial" w:hAnsi="arial" w:cs="arial"/>
          <w:i/>
          <w:color w:val="000000"/>
          <w:sz w:val="20"/>
          <w:lang w:val="en-US" w:eastAsia="en-US" w:bidi="ar-SA"/>
        </w:rPr>
        <w:t>Adams</w:t>
      </w:r>
      <w:r>
        <w:rPr>
          <w:rFonts w:ascii="arial" w:eastAsia="arial" w:hAnsi="arial" w:cs="arial"/>
          <w:color w:val="000000"/>
          <w:sz w:val="20"/>
          <w:lang w:val="en-US" w:eastAsia="en-US" w:bidi="ar-SA"/>
        </w:rPr>
        <w:t xml:space="preserve"> that a third party claim is not available where the duties upon which it is based belong to the plaintiff has no application in this case. Here, rather than advancing an unnecessary claim against a third party in respect of an obligation belonging to the plaintiffs, the proposed third party notice seeks declarations concerning British Columbia's responsibility for any loss or damage caused by the Colony of British Columbia in relation to the subject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Northmark</w:t>
      </w:r>
      <w:r>
        <w:rPr>
          <w:rFonts w:ascii="arial" w:eastAsia="arial" w:hAnsi="arial" w:cs="arial"/>
          <w:color w:val="000000"/>
          <w:sz w:val="20"/>
          <w:lang w:val="en-US" w:eastAsia="en-US" w:bidi="ar-SA"/>
        </w:rPr>
        <w:t xml:space="preserve">, the plaintiff claimed against the defendant estate for monies had and received. Northmark claimed that it was the beneficial owner of certain shares sold through the account of Mrs. Watson, the deceased testatrix. The defendants brought a third party claim alleging that the shares sold through Mrs. Watson's account were not owned by the plaintiff, but rather by the third party, Richard Watson. In </w:t>
      </w:r>
      <w:r>
        <w:rPr>
          <w:rFonts w:ascii="arial" w:eastAsia="arial" w:hAnsi="arial" w:cs="arial"/>
          <w:i/>
          <w:color w:val="000000"/>
          <w:sz w:val="20"/>
          <w:lang w:val="en-US" w:eastAsia="en-US" w:bidi="ar-SA"/>
        </w:rPr>
        <w:t>Northmark</w:t>
      </w:r>
      <w:r>
        <w:rPr>
          <w:rFonts w:ascii="arial" w:eastAsia="arial" w:hAnsi="arial" w:cs="arial"/>
          <w:color w:val="000000"/>
          <w:sz w:val="20"/>
          <w:lang w:val="en-US" w:eastAsia="en-US" w:bidi="ar-SA"/>
        </w:rPr>
        <w:t>, at para. 48, the court, in finding there was no basis for the defendants' plea of indemnity, held that claims made in the third party notice, including the claim that the shares were never beneficially owned by the plaintiff, were defences to Northmark's claim. If the defendants succeeded in their defence, they might not be liable to the plaintiff and would have no claim against the third 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Northmark</w:t>
      </w:r>
      <w:r>
        <w:rPr>
          <w:rFonts w:ascii="arial" w:eastAsia="arial" w:hAnsi="arial" w:cs="arial"/>
          <w:color w:val="000000"/>
          <w:sz w:val="20"/>
          <w:lang w:val="en-US" w:eastAsia="en-US" w:bidi="ar-SA"/>
        </w:rPr>
        <w:t xml:space="preserve">, the court applied the principle that a third party action cannot ordinarily be maintained upon a plea a defendant can raise directly against the plaintiff to third party pleadings that went beyond allegations of fault against a third party respecting obligations that properly belonged to the plaintiff. Although there was no basis for the claim for indemnity, the court ultimately found that the third party notice did raise issues related to or connected with the relief claimed in the action, and with the original subject matter of that action. Accordingly, the court dismissed the defendant's application to set aside the third party notice: </w:t>
      </w:r>
      <w:r>
        <w:rPr>
          <w:rFonts w:ascii="arial" w:eastAsia="arial" w:hAnsi="arial" w:cs="arial"/>
          <w:i/>
          <w:color w:val="000000"/>
          <w:sz w:val="20"/>
          <w:lang w:val="en-US" w:eastAsia="en-US" w:bidi="ar-SA"/>
        </w:rPr>
        <w:t>Northmark</w:t>
      </w:r>
      <w:r>
        <w:rPr>
          <w:rFonts w:ascii="arial" w:eastAsia="arial" w:hAnsi="arial" w:cs="arial"/>
          <w:color w:val="000000"/>
          <w:sz w:val="20"/>
          <w:lang w:val="en-US" w:eastAsia="en-US" w:bidi="ar-SA"/>
        </w:rPr>
        <w:t xml:space="preserve"> at paras. 49, 55, 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Here, by its proposed third party notice, Canada seeks declaratory relief to resolve the issue of which emanation of the Crown is responsible for any loss caused by any breach of duty by the Colony of British Columbia relating to the subject lands. I have found the relief sought by Canada is related or connected with the subject matter of this action. In the event that the plaintiffs establish a reserve interest in the subject lands, and loss of use of the lands as a result of wrongful acts or omissions of the Colony of British Columbia, it will be necessary for the Court to decide the issue of Crown successorship for pre-Confederation liabilities.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British Columbia also submits that this case, where the plaintiffs have chosen to restrict their claim for damages arising from the actions of the Colony to a claim against Canada, is analogous to proceedings where the plaintiff has expressly waived any claim against non-parties, and third party claims have been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Chapman v. Canada</w:t>
      </w:r>
      <w:r>
        <w:rPr>
          <w:rFonts w:ascii="arial" w:eastAsia="arial" w:hAnsi="arial" w:cs="arial"/>
          <w:color w:val="000000"/>
          <w:sz w:val="20"/>
          <w:lang w:val="en-US" w:eastAsia="en-US" w:bidi="ar-SA"/>
        </w:rPr>
        <w:t xml:space="preserve">, </w:t>
      </w:r>
      <w:hyperlink r:id="rId667" w:history="1">
        <w:r>
          <w:rPr>
            <w:rFonts w:ascii="arial" w:eastAsia="arial" w:hAnsi="arial" w:cs="arial"/>
            <w:i/>
            <w:color w:val="0077CC"/>
            <w:sz w:val="20"/>
            <w:u w:val="single"/>
            <w:shd w:val="clear" w:color="auto" w:fill="FFFFFF"/>
            <w:lang w:val="en-US" w:eastAsia="en-US" w:bidi="ar-SA"/>
          </w:rPr>
          <w:t>2007 SKQB 151</w:t>
        </w:r>
      </w:hyperlink>
      <w:r>
        <w:rPr>
          <w:rFonts w:ascii="arial" w:eastAsia="arial" w:hAnsi="arial" w:cs="arial"/>
          <w:color w:val="000000"/>
          <w:sz w:val="20"/>
          <w:lang w:val="en-US" w:eastAsia="en-US" w:bidi="ar-SA"/>
        </w:rPr>
        <w:t xml:space="preserve">, the plaintiffs brought a class action against Canada regarding the regulation of breast implants. The plaintiffs limited their claim to damages attributable to the proportionate degree of fault of Health Canada and chose not to sue the proposed third parties. The Court held that Canada had no cause of action for contribution or indemnity, and that it was neither necessary nor relevant to determine what proportionate share of the plaintiff's overall loss might have been individually or collectively contributed by the proposed third parties. And see also </w:t>
      </w:r>
      <w:r>
        <w:rPr>
          <w:rFonts w:ascii="arial" w:eastAsia="arial" w:hAnsi="arial" w:cs="arial"/>
          <w:i/>
          <w:color w:val="000000"/>
          <w:sz w:val="20"/>
          <w:lang w:val="en-US" w:eastAsia="en-US" w:bidi="ar-SA"/>
        </w:rPr>
        <w:t>Taylor v. Canada (Minister of Health)</w:t>
      </w:r>
      <w:r>
        <w:rPr>
          <w:rFonts w:ascii="arial" w:eastAsia="arial" w:hAnsi="arial" w:cs="arial"/>
          <w:color w:val="000000"/>
          <w:sz w:val="20"/>
          <w:lang w:val="en-US" w:eastAsia="en-US" w:bidi="ar-SA"/>
        </w:rPr>
        <w:t xml:space="preserve"> </w:t>
      </w:r>
      <w:hyperlink r:id="rId668" w:history="1">
        <w:r>
          <w:rPr>
            <w:rFonts w:ascii="arial" w:eastAsia="arial" w:hAnsi="arial" w:cs="arial"/>
            <w:i/>
            <w:color w:val="0077CC"/>
            <w:sz w:val="20"/>
            <w:u w:val="single"/>
            <w:shd w:val="clear" w:color="auto" w:fill="FFFFFF"/>
            <w:lang w:val="en-US" w:eastAsia="en-US" w:bidi="ar-SA"/>
          </w:rPr>
          <w:t>(2009), 95 O.R. (3d) 561</w:t>
        </w:r>
      </w:hyperlink>
      <w:r>
        <w:rPr>
          <w:rFonts w:ascii="arial" w:eastAsia="arial" w:hAnsi="arial" w:cs="arial"/>
          <w:color w:val="000000"/>
          <w:sz w:val="20"/>
          <w:lang w:val="en-US" w:eastAsia="en-US" w:bidi="ar-SA"/>
        </w:rPr>
        <w:t xml:space="preserve"> at 565-66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Gottfriedson v. Canada</w:t>
      </w:r>
      <w:r>
        <w:rPr>
          <w:rFonts w:ascii="arial" w:eastAsia="arial" w:hAnsi="arial" w:cs="arial"/>
          <w:color w:val="000000"/>
          <w:sz w:val="20"/>
          <w:lang w:val="en-US" w:eastAsia="en-US" w:bidi="ar-SA"/>
        </w:rPr>
        <w:t xml:space="preserve">, </w:t>
      </w:r>
      <w:hyperlink r:id="rId669" w:history="1">
        <w:r>
          <w:rPr>
            <w:rFonts w:ascii="arial" w:eastAsia="arial" w:hAnsi="arial" w:cs="arial"/>
            <w:i/>
            <w:color w:val="0077CC"/>
            <w:sz w:val="20"/>
            <w:u w:val="single"/>
            <w:shd w:val="clear" w:color="auto" w:fill="FFFFFF"/>
            <w:lang w:val="en-US" w:eastAsia="en-US" w:bidi="ar-SA"/>
          </w:rPr>
          <w:t>2013 FC 1213</w:t>
        </w:r>
      </w:hyperlink>
      <w:r>
        <w:rPr>
          <w:rFonts w:ascii="arial" w:eastAsia="arial" w:hAnsi="arial" w:cs="arial"/>
          <w:color w:val="000000"/>
          <w:sz w:val="20"/>
          <w:lang w:val="en-US" w:eastAsia="en-US" w:bidi="ar-SA"/>
        </w:rPr>
        <w:t xml:space="preserve">, the plaintiffs sued Canada for harm they allegedly suffered as a result of Canada's </w:t>
      </w:r>
      <w:r>
        <w:rPr>
          <w:rFonts w:ascii="arial" w:eastAsia="arial" w:hAnsi="arial" w:cs="arial"/>
          <w:i/>
          <w:color w:val="000000"/>
          <w:sz w:val="20"/>
          <w:lang w:val="en-US" w:eastAsia="en-US" w:bidi="ar-SA"/>
        </w:rPr>
        <w:t>Indian Residential Schools Policy</w:t>
      </w:r>
      <w:r>
        <w:rPr>
          <w:rFonts w:ascii="arial" w:eastAsia="arial" w:hAnsi="arial" w:cs="arial"/>
          <w:color w:val="000000"/>
          <w:sz w:val="20"/>
          <w:lang w:val="en-US" w:eastAsia="en-US" w:bidi="ar-SA"/>
        </w:rPr>
        <w:t>. Canada issued a third party notice seeking contribution and indemnity from the third party religious orders that were responsible for supervision and operation of the residential schools identified in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plaintiffs had confined their action to their claim against Canada. They had expressly waived any right to recover from Canada, or any other party, any portion of their loss that might be attributable to the fault of any third party for which Canada might reasonably be entitled to claim contribution, indemnity or apportionment.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Federal Court struck out the third party claim, holding that Canada had no cause of action against the religious orders where the plaintiffs had expressly waived their right to recover from Canada any part of their loss attributable to the fault of any third party. The Court also decided that it was unnecessary to make an order joining the religious orders as third parties for procedural purposes where they had agreed to disclose documents and to make representatives available for discovery. The Court concluded that in these circumstances the religious orders were not necessary parties, and that Canada's defence the plaintiff's claim would not be prejudiced: </w:t>
      </w:r>
      <w:r>
        <w:rPr>
          <w:rFonts w:ascii="arial" w:eastAsia="arial" w:hAnsi="arial" w:cs="arial"/>
          <w:i/>
          <w:color w:val="000000"/>
          <w:sz w:val="20"/>
          <w:lang w:val="en-US" w:eastAsia="en-US" w:bidi="ar-SA"/>
        </w:rPr>
        <w:t>Gottfriedson</w:t>
      </w:r>
      <w:r>
        <w:rPr>
          <w:rFonts w:ascii="arial" w:eastAsia="arial" w:hAnsi="arial" w:cs="arial"/>
          <w:color w:val="000000"/>
          <w:sz w:val="20"/>
          <w:lang w:val="en-US" w:eastAsia="en-US" w:bidi="ar-SA"/>
        </w:rPr>
        <w:t xml:space="preserve"> at para. 54.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my view, the cases cited by British Columbia are all distinguishable. Canada is not seeking contribution, indemnity, or a determination of the apportionment of damages among multiple tortfeasors. Rather, in the context of a constitutional agreement to which British Columbia is party, Canada seeks a determination of which emanation of the Crown is wholly responsible for any loss or damage caused by the Colony of British Columbia in relation to the subject lands. Further, the plaintiffs have not expressly waived any claim they may have against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issue of Crown responsibility for wrongful acts or omissions of the Colony of British Columbia is also raised in other aboriginal litigation before the court. In July 2014, Canada gave notice of its intention to seek leave to file third party claims against British Columbia in </w:t>
      </w:r>
      <w:r>
        <w:rPr>
          <w:rFonts w:ascii="arial" w:eastAsia="arial" w:hAnsi="arial" w:cs="arial"/>
          <w:i/>
          <w:color w:val="000000"/>
          <w:sz w:val="20"/>
          <w:lang w:val="en-US" w:eastAsia="en-US" w:bidi="ar-SA"/>
        </w:rPr>
        <w:t>Chief Robert Sam et al (Songhees Nation) v. Her Majesty the Queen in Right of British Columbia and the Attorney General of Canada</w:t>
      </w:r>
      <w:r>
        <w:rPr>
          <w:rFonts w:ascii="arial" w:eastAsia="arial" w:hAnsi="arial" w:cs="arial"/>
          <w:color w:val="000000"/>
          <w:sz w:val="20"/>
          <w:lang w:val="en-US" w:eastAsia="en-US" w:bidi="ar-SA"/>
        </w:rPr>
        <w:t xml:space="preserve">, </w:t>
      </w:r>
      <w:hyperlink r:id="rId670" w:history="1">
        <w:r>
          <w:rPr>
            <w:rFonts w:ascii="arial" w:eastAsia="arial" w:hAnsi="arial" w:cs="arial"/>
            <w:i/>
            <w:color w:val="0077CC"/>
            <w:sz w:val="20"/>
            <w:u w:val="single"/>
            <w:shd w:val="clear" w:color="auto" w:fill="FFFFFF"/>
            <w:lang w:val="en-US" w:eastAsia="en-US" w:bidi="ar-SA"/>
          </w:rPr>
          <w:t>[2014] B.C.J. No. 2376</w:t>
        </w:r>
      </w:hyperlink>
      <w:r>
        <w:rPr>
          <w:rFonts w:ascii="arial" w:eastAsia="arial" w:hAnsi="arial" w:cs="arial"/>
          <w:color w:val="000000"/>
          <w:sz w:val="20"/>
          <w:lang w:val="en-US" w:eastAsia="en-US" w:bidi="ar-SA"/>
        </w:rPr>
        <w:t xml:space="preserve">, Victoria Registry No. 09 5146 and </w:t>
      </w:r>
      <w:r>
        <w:rPr>
          <w:rFonts w:ascii="arial" w:eastAsia="arial" w:hAnsi="arial" w:cs="arial"/>
          <w:i/>
          <w:color w:val="000000"/>
          <w:sz w:val="20"/>
          <w:lang w:val="en-US" w:eastAsia="en-US" w:bidi="ar-SA"/>
        </w:rPr>
        <w:t>Seenupin (Chief Andrew Thomas) et al v. Her Majesty the Queen in Right of British Columbia et al</w:t>
      </w:r>
      <w:r>
        <w:rPr>
          <w:rFonts w:ascii="arial" w:eastAsia="arial" w:hAnsi="arial" w:cs="arial"/>
          <w:color w:val="000000"/>
          <w:sz w:val="20"/>
          <w:lang w:val="en-US" w:eastAsia="en-US" w:bidi="ar-SA"/>
        </w:rPr>
        <w:t xml:space="preserve">, </w:t>
      </w:r>
      <w:hyperlink r:id="rId671" w:history="1">
        <w:r>
          <w:rPr>
            <w:rFonts w:ascii="arial" w:eastAsia="arial" w:hAnsi="arial" w:cs="arial"/>
            <w:i/>
            <w:color w:val="0077CC"/>
            <w:sz w:val="20"/>
            <w:u w:val="single"/>
            <w:shd w:val="clear" w:color="auto" w:fill="FFFFFF"/>
            <w:lang w:val="en-US" w:eastAsia="en-US" w:bidi="ar-SA"/>
          </w:rPr>
          <w:t>[2014] B.C.J. No. 2434</w:t>
        </w:r>
      </w:hyperlink>
      <w:r>
        <w:rPr>
          <w:rFonts w:ascii="arial" w:eastAsia="arial" w:hAnsi="arial" w:cs="arial"/>
          <w:color w:val="000000"/>
          <w:sz w:val="20"/>
          <w:lang w:val="en-US" w:eastAsia="en-US" w:bidi="ar-SA"/>
        </w:rPr>
        <w:t xml:space="preserve">, Victoria Registry 12 1561. Those third party claims allege that British Columbia is solely responsible for any damages arising from the alleged failure of the Colonies of Vancouver Island and British Columbia to set aside reserves for Douglas Treaty signatories. In those actions, the plaintiffs claim damages against both Canada and British Columbia. British Columbia has consented to the filing of the third party notices. If the issues concerning the interpretation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and Crown successorship are not decided in this action, they may be determined in other aboriginal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 agree with the submission of British Columbia that this is not a case where the issues raised in the proposed third party notice must be tried in this action if they are to be tried at all. However, if this Court is required to determine whether or not Canada is responsible for any loss or damage in relation to the subject lands caused by the Colony of British Columbia, then in my view, the Court should hear and decide the issues raised in the proposed third party notice, including Canada's claim for declaratory relief related to or connected with the subject matter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For all of these reasons, I do not accept British Columbia's submission that the third party claim is unnecessary.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Should the Court exercise its discretion to grant leave to file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The factors the court considers in determining whether or not to exercise its discretion to grant leave are prejudice to the parties, expiration of the limitation period, the merits of the proposed claim, any delay in the proceedings, and the timeliness of the application: </w:t>
      </w:r>
      <w:r>
        <w:rPr>
          <w:rFonts w:ascii="arial" w:eastAsia="arial" w:hAnsi="arial" w:cs="arial"/>
          <w:i/>
          <w:color w:val="000000"/>
          <w:sz w:val="20"/>
          <w:lang w:val="en-US" w:eastAsia="en-US" w:bidi="ar-SA"/>
        </w:rPr>
        <w:t>Clayton Systems 2001 Ltd. v. Quizno's Canada Corp.</w:t>
      </w:r>
      <w:r>
        <w:rPr>
          <w:rFonts w:ascii="arial" w:eastAsia="arial" w:hAnsi="arial" w:cs="arial"/>
          <w:color w:val="000000"/>
          <w:sz w:val="20"/>
          <w:lang w:val="en-US" w:eastAsia="en-US" w:bidi="ar-SA"/>
        </w:rPr>
        <w:t xml:space="preserve">, </w:t>
      </w:r>
      <w:hyperlink r:id="rId672" w:history="1">
        <w:r>
          <w:rPr>
            <w:rFonts w:ascii="arial" w:eastAsia="arial" w:hAnsi="arial" w:cs="arial"/>
            <w:i/>
            <w:color w:val="0077CC"/>
            <w:sz w:val="20"/>
            <w:u w:val="single"/>
            <w:shd w:val="clear" w:color="auto" w:fill="FFFFFF"/>
            <w:lang w:val="en-US" w:eastAsia="en-US" w:bidi="ar-SA"/>
          </w:rPr>
          <w:t>2003 BCSC 1573</w:t>
        </w:r>
      </w:hyperlink>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Tyson Creek Hydro Corporation v. Kerr Wood Leidal Associates Limited</w:t>
      </w:r>
      <w:r>
        <w:rPr>
          <w:rFonts w:ascii="arial" w:eastAsia="arial" w:hAnsi="arial" w:cs="arial"/>
          <w:color w:val="000000"/>
          <w:sz w:val="20"/>
          <w:lang w:val="en-US" w:eastAsia="en-US" w:bidi="ar-SA"/>
        </w:rPr>
        <w:t xml:space="preserve">, </w:t>
      </w:r>
      <w:hyperlink r:id="rId673" w:history="1">
        <w:r>
          <w:rPr>
            <w:rFonts w:ascii="arial" w:eastAsia="arial" w:hAnsi="arial" w:cs="arial"/>
            <w:i/>
            <w:color w:val="0077CC"/>
            <w:sz w:val="20"/>
            <w:u w:val="single"/>
            <w:shd w:val="clear" w:color="auto" w:fill="FFFFFF"/>
            <w:lang w:val="en-US" w:eastAsia="en-US" w:bidi="ar-SA"/>
          </w:rPr>
          <w:t>2014 BCCA 17</w:t>
        </w:r>
      </w:hyperlink>
      <w:r>
        <w:rPr>
          <w:rFonts w:ascii="arial" w:eastAsia="arial" w:hAnsi="arial" w:cs="arial"/>
          <w:color w:val="000000"/>
          <w:sz w:val="20"/>
          <w:lang w:val="en-US" w:eastAsia="en-US" w:bidi="ar-SA"/>
        </w:rPr>
        <w:t xml:space="preserve"> at paras. 16, 17.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prejudice the plaintiffs seek to avoid is delay in the resolution of their claim for damages for loss of the use of the lands if Canada's proposal for a separate trial of the issue of Crown responsibility for wrongdoing by the Colony of British Columbia is implemented.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Neither the plaintiffs nor British Columbia have asserted that they will be prejudiced by the filing of the third party notice. However, I am satisfied that there would be prejudice to the plaintiffs if the resolution of their claim for damages for the loss of use of the subject lands were delayed until the final determination of all of their other claims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Canada is able to deliver the collection of historical documents relating to its third party claim this month. Counsel for Canada has advised that those documents consist of legislative and Parliamentary debates on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correspondence between officials of the Colony of British Columbia and the Government of Canada regarding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and records of the public accounts of British Columbia at or about the time of the Colony's entry into Confederation. Whether or not the Court grants leave for the filing of the third party notice, that historical record will need to be canvassed during the trial of the claims made by the plaintiffs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British Columbia has not suggested that the province will be unable to make timely production of any additional historical documents it may wish to adduce in response to the third party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Neither the plaintiffs nor British Columbia raised any objection to the timeliness of the third party proceedings when Canada delivered its proposed third party notice to the parties in July 2014. British Columbia has been aware for some time of the potential for a third party claim on the issue of Crown responsibility for any damages incurred by the plaintiffs as a result of wrongdoing by the Colony of British Columbia. Canada has pursued similar third party proceedings in other aboriginal litigation. On June 23, 2014, British Columbia consented to the filing of Canada's further amended statement of defence, by which Canada asserted that liability for any pre-Confederation breaches of duty relating to the subject lands became the sole obligation of British Columbia upon the Province's assumption of administration and control of those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With respect to the merits of the proposed claim, it is sufficient for the purposes of this application to say that Canada's position on the interpretation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and on Crown successorship, as set out in its pleadings, cannot be characterized as frivolous, and is not bound to fail. Whether or not Canada's position will prevail is a matter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Regarding limitations, if the court finds that the plaintiffs' claim for damages for loss of use of the subject lands is not statute-barred, and addresses the issue of Crown successorship, no issue of the expiry of a limitations period will arise concerning Canada's claim for declaratory relief.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Weighing all of these factors, I conclude that this is an appropriate case for the Court to exercise its discretion to grant leave to Canada to file the third party notice.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Should the third party claim be tried separately from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Schaper v. Sears Canada</w:t>
      </w:r>
      <w:r>
        <w:rPr>
          <w:rFonts w:ascii="arial" w:eastAsia="arial" w:hAnsi="arial" w:cs="arial"/>
          <w:color w:val="000000"/>
          <w:sz w:val="20"/>
          <w:lang w:val="en-US" w:eastAsia="en-US" w:bidi="ar-SA"/>
        </w:rPr>
        <w:t xml:space="preserve">, </w:t>
      </w:r>
      <w:hyperlink r:id="rId674" w:history="1">
        <w:r>
          <w:rPr>
            <w:rFonts w:ascii="arial" w:eastAsia="arial" w:hAnsi="arial" w:cs="arial"/>
            <w:i/>
            <w:color w:val="0077CC"/>
            <w:sz w:val="20"/>
            <w:u w:val="single"/>
            <w:shd w:val="clear" w:color="auto" w:fill="FFFFFF"/>
            <w:lang w:val="en-US" w:eastAsia="en-US" w:bidi="ar-SA"/>
          </w:rPr>
          <w:t>2000 BCSC 1575</w:t>
        </w:r>
      </w:hyperlink>
      <w:r>
        <w:rPr>
          <w:rFonts w:ascii="arial" w:eastAsia="arial" w:hAnsi="arial" w:cs="arial"/>
          <w:color w:val="000000"/>
          <w:sz w:val="20"/>
          <w:lang w:val="en-US" w:eastAsia="en-US" w:bidi="ar-SA"/>
        </w:rPr>
        <w:t xml:space="preserve"> at para. 19, Master Groves (as he then was), stated the test to be applied when the court considers whether to hear third party proceedings separately or within the main action: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[19] Rule 5(6) states, and these are my words, that in a proceeding involving several claims or parties if the hearing of these claims and the parties together would unduly complicate or delay the trial or it is otherwise inconvenient, the court </w:t>
      </w:r>
      <w:r>
        <w:rPr>
          <w:rFonts w:ascii="arial" w:eastAsia="arial" w:hAnsi="arial" w:cs="arial"/>
          <w:color w:val="000000"/>
          <w:sz w:val="20"/>
          <w:u w:val="single"/>
          <w:lang w:val="en-US" w:eastAsia="en-US" w:bidi="ar-SA"/>
        </w:rPr>
        <w:t>may</w:t>
      </w:r>
      <w:r>
        <w:rPr>
          <w:rFonts w:ascii="arial" w:eastAsia="arial" w:hAnsi="arial" w:cs="arial"/>
          <w:color w:val="000000"/>
          <w:sz w:val="20"/>
          <w:lang w:val="en-US" w:eastAsia="en-US" w:bidi="ar-SA"/>
        </w:rPr>
        <w:t xml:space="preserve"> order separate trials or hearings. While not intending to create an exclusive test, the case law that I have reviewed suggests that the following factors should be considered:</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there prejudice as set out in Rule 5(6), to the parties applying to sever matters if the court does not exercise its discretion to sever? Clearly, to satisfy this test, the party making the request must show that hearing the claims together would unduly complicate, delay the hearing, or otherwise be inconvenient. If a party applying does not meet this threshold, the court need not go further in any analysis and the application should be dismissed.</w:t>
      </w:r>
    </w:p>
    <w:p>
      <w:pPr>
        <w:numPr>
          <w:numId w:val="3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Have the actions of any party in the proceeding been unreasonable and have they contributed to the complication, the delay, or the inconvenience alleged by the party applying? If this found, that would strengthen the argument to sever.</w:t>
      </w:r>
    </w:p>
    <w:p>
      <w:pPr>
        <w:numPr>
          <w:numId w:val="3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 issues between the plaintiff and defendant and the issues between the defendant and the third party sufficiently distinct so as to allow them to be tried separately? If so, that strengthens the argument to sever off third party proceeding.</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relief claimed by, or the potential obligation of, any party best determined by hearing the evidence of all parties at one hearing? If so, that weakens an application to sever.</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prejudice to the party applying, prejudice based on undue complication, delay or inconvenience, outweigh any benefit of matters being heard together, or outweigh any considerations related to the overall objective of the rules to ensure a just, speedy and inexpensive determination of every proceeding on its merits, including the avoidance of a multiplicity of proceedings for the benefits of litigants and having concern to congestion in the courts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Nguyen v. Bains</w:t>
      </w:r>
      <w:r>
        <w:rPr>
          <w:rFonts w:ascii="arial" w:eastAsia="arial" w:hAnsi="arial" w:cs="arial"/>
          <w:color w:val="000000"/>
          <w:sz w:val="20"/>
          <w:lang w:val="en-US" w:eastAsia="en-US" w:bidi="ar-SA"/>
        </w:rPr>
        <w:t xml:space="preserve">, </w:t>
      </w:r>
      <w:hyperlink r:id="rId675" w:history="1">
        <w:r>
          <w:rPr>
            <w:rFonts w:ascii="arial" w:eastAsia="arial" w:hAnsi="arial" w:cs="arial"/>
            <w:i/>
            <w:color w:val="0077CC"/>
            <w:sz w:val="20"/>
            <w:u w:val="single"/>
            <w:shd w:val="clear" w:color="auto" w:fill="FFFFFF"/>
            <w:lang w:val="en-US" w:eastAsia="en-US" w:bidi="ar-SA"/>
          </w:rPr>
          <w:t>2001 BCSC 1130</w:t>
        </w:r>
      </w:hyperlink>
      <w:r>
        <w:rPr>
          <w:rFonts w:ascii="arial" w:eastAsia="arial" w:hAnsi="arial" w:cs="arial"/>
          <w:color w:val="000000"/>
          <w:sz w:val="20"/>
          <w:lang w:val="en-US" w:eastAsia="en-US" w:bidi="ar-SA"/>
        </w:rPr>
        <w:t xml:space="preserve"> at para. 11, Martinson J. set out the legal principles applicable to the determination of whether an issue is appropriate for severance:</w:t>
      </w:r>
      <w:r>
        <w:rPr>
          <w:rFonts w:ascii="arial" w:eastAsia="arial" w:hAnsi="arial" w:cs="arial"/>
          <w:sz w:val="20"/>
          <w:lang w:val="en-US" w:eastAsia="en-US" w:bidi="ar-SA"/>
        </w:rPr>
        <w:cr/>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judge's discretion to sever an issue is probably not restricted to extraordinary or exceptional cases. However, it should not be exercised in favour of severance unless there is a real likelihood of a significant saving in time and expense.</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may be appropriate if the issue to be tried first could be determinative in that its resolution could put an end to the action for one or more parties.</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is most appropriate when the trial is by judge alone.</w:t>
      </w:r>
    </w:p>
    <w:p>
      <w:pPr>
        <w:numPr>
          <w:numId w:val="44"/>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Severance should generally not be ordered when the issue to be tried is interwoven with other issues in the trial. This concern may be addressed by having the same judge hear both parts of the trial and ordering that the evidence in the first part applies to the second part.</w:t>
      </w:r>
    </w:p>
    <w:p>
      <w:pPr>
        <w:numPr>
          <w:numId w:val="4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party's financial circumstances are one factor to consider in the exercise of the discretion.</w:t>
      </w:r>
    </w:p>
    <w:p>
      <w:pPr>
        <w:numPr>
          <w:numId w:val="4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pre-trial severance ruling will be subject to the ultimate discretion of the trial judge.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Generally, issues should only be severed if efficiencies will result from having one issue determined in advance of the others. As Groberman J.A. stated in </w:t>
      </w:r>
      <w:r>
        <w:rPr>
          <w:rFonts w:ascii="arial" w:eastAsia="arial" w:hAnsi="arial" w:cs="arial"/>
          <w:i/>
          <w:color w:val="000000"/>
          <w:sz w:val="20"/>
          <w:lang w:val="en-US" w:eastAsia="en-US" w:bidi="ar-SA"/>
        </w:rPr>
        <w:t>Ross River Dena Council v. Canada (Attorney General)</w:t>
      </w:r>
      <w:r>
        <w:rPr>
          <w:rFonts w:ascii="arial" w:eastAsia="arial" w:hAnsi="arial" w:cs="arial"/>
          <w:color w:val="000000"/>
          <w:sz w:val="20"/>
          <w:lang w:val="en-US" w:eastAsia="en-US" w:bidi="ar-SA"/>
        </w:rPr>
        <w:t xml:space="preserve">, </w:t>
      </w:r>
      <w:hyperlink r:id="rId676" w:history="1">
        <w:r>
          <w:rPr>
            <w:rFonts w:ascii="arial" w:eastAsia="arial" w:hAnsi="arial" w:cs="arial"/>
            <w:i/>
            <w:color w:val="0077CC"/>
            <w:sz w:val="20"/>
            <w:u w:val="single"/>
            <w:shd w:val="clear" w:color="auto" w:fill="FFFFFF"/>
            <w:lang w:val="en-US" w:eastAsia="en-US" w:bidi="ar-SA"/>
          </w:rPr>
          <w:t>2013 YKCA 6</w:t>
        </w:r>
      </w:hyperlink>
      <w:r>
        <w:rPr>
          <w:rFonts w:ascii="arial" w:eastAsia="arial" w:hAnsi="arial" w:cs="arial"/>
          <w:color w:val="000000"/>
          <w:sz w:val="20"/>
          <w:lang w:val="en-US" w:eastAsia="en-US" w:bidi="ar-SA"/>
        </w:rPr>
        <w:t xml:space="preserve"> at para. 21, cases in which severance of an issue is appropriate are "the exception rather than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Here, Canada has provided no evidence concerning the additional time or expense involved in hearing the third party claim and has not shown that a separate hearing on the issue of federal or provincial Crown responsibility for any wrongdoing of the Colony of British Columbia will result in a significant saving in time or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Nor has Canada established that hearing all of the claims together would unduly delay or complicate this matter, or would otherwise be inconvenient.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trial of the third party claim is unlikely to complicate or significantly lengthen the trial of this action. The plaintiffs have already put the interpretation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in issue as part of their claim against Canada in this matter. The plaintiffs estimate that the presentation of their case will take about five weeks. Bearing in mind that the evidence relating to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will consist of a finite collection of historical documents, possibly supplemented by some expert evidence, the hearing of the issues raised in the third party claim is unlikely to be particularly time intensive. In a trial scheduled for 16 weeks, there should be adequate time to hear all of the evidence and submissions relating to the interpretation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and Crown successorship.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issues between the plaintiffs and the defendants and the issues between the plaintiffs and British Columbia are not sufficiently distinct so as to warrant their separate trial. The issue of which emanation of the Crown is responsible for any wrongful act of the Colony of British Columbia in relation to the subject lands is interwoven with the plaintiffs' claims in the main action. The main action and the third party claim raise related issues concerning both the interpretation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xml:space="preserve"> and the principles governing any Crown responsibility for pre-Confederation liabilities. Because the plaintiffs must establish Canada is the successor to the Colony in order to succeed in their claim for damages for loss of use of the subject lands, they intend to participate in the argument concerning the interpretation and application of the </w:t>
      </w:r>
      <w:r>
        <w:rPr>
          <w:rFonts w:ascii="arial" w:eastAsia="arial" w:hAnsi="arial" w:cs="arial"/>
          <w:i/>
          <w:color w:val="000000"/>
          <w:sz w:val="20"/>
          <w:lang w:val="en-US" w:eastAsia="en-US" w:bidi="ar-SA"/>
        </w:rPr>
        <w:t>Terms of Union</w:t>
      </w:r>
      <w:r>
        <w:rPr>
          <w:rFonts w:ascii="arial" w:eastAsia="arial" w:hAnsi="arial" w:cs="arial"/>
          <w:color w:val="000000"/>
          <w:sz w:val="20"/>
          <w:lang w:val="en-US" w:eastAsia="en-US" w:bidi="ar-SA"/>
        </w:rPr>
        <w:t>. The overlap of issues raised by the plaintiffs and the issues raised in the third party claim is a factor that weighs against bifurcation of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 severed hearing on Crown successorship is unlikely to result in any savings to the plaintiffs, but would prejudice them to the extent that severance delayed the resolution of their claim for damages for loss of use of the subject lands. Conversely, Canada will not suffer prejudice if the third party claim is heard within the main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Canada has not met the threshold of establishing that a trial of all of the issues in the main action would unduly complicate or delay this matter, nor has it established exceptional or compelling circumstances that would warrant a separate trial of the third party claim. All of the issues raised in these proceedings will be tried together within the time presently allotted for the trial of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Canada has leave to file and serve the third party notice in the form attached as Schedule "A" to the notice of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Canada's application for an order that the issues of fact and law raised in the third party notice are to be tried after a final determination, including all appeals, of the issues of fact and law raised in the fourth amended statement of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At the trial management conference scheduled for December 18, 2014, the parties will have the opportunity to make submissions on any amendments to the Case Plan Order that may be necessary in light of the orders made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P.J. PEARLMAN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0" style="position:absolute;z-index:25187430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77"/>
          <w:headerReference w:type="default" r:id="rId678"/>
          <w:footerReference w:type="even" r:id="rId679"/>
          <w:footerReference w:type="default" r:id="rId680"/>
          <w:headerReference w:type="first" r:id="rId681"/>
          <w:footerReference w:type="first" r:id="rId68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83" w:history="1">
        <w:r>
          <w:rPr>
            <w:rFonts w:ascii="arial" w:eastAsia="arial" w:hAnsi="arial" w:cs="arial"/>
            <w:b/>
            <w:bCs/>
            <w:i/>
            <w:color w:val="0077CC"/>
            <w:kern w:val="32"/>
            <w:sz w:val="28"/>
            <w:szCs w:val="32"/>
            <w:u w:val="single"/>
            <w:shd w:val="clear" w:color="auto" w:fill="FFFFFF"/>
            <w:lang w:val="en-US" w:eastAsia="en-US" w:bidi="ar-SA"/>
          </w:rPr>
          <w:t>Willing v. Ayles, [2009] B.C.J. No. 1522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George,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W.G. Parrett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2-4, April 28-30 and May 1,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29,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0730296 and 0730297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Prince George</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1522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1035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180 A.C.W.S. (3d) 267</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Michael Willing, Plaintiff, and Ralph Ayles and J.H. Solar Greenhouse &amp; Hydroponic Supply Ltd., Defendants And between Kristina Willing, Plaintiff, and Ralph Ayles and J.H. Solar Greenhouse &amp; Hydroponic Supply Ltd., Defendants "Subject to Rule 66"</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(228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1" style="position:absolute;z-index:251675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2" w:name="Keywords_16"/>
      <w:bookmarkEnd w:id="112"/>
      <w:r>
        <w:rPr>
          <w:rFonts w:ascii="arial" w:eastAsia="arial" w:hAnsi="arial" w:cs="arial"/>
          <w:b/>
          <w:color w:val="000000"/>
          <w:sz w:val="20"/>
          <w:lang w:val="en-US" w:eastAsia="en-US" w:bidi="ar-SA"/>
        </w:rPr>
        <w:t>Damages — Physical and psychological injuries — Physical injuries — Body injuries — Back and spine — Neck — Considerations impacting on award — Degree of impairment — Age of claimant — Pre-existing injury — Credibility — Action by the plaintiff husband and wife for damages for injuries sustained in a motor vehicle accident, allowed in part — Defendants admitted liability — Wife suffered moderate soft tissue injuries to her neck and lower back — Husband suffered moderate soft tissue injury to his neck which left him with a constant level of discomfort in the form of tingling — Plaintiffs did not miss any work and exaggerated their symptoms — Wife was awarded non-pecuniary damages of $20,000 — Her other claims were denied — Husband was awarded non-pecuniary damages of $35,000 and $25,000 for loss of earning capacity.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Considerations — Aggravation of pre-existing injury — Employment status — Extent of incapacity — Pre-existing medical conditions — Loss of earning capacity — Non-pecuniary loss — Action by the plaintiff husband and wife for damages for injuries sustained in a motor vehicle accident, allowed in part — Defendants admitted liability — Wife suffered moderate soft tissue injuries to her neck and lower back — Husband suffered moderate soft tissue injury to his neck which left him with a constant level of discomfort in the form of tingling — Plaintiffs did not miss any work and exaggerated their symptoms — Wife was awarded non-pecuniary damages of $20,000 — Her other claims were denied — Husband was awarded non-pecuniary damages of $35,000 and $25,000 for loss of earning capacity.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3" w:name="Case Summary_16"/>
            <w:bookmarkEnd w:id="11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Michael and Kristina Willing for damages sustained in a motor vehicle accident. On August 12, 2005 Michael operated a car in which his wife Kristina was a passenger. Michael had stopped in a line of traffic at a construction site when his vehicle was struck from behind by a truck owned by the defendant J.H. Solar Greenhouse &amp; Hydroponic Supply Ltd. and which was operated by the defendant Ayles. The defendants admitted liability. The accident was a significant rear end collision that caused significant physical damage to the plaintiffs' vehicle. Michael was 45 years old at the time of the accident and worked as a car salesman. He was in good health prior to the accident and had an active lifestyle. After the accident he had a sore neck and suffered from headaches. Kristina was 46 years old at the time of the collision. She was a high school dance and drama teacher. After the accident she suffered from neck and back pain and headaches. The Court was provided with medical evidence from a family doctor who first saw the plaintiffs in March 2007 and an orthopaedic surgeon who saw the plaintiffs once in February 2008. Both doctors received information from the plaintiffs which they accepted as being true and accurate. In several significant aspects the information was neither true or accurate.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14" w:name="Holdings of Court_15"/>
            <w:bookmarkEnd w:id="114"/>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Court concluded that the plaintiffs were not credible. Based on the evidence Kristina suffered moderate soft tissue injuries to her neck and lower back. Her neck injury caused her some discomfort and pain primarily for a year. In the four years since the accident these problems did not cause her to miss any work. She continued to immerse herself in her demanding position and did well at it. Kristina suffered from a pre-existing degenerative disease and had a previous motor vehicle accident which resulted in injuries to her neck and right shoulder. Both were contributing factors to her difficulties from the present collision. Kristina exaggerated her complaints. She was awarded non-pecuniary damages of $20,000. Her claim for past wage loss of $550 because of trial attendance was denied. This was not a compensable loss but rather was an aspect of the presentation of her claim. Kristina's claim of $25,000 for diminished earning capacity was also denied. She was able to met the requirements of her demanding profession. Her claims for future care and homemaking costs were also denied. Michael complained of constant pain in his neck and frequent headaches. His reported restrictions on his activities were exaggerated. The Court was satisfied that he suffered a moderate soft tissue injury to his neck which left him with a constant level of discomfort in the form of tingling. This discomfort was not incapacitating, since Michael did not miss any work, but it restricted his activities and his enjoyment of them. He was awarded non-pecuniary damages of $35,000. His claim for $100,000 for loss of earning capacity was reduced to $25,000 since a modest loss was established.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15" w:name="Counsel_16"/>
      <w:bookmarkEnd w:id="11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2" style="position:absolute;z-index:2517268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in both actions: R.M. Stewart.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in both actions: D.A. McLauchlan.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16" w:name="Judgment_16"/>
      <w:bookmarkEnd w:id="116"/>
      <w:r>
        <w:pict>
          <v:line id="_x0000_s1113" style="position:absolute;z-index:25177804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17" w:name="W.G. PARRETT J."/>
            <w:bookmarkEnd w:id="117"/>
            <w:r>
              <w:rPr>
                <w:rFonts w:ascii="arial" w:eastAsia="arial" w:hAnsi="arial" w:cs="arial"/>
                <w:b/>
                <w:color w:val="000000"/>
                <w:sz w:val="30"/>
                <w:lang w:val="en-US" w:eastAsia="en-US" w:bidi="ar-SA"/>
              </w:rPr>
              <w:t>W.G. PARRETT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August 12, 2005 the plaintiff, Michael Willing, was operating a 2004 Ford Mustang convertible in which his wife, the plaintiff Kristina Willing, was riding as a passenger. The vehicle was owned by Mr. Willing's then employer, Dams Ford Lincoln Sales.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two were travelling from their home in Langley to the ferry terminal at Tsawwassen en route to Victoria where they were to attend a funeral.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Willing had stopped in a line of traffic at a construction site on 64th Avenue in Surrey when they were struck from behind by a truck owned by the defendant J.H. Solar Greenhouse &amp; Hydroponic Supply Ltd. and operated by the defendant Ralph Ayles.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By a consent order, entered on February 27, 2008, it was ordered that these two actions would be heard at the same time and a single trial of the two actions resulted.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By paragraph 3 of the statement of defence filed in each action, the defendants admit that the accident "... occurred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Ralph Ayles and J.H. Solar Greenhouse &amp; Hydroponic Supply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While the pleadings maintain a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failure to wear a seatbelt or properly adjust the headrest, these defences were effectively abandoned at trial and no submissions were made with respect to these pleas.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the whole of the evidence I am satisfied that the defendants are wholly responsible for the collision and the injuries and damages flowing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issues in this trial center around the nature of the injuries suffered by the two plaintiffs and the assessment of damages related to these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evidence, in my view, establishes that this was no low speed collision. The police reports estimate the damage to the defendants' 1994 Ford van at some $1,000 and to the plaintiffs' Mustang at some $5,000.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I.C.B.C. repair estimate calculated the damages to the Mustang at some $11,126.19.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These estimates make the obvious point that this was a significant rear end collision causing some significant physical damage to the vehicle occupied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 - MICHAEL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Michael Willing was born on November 17, 1959 and, at the time of the collision, was 45 years of age. He and Kristina Willing had married on February 2, 2002 and were living in Langley at the time of the accident. Mr. Willing testified that he completed Grade 12 in 1980 and that after pursuing some post secondary education was qualified as a certified mechanic in 1985. After working for some years as a mechanic Mr. Willing described himself as "one of the top people" in his field focusing particularly on diagnosing electrical problems in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Willing was employed at Ocean Park Ford from 1987 to 1995 where he rose to the position of shop foreman supervising the work of ten technicians before leaving to join Dams Ford Lincoln when it opened in 1995. He was hired there as a technician but left and returned to Ocean Park Ford in 2001 as a salesman where he remained for nearly three years at which time he returned to Dams in a position in fleet and commercial sales. He left the field of working as a mechanic after 21 years and began work as a salesman, a move he had made more than four years prior to the present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moving to sales Mr. Willing was aware that he was losing his seniority as a technician but testified that he saw it as a part of his aspiration of owning his own dealership. I am satisfied that he made this decision as a part of what he considered a "career"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By August of 2006 the Willings had moved from the lower mainland to Smithers. Kristina Willing had accepted a vice principal position with the senior secondary school in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Willing found a position in Smithers with Hoskins Ford Sales Ltd. where he began work in August 2006 as a sales consultant.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Willing testified that he was generally in good health and had no medical conditions prior to the collision on August 12, 2005. He went on to describe a lifestyle that included biking, working out in the gym once or twice a week, playing baseball, and downhill skiing five to six times a year as well as golfing up to ten times a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Willing testified that immediately after the collision he was sore right in the center of his neck, with a slight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Following the collision the Willings switched vehicles before continuing on to the funeral in Victoria. The next day he recalls being unable to move his neck and seeking help at a walk-in clinic where they gave him some pain killers.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Willings had booked and actually took an Alaska cruise a week after the collision but Mr. Willing testified that it was not as much fun as he had expected as they were both suffering from headaches and spent a lot of time in their room.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By 2006 Mr. Willing said he continued to suffer from neck pain and headaches with shooting pain in his neck and behind his eyes. He went on to describe his current condition as one in which he has good days and bad days and where he is limited in his ability to move his neck. He testified that he is nowhere near back to the condition he was in before the collision, although he has definitely improved.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Willing testified that the pain is always there although at times it is more of a tingling sensation.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Willing continues to golf and has returned to downhill skiing although he says he now skis the green runs rather than the black ones.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He has also taken up cross country skiing and continues to both hunt and fish.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 - MICHAEL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a recent decision of our Court of Appeal, </w:t>
      </w:r>
      <w:r>
        <w:rPr>
          <w:rFonts w:ascii="arial" w:eastAsia="arial" w:hAnsi="arial" w:cs="arial"/>
          <w:i/>
          <w:color w:val="000000"/>
          <w:sz w:val="20"/>
          <w:lang w:val="en-US" w:eastAsia="en-US" w:bidi="ar-SA"/>
        </w:rPr>
        <w:t>Murray v. Byrd</w:t>
      </w:r>
      <w:r>
        <w:rPr>
          <w:rFonts w:ascii="arial" w:eastAsia="arial" w:hAnsi="arial" w:cs="arial"/>
          <w:color w:val="000000"/>
          <w:sz w:val="20"/>
          <w:lang w:val="en-US" w:eastAsia="en-US" w:bidi="ar-SA"/>
        </w:rPr>
        <w:t xml:space="preserve">, </w:t>
      </w:r>
      <w:hyperlink r:id="rId684" w:history="1">
        <w:r>
          <w:rPr>
            <w:rFonts w:ascii="arial" w:eastAsia="arial" w:hAnsi="arial" w:cs="arial"/>
            <w:i/>
            <w:color w:val="0077CC"/>
            <w:sz w:val="20"/>
            <w:u w:val="single"/>
            <w:shd w:val="clear" w:color="auto" w:fill="FFFFFF"/>
            <w:lang w:val="en-US" w:eastAsia="en-US" w:bidi="ar-SA"/>
          </w:rPr>
          <w:t>2009 BCCA 189</w:t>
        </w:r>
      </w:hyperlink>
      <w:r>
        <w:rPr>
          <w:rFonts w:ascii="arial" w:eastAsia="arial" w:hAnsi="arial" w:cs="arial"/>
          <w:color w:val="000000"/>
          <w:sz w:val="20"/>
          <w:lang w:val="en-US" w:eastAsia="en-US" w:bidi="ar-SA"/>
        </w:rPr>
        <w:t xml:space="preserve">, the Court had occasion to review a decision in which the trial judge had described the medical evidence in the case "... as problematic ...", </w:t>
      </w:r>
      <w:hyperlink r:id="rId685" w:history="1">
        <w:r>
          <w:rPr>
            <w:rFonts w:ascii="arial" w:eastAsia="arial" w:hAnsi="arial" w:cs="arial"/>
            <w:i/>
            <w:color w:val="0077CC"/>
            <w:sz w:val="20"/>
            <w:u w:val="single"/>
            <w:shd w:val="clear" w:color="auto" w:fill="FFFFFF"/>
            <w:lang w:val="en-US" w:eastAsia="en-US" w:bidi="ar-SA"/>
          </w:rPr>
          <w:t>[2008] B.C.J. No. 1289</w:t>
        </w:r>
      </w:hyperlink>
      <w:r>
        <w:rPr>
          <w:rFonts w:ascii="arial" w:eastAsia="arial" w:hAnsi="arial" w:cs="arial"/>
          <w:color w:val="000000"/>
          <w:sz w:val="20"/>
          <w:lang w:val="en-US" w:eastAsia="en-US" w:bidi="ar-SA"/>
        </w:rPr>
        <w:t>. In that case, as in the present one, the parties agreed that clinical records of the plaintiffs' general practitioner could be admitted as business records.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appellant had then sought to lead oral opinion evidence from the general practitioner on the basis that his clinical records met the requirements of Rule 40A. The trial judge rejected those submissions and concluded that the doctor could not give opinion evidence absent a proper foundation under the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trial judge went on to conclude (as quoted in paragraph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In the case at bar there is nothing by way of objective evidence of Mr. Murray's complaints of injury, let alone convincing evidence of any significant injury. From the evidence that I do have before me I can accept and find that the plaintiff was injured and that he was virtually totally recovered within three months. Although an opinion of a medical expert such as a medical/legal report from Mr. Murray's general practitioner, Dr. Marcos, may have provided a foundation for a factual finding of continuing pain and discomfort. I unfortunately do not have the benefit of such an opinion. It is difficult to imagine why no medical report was tendered in evidence; no explanation was offered by Mr. Murray's counsel.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The absence of such a report might, in certain circumstances, give rise to an adverse inference. I do not, however, choose to do so here. It is not necessary as there is no convincing objective, independent evidence of injury exceeding a very few months in duration. I cannot base a decision upon speculation, supposition, or facts not in evidence before me. Mr. Murray is possibly going to be under-compensated due to the absence of such evidence, particularly the absence of a medical report. Nevertheless, the defendant's obligation to compensate Mr. Murray can only be based upon evidence properly placed before the court during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Court of Appeal, in dismissing the appeal, found that there was no error in principle that would justify interfering with the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present case is a similar example of medical evidence that is, in the context of this case, problematic.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At the time of the collision on August 12, 2005, Michael Willing's family doctor was Dr. Dalton Chen. Mr. Willing first saw Dr. Chen after the collision on August 15, 2005 when he was referred for x-rays which detected moderately advanced degenerative disc changes at C4-5, C5-6 and C6-7. Mr. Willing continued to see Dr. Chen from time to time until he moved to Smithers in August of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No report or evidence was lead at this trial from Dr. Chen who was not only Mr. Willing's family doctor but the treating physician for the first year after the collision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 variety of clinical records, including some of those of Dr. Chen, were placed in evidence under the terms of a Document Agreement. The Document Agreement provides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DOCUMENT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agreed between the parties to the Supreme Court of British Columbia Action No. 0730296, Prince George Registry, that the use of clinical medical documents ("Documents") contained in the Plaintiff's and Defendant's Document Briefs shall be as follows:</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photocopy of any Document will be presumed to be [a] true copy of the original and is admissible without proof of the original document.</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are admitted into evidence on the basis that the Documents are documents made and kept in the usual or ordinary course of the business from which they were originally obtained. The Documents are admitted as prima facia proof that any fact personally observed and recorded occurred, or that the statements personally observed and recorded were made. Statements recorded in the Documents are not admitted for their truth.</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reserve the right to challenge the accuracy of any fact or statement recorded in the Documents.</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parties reserve the right to submit to the Court that individual statements recorded in the Documents are admissible for their truth as an exception to the hearsay rule.</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Documents are not admitted for the purpose of proving any opinion stated therein.</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Any opinion to be relied upon must be provided in the ordinary way pursuant to Rule 40A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medical reports placed in evidence in support of Mr. Willing's claims include:</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of Dr. Marlowe Haskins dated January 10, 2008;</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of Dr. G.M. McKenzie dated February 27, 2008;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updated report from Dr. G.M. McKenzie dated June 5,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should be noted that Dr. Haskins appears to have become Mr. Willing's physician after his move to Smithers in August 2006. Significantly, the records appear to indicate that he first saw Mr. Willing in March of 2007, approaching two years after the motor vehicle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Dr. McKenzie saw Mr. Willing on one occasion, on February 27, 2008, at the request of his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Turning initially to Dr. Haskins' report the following extracts are significant: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Currently Mr. Willing has daily headaches and neck pain. He has physiotherapy, which is temporarily helpful, but the pain returns within two days. He cannot move his neck rapidly in any direction and </w:t>
      </w:r>
      <w:r>
        <w:rPr>
          <w:rFonts w:ascii="arial" w:eastAsia="arial" w:hAnsi="arial" w:cs="arial"/>
          <w:color w:val="000000"/>
          <w:sz w:val="20"/>
          <w:u w:val="single"/>
          <w:lang w:val="en-US" w:eastAsia="en-US" w:bidi="ar-SA"/>
        </w:rPr>
        <w:t>he cannot do activities of which he is accustomed such as skiing and walking with his golf bag. He has not continued his chosen profession as a mechanic and has since had to change jobs</w:t>
      </w:r>
      <w:r>
        <w:rPr>
          <w:rFonts w:ascii="arial" w:eastAsia="arial" w:hAnsi="arial" w:cs="arial"/>
          <w:color w:val="000000"/>
          <w:sz w:val="20"/>
          <w:lang w:val="en-US" w:eastAsia="en-US" w:bidi="ar-SA"/>
        </w:rPr>
        <w:t>. Bike riding has become difficult and it has increased his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examination Mr. Willing has the posture of someone in chronic pain: his neck is somewhat straightened and he moves his upper body carefully. He is unable to have full range of motion of his neck, especially with right lateral movement. This has not changed over the almost year that I have known him. He does not have any neurological deficits and his reflexes are symmetrical.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had a cervical CT scan, which has resulted in the following findings. At the C4-5 level he has a minimal broad based central disc protrusion and there is some narrowing of the intervertebral foramen. At the C5-6 level he has mild disc space narrowing and again a broad based left paracentral disc protrusion, which appears to be contacting the cervical cord. It is also narrow in the entrance of the left intervertebral neutral foramen. He has some mild disc degeneration of the C6-C7 level.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Willing has chronic pain in his neck and upper back, which has the potential to radiate down his arms. This pain is consistent with the findings on the CT scan of disc herniations at the C4-5 and C5-6 levels.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This man does not relate a history of having any neck pain or headaches prior to the accident and therefore one would have to logically assume that his pain and the associated CT findings are related to the motor vehicle accident</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cervical spine findings are rarely amenable to a cure from surgery, unfortunately Mr. Willing will more likely than not continue to have ongoing neck pain and headaches. This pain will likely plateau two to five years after the accident but undoubtedly will be chronic. He will require ongoing physiotherapy and massage. He may require surgical intervention if there is further deterioration of the disc and impingement on the spinal cord.</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reported restrictions on Mr. Willing's recreational activities are, with respect, inaccurate at least. The further suggestion that Mr. Willing "has not continued his chosen profession as a mechanic and has since had to change jobs" is untrue and a distortion of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Willing left his "chosen profession as a mechanic" in 2001 to take a sales position which he continued until the time of the collision some four years later. There is no evidence at this trial whatsoever that Mr. Willing "... had to change jobs".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Finally Dr. Haskins 'logical assumption' that "his pain and the associated CT findings are related to the motor vehicle accident" is only logical if you ignore the results of the August 15, 2005 x-rays taken three days post accident. Those x-rays revealed "moderately advanced disc change". The CT scan to which Dr. Haskins was apparently referring was performed on August 28, 2007. There is no indication in his report that Dr. Haskins was aware of the x-ray results at the time of the motor vehicle collision, and, hence, no indication of whether or not they would influence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evidence, including that of Dr. McKenzie is that Mr. Willing had pre-existing degenerative changes in his neck.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With respect, Dr. Haskins' report is not helpful. Some of his factual assumptions are incorrect and the extent to which they influenced the opinion he expresses is not clear.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Dr. McKenzie is an orthopaedic surgeon of considerable experience. Although Dr. McKenzie only saw Mr. Willing on one occasion he reviewed at some length a variety of medical records listed in his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McKenzie sets out Mr. Willing's current situation at page 4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CURRENT SITUATION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essentially has one problem. He has pain in his neck, the right side equal to the left. It goes from the occiput all the way down to the trapezius muscles. It is rarely in the upper back. His pain is constant. It is aggravated by biking (holding his head up), as well as pushing and pulling. Sitting too long causes pain and he has to change positions frequently. It is improved by ice. Extra Strength Tylenol helps but he uses it infrequently. He takes one or two approximately twice a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gets occipital headaches. They can go into the left retro-orbital area. He notes some parasthesias in the neck but has no neurologic symptoms in his arms.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grades his typical ongoing neck discomfort as a 3/10. (0 out of 10 is no pain whereas 10 out of 10 is the worst pain he could ever imagine). It can be as much as a 10/10. The more severe pain occurs about twice a month and lasts 6 to 7 hours. He notes this if he "sleeps the wrong way" or is "quickly moving my neck". He thinks it has plateaued.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sleep is disrupted. He wakes up at least once a night. He states that he is "restless and I move a lot".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At page 6 of his report Dr. McKenzie sets out the results of his physical examination: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PHYSICAL EXAMINATION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is 5' 11" tall. He weighs 190 pounds. He was 190 pounds at the time of the accident but then went up to 220 pounds and since then has lost 30 pounds.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gait and squat were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Cervical spine examination shows full range of motion. He had significant pain with extension. With left rotation it "snapped" and it caused pain. He is diffusely tender from the occiput all the way down to the cervical thoracic junction. This is in the midline and over both paraspinal areas. He is also tender over the occiput itself. He is not tender over the trapezius muscle bellies. He has no tenderness in the thoracic or lumbar spine. Thoracolumbar spine range of motion was full. The upper extremity examination was normal. The neurologic examination was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Dr. McKenzie, in his final assessment and opinion, notes the presence of the pre-existing degenerative changes and the interrelationship between these changes and his present difficulties: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ASSESSMENT/OPINION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man had some pre-existing asymptomatic degenerative changes in his neck prior to being involved in a rear end motor vehicle accident. Immediately following that accident and since then he has had some ongoing pain in his neck. This is a diffuse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his pain is likely from a few sources. In my opinion he has some significant myofascial pain and likely has activated the asymptomatic degenerative changes in his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Were it not for the motor vehicle accident he may have developed neck pain as he did have degenerative changes in his x-ray. In my opinion however he would not have developed pain in this time frame. In other words as he immediately developed neck pain following the car accident and as it has been painful since then it is my opinion that the motor vehicle accident is a material cause of his current 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has now reached the chronic phase. He is 2-1/2 years from the time of the accident. He might benefit by using home traction. He should continue on his stretching/strengthening exercise program at home. He might also benefit by a trial of anti-inflammatories such as Celebrex. I would try him on this for a few months to see if it improves him. He might also benefit by normalizing his sleep with amitriptyline or nortriptyline. If these measures do not help then he may be a candidate for one of the neuropathic pain medications such as Gabapentin or Pregabalin.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2-1/2 years have passed the prognosis for the resolution of this problem even with the above treatment is guarded. If he does not receive benefit from the treatment noted above then in my opinion he is likely to have ongoing persistent pain in the neck for the foreseeable future and perhaps permanently. If he has ongoing neck pain then this will affect his job opportunities and his recreational activities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PLAINTIFF - KRISTINA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Kristina Willing was born on March 9, 1959 and, at the time of the collision was 46 years of age. She and her husband Michael had been married just over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At the time of the collision the Willings were living in a three level townhouse complex in Langley. This complex included a gym, outdoor pool and patio.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Kristina Willing was, at the time, employed as a dance and drama teacher at Kwantlen Park Secondary School in Surrey. She testified that she was the head of the Drama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Willing, in her direct evidence, testified that she remembers feeling nauseous and a ringing in her ear. In the immediate aftermath of collision she said she recalled a tightening in her neck and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They continued on their trip to Victoria and Ms. Willing testified that on the ferry she continued to "tighten up" and that she noticed that her lower back was tender. Either on the ferry or as they continued into Victoria she said she got pain down her arms and began to get a headache.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next morning she testified that she could not move her head and that she had "incredible pain" in her neck and back. She went on to describe going to a walk-in clinic where she saw a doctor who did not do a full examination but provided her with a prescription for Tylenol #3's.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After returning home she testified she saw her family doctor, Dr. Scott, and went to physiotherapy "on Friday". A week later they went on their scheduled Alaska cruise with, as she described it, "... both of us ... living on T'3's and Ibuprofen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Ms. Willing indicated in her evidence that, as of the date of trial, when she tilted her head to the right or the left she was conscious of a clicking or grinding and that when she tilted her head back she began to feel pressure.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She went on to testify that although she could move her right arm up or down she could only force her left to a level position and could not extend it behind her back. She indicated that she first noticed this problem with her left arm in June 2008 while she was doing core training exercises.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Ms. Willing testified that the pain associated with her arm has improved and the reduced mobility of her arm has decreased; she went on to describe her neck as being "tight" and never free of pain, although on some rare occasions the neck pain becomes what she described as "breath stopping".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Ms. Willing went on to describe headaches, which she characterizes as "the shadows", and she takes Extra Strength Tylenol and Ibuprofen and they don't come on. "The shadow" she described as a 3 to a 5. Over the past month or two she described having a full blown headache approximately four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 variety of other complaints surfaced at various times during the course of her evidence. These included problems with her right knee, bilateral planter fascitis and a sudden onset of headaches with orgasm which appears to have been communicated to Dr. Haskins for the first time on March 21, 2007, and preceded her complaint on February 11, 2008 of lower back and hip pain after sex.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MEDICAL EVIDENCE - KRISTINA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Once again it is necessary to describe the medical evidence in this case relating to the plaintiff, Kristina Willing, as being problematic in much the same context as that described earlier in relation to Michael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this case Ms. Willing's family doctor at the time of the collision on August 12, 2005 was, and had been for some time, Dr. J.G. Scott. Like her husband, Ms. Willing saw Dr. Scott for the first time on August 15, 2005 and continued to see him from time-to-time until they moved to Smithers in August of 2006, a year after the collision. Over the course of that time, according to the MSP printout, she saw Dr. Scott on nine occasions. The last of these was on March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Although a variety of clinical records were placed in evidence under the terms of the document agreement described earlier, and these included some clinical records from Dr. Scott, no evidence was called from Dr. Scott either by way of a report or </w:t>
      </w:r>
      <w:r>
        <w:rPr>
          <w:rFonts w:ascii="arial" w:eastAsia="arial" w:hAnsi="arial" w:cs="arial"/>
          <w:i/>
          <w:color w:val="000000"/>
          <w:sz w:val="20"/>
          <w:lang w:val="en-US" w:eastAsia="en-US" w:bidi="ar-SA"/>
        </w:rPr>
        <w:t>vive voce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medical reports placed in evidence in support of Ms. Willing's claim include:</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of Dr. Marlowe Haskins dated December 13, 2007;</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report of Dr. G.M. McKenzie dated February 27, 2008; and</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further one paragraph letter or report from Dr. Marlowe Haskins dated February 11,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was the case with Mr. Willing, Dr. Haskins became Ms. Willing's physician after her move to Smithers in August of 2006 and saw her for the first time in March of 2007, nearly eight months after her move to Smithers and some 19 months post- accident. The evidence does not suggest that she attended any medical doctors in relation to the many complaints she attributes to the accident from sometime in April 2006 until her first visit to Dr. Haskins in late March of 2007. The MSP printout records visits to Dr. Hart, Dr. Lowe and Dr. Phillips in August of 2006 in the first case and in February of 2007 in the others. No reports or evidence was called from these doctors.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Ms. Willing's PharmaNet printout was produced by her counsel during the trial and entered as Exhibit 13. This record contains entries that indicate that on August 13, 2005 a Dr. Ellen M. Skinnardland apparently prescribed 30 tablets of Ratio-Lenoltec No. 3, which appears to be a form of Tylenol #3 containing acetaminophen, caffeine and codeine. Dr. Skinnardland's name also appears on the MSP printout on the same date and it would appear she was the doctor who first saw her after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record shows that the next prescription was given by Ms. Willing's family doctor, Dr. Jeremy Scott, on August 15, 2005, for 60 tablets of Ratio-Emtec - 30. Again this appears to be a form of Tylenol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These two prescriptions were apparently issued the day after the collision and three days after, corresponding to her evidence about seeing a doctor in Victoria and then her family doctor on her return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The next two entries reflect a prescription for Ativan on January 19, 2006 by a Dr. Alson Robson and a form of penicillin on April 28, 2007 by Dr. Roderick Leighton.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These four entries are the only recorded prescription drug entries from the time of the accident until September 5, 2008 when the entries originating from Dr. Haskins begin.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This is, in my view, simply not a pattern that reflects the type of injuries and symptoms Ms. Willing describes and is inconsistent with the existence of the serious difficulties she describes.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Dr. McKenzie saw Ms. Willing on one occasion at the request of her counsel. The appointment was on February 27, 2008, the same date he saw Michael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Turning initially to the two reports of Dr. Haskins, the initial report of December 13, 2007 includes the following extracts: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August 12th, 2005 she was the right front belted passenger in a 2004 Mustang convertible that was stopped at traffic construction. She was turned to the left, speaking with her husband when she was rear-ended by a Ford E250 van traveling at approximately 60 km/hr. Her car was pushed forward and hit the vehicle in front. Both impacts resulted in about $15,000 damage to her vehicle.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She did not seek medical attention immediately as she was concerned about the welfare of the elderly couple in front of her. After ensuring their safety she then continued on her trip to a funeral of a family member which she was participating in. On the next day she sought medical attention for severe upper neck and back pain</w:t>
      </w:r>
      <w:r>
        <w:rPr>
          <w:rFonts w:ascii="arial" w:eastAsia="arial" w:hAnsi="arial" w:cs="arial"/>
          <w:color w:val="000000"/>
          <w:sz w:val="20"/>
          <w:lang w:val="en-US" w:eastAsia="en-US" w:bidi="ar-SA"/>
        </w:rPr>
        <w: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Currently she has a pain in her neck, which results in subsequent headaches, and when she moves her neck in different positions, such as 30 degrees to the right, she gets sudden incident headaches. She has tightness in the upper back, which radiates to the lower back and is constant. She finds that her facial and mandible (jaw) muscles are clenched almost continuously. Her sleep is disturbed currently; she wakes up frequently during the night.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Considerable numbers of activities are limited due to pain. She noticed recently that she cannot lift her newborn granddaughter and hold her without having pain. She has frequent migraines. She is not able to do any gardening and her exercising has dropped off considerably. This has resulted in her gaining about 40 lb. She used to be a drama and dance teacher and has had to give this up and go into administration.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seen Kristina on multiple occasions and examined her. She has marked decrease in the range of motion of her neck; her left rotation and extension of her neck is decreased. She has palpable tenderness of her erector spinae muscles and also the trapezius on both sides. There is no neurological deficit demonstrated at this time.</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These extracts serve to highlight the danger of medical reports and opinions from doctors who are separated significantly in time from the events they are assessing and who go on to form opinions as to the cause of conditions with an inadequate knowledge base of the past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particular they serve to highlight the danger created by the absence of evidence and opinion from the family doctor who assessed and treated the patient at the time of the incident in question and for the year following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Dealing with the extracts quoted above I make the following observations:</w:t>
      </w:r>
      <w:r>
        <w:rPr>
          <w:rFonts w:ascii="arial" w:eastAsia="arial" w:hAnsi="arial" w:cs="arial"/>
          <w:sz w:val="20"/>
          <w:lang w:val="en-US" w:eastAsia="en-US" w:bidi="ar-SA"/>
        </w:rPr>
        <w:cr/>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defendants' van was travelling at 60 km/hr and no such estimate was apparently relayed to Dr. Scott or noted in his clinical records. Where this came from is a mystery.</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estimate of $15,000 damage to "her vehicle" is equally unattributed and is exaggerated. The accident report completed at the scene estimates the damage at $5,000 and the I.C.B.C. repair estimate places the damage at slightly over $11,000.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What is troubling about these factual errors is that they both seem to err on the side of creating the impression of a more severe collision.</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next extract Dr. Haskins suggests that Ms. Willing did not seek medical attention immediately as she was concerned about the welfare of an elderly couple. He then goes on to report that she sought medical attention "for severe upper neck and back pain" the next day.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It is difficult to understand how characterizing this series of apparently reported events is a proper part of a medical assessment as opposed to a partial personal assessment, but what is more troubling is that although seeking medical attention the next day does correspond with Ms. Willing's evidence at this trial, it is directly contrary to Dr. Scott's clinical records which note on August 15, 2005 (three days post-accident) she has not seen any other doctors to this point.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Dr. Scott's absence from this trial leaves that notation unexplained but it seems clear that in writing his report Dr. Haskins either did not have access to the clinical records or did not read them.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conclusion becomes ever more apparent as one examines the balance of Dr. Haskins' letter.</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yet another passage. Dr. Haskins reports " her exercising has dropped off considerably. This has resulted in her gaining about 40 lb." He then goes on to note that "She used to be a drama and dance teacher and has had to give this up and go into administration."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These two statements, about weight gain and the implicit attribution of the plaintiff's giving up her drama and dance position, are highly contested in this trial and, in my view, the inaccuracy of the weight gain information is patent.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Ms. Willing apparently told a similar but even more pronounced story to Dr. McKenzie who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5'5" tall. She weighs 195 pounds by my weight today. At the time of the accident she was 170 pounds. She went up to 220 pounds and has since lost 25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For reasons which will become apparent these statements are demonstrably inaccurate and untrue. Of more concern, they appear to be repeated consistently to create a particular impression, namely that she was far more active before the accident and that her injuries had restricted her activities and resulted in a major weight gain.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As Dr. Haskins continues with his initial report he expresses the following conclusions: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lady certainly has chronic neck pain with resultant headaches and back and jaw pain. </w:t>
      </w:r>
      <w:r>
        <w:rPr>
          <w:rFonts w:ascii="arial" w:eastAsia="arial" w:hAnsi="arial" w:cs="arial"/>
          <w:color w:val="000000"/>
          <w:sz w:val="20"/>
          <w:u w:val="single"/>
          <w:lang w:val="en-US" w:eastAsia="en-US" w:bidi="ar-SA"/>
        </w:rPr>
        <w:t>None of these symptoms were present before the accident and therefore I would attribute the accident as the causal factor. She does have some mild degenerative changes, which were asymptomatic prior to the incident but are now impinging on her spinal cord</w:t>
      </w:r>
      <w:r>
        <w:rPr>
          <w:rFonts w:ascii="arial" w:eastAsia="arial" w:hAnsi="arial" w:cs="arial"/>
          <w:color w:val="000000"/>
          <w:sz w:val="20"/>
          <w:lang w:val="en-US" w:eastAsia="en-US" w:bidi="ar-SA"/>
        </w:rPr>
        <w:t xml:space="preserve">. Ms. Willing continues to have physio, massage and chiropractic treatment. There is some stabilization of the symptoms, although she continues to have chronic pain. This pain will undoubtedly continue into the foreseeable future. </w:t>
      </w:r>
      <w:r>
        <w:rPr>
          <w:rFonts w:ascii="arial" w:eastAsia="arial" w:hAnsi="arial" w:cs="arial"/>
          <w:color w:val="000000"/>
          <w:sz w:val="20"/>
          <w:u w:val="single"/>
          <w:lang w:val="en-US" w:eastAsia="en-US" w:bidi="ar-SA"/>
        </w:rPr>
        <w:t>She will continue to be limited in activities that she likes to do such as gardening and exercise</w:t>
      </w:r>
      <w:r>
        <w:rPr>
          <w:rFonts w:ascii="arial" w:eastAsia="arial" w:hAnsi="arial" w:cs="arial"/>
          <w:color w:val="000000"/>
          <w:sz w:val="20"/>
          <w:lang w:val="en-US" w:eastAsia="en-US" w:bidi="ar-SA"/>
        </w:rPr>
        <w:t>. The chronic pain often times results in depressive episodes, although this has not been present in Ms. Willing at this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will continue to require physio and massage and chiropractic treatment indefinitely. It is possible if she has further impingement on her cervical canal and neurological deficits, she may require a surgical approach to relieving her neck pain. The outcome of this treatment would relieve the acute neurological symptoms or deficits but would be unlikely to relieve the chronic pain in her neck.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Willing continues to be employed as an administrator. It is unlikely that she would be able to ever return to her chosen profession as a dance or drama instructor in the future.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opinions and statements in this letter are mine and have relied on my clinical examination and CT scan results made available to me. I have been the person primarily responsible for the contents of this report.</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This portion of Dr. Haskins' report, in my view, makes it clear that his opinion is based almost entirely on the basis that he believed what the plaintiff told him. This is even more apparent when one examines the information which Dr. Haskins identifies as being available to him in the last paragraph of the passage quoted above. Dr. Haskins relied on his clinical examination and the "CT scan results made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There is no reference to or listing of any medical documentation or clinical records such as one finds at the start of Dr. McKenzie's report. The contents of his report also makes it apparent that he neither reviewed nor had access to this patient's medical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This reasoning being applied by Dr. Haskins is perhaps even more evident when one turns to his report of February 11, 2008. The body of that report reads: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Thank you for your follow up letter dated February 5, 2008. Certainly a paracentral disc protrusion can be caused by trauma but we of course do not have a pre injury CT scan to compare with. Since this patient did not have any symptoms prior to the injury one would have to be very suspicious that the lesion could have developed during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Suspicion and speculation may be a useful process in some occupations but it does little to satisfy the burden of proof, particularly in the case of a 40 year old teacher whose medical records were readily available and in fact provided to Dr. McKenzie but, it appears, not to Dr. Haskins.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difference in history as reported by Dr. Haskins and that contained in Dr. McKenzie's report is readily apparent from even a cursory comparison.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Dr. McKenzie reports:</w:t>
      </w:r>
      <w:r>
        <w:rPr>
          <w:rFonts w:ascii="arial" w:eastAsia="arial" w:hAnsi="arial" w:cs="arial"/>
          <w:sz w:val="20"/>
          <w:lang w:val="en-US" w:eastAsia="en-US" w:bidi="ar-SA"/>
        </w:rPr>
        <w:cr/>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gymnastic accident which produced "midline lower back pain which went in a band across the back" at the level of the beltline;</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pain with her pregnancies;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motor vehicle accident in March 2002 with a referral to physiotherapy resulting in an intake form with a pain diagram documenting pain in the right side of face, head, neck and shoulder (April 9, 2002);</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second physiotherapy intake form dated February 17, 2004 shows a very similar distribution of pain which she attributed to her rotator cuff. She described ongoing right shoulder pain;</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previous fall resulting in injury to her right shoulder which required an injection;</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history of leg pain in her thighs, knees and legs down to her ankles which she said resolved in her "early 20's"; and</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entry regarding interscapular pain which she said did not recur.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Dr. McKenzie reports her current situation in this way in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CURRENT SITUATION</w:t>
      </w:r>
      <w:r>
        <w:rPr>
          <w:rFonts w:ascii="arial" w:eastAsia="arial" w:hAnsi="arial" w:cs="arial"/>
          <w:color w:val="000000"/>
          <w:sz w:val="20"/>
          <w:lang w:val="en-US" w:eastAsia="en-US" w:bidi="ar-SA"/>
        </w:rPr>
        <w:t>:</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Neck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some ongoing pain in the lower neck going into the upper back. The right side is worse than the left. It does not go into the arms now. Her neck pain/upper back pain is constant. It is aggravated by looking to the right or holding her head up such as when she is trying to bike or read. Sexual intercourse aggravates it. Lifting and carrying aggravates it. It is improved by rest. Ibuprofen and Tylenol improve it and she takes anywhere from 0 to 8 pills a week.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does note a sensation that her "fingers" are going to sleep. This is infrequent now although it was right from the time of the accident. Her neck pain is graded as a 3 to 6/10 on a constant basis. (0 out of 10 is no pain whereas 10 out of 10 is the worst pain she could ever imagine). She thinks it is staying the same. She has some associated headaches. These are in the retro-orbital and frontal area. Headaches are not an area of my expertise and I will not comment on that further.</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Lower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again repeated that she had no pain in her lower back after her 1994 pregnancy. She now has some pain above the beltline which radiates down to the right buttock in the upper posterior thigh and then around the thigh towards the knee joint. It now occurs once or twice a month. It typically lasts anywhere from 1 to 3 days. It has however been up to 3 weeks at a time. She says it is aggravated by activities. This includes standing, lifting, carrying, twisting and intercourse. It is improved by avoiding the above. She does note that her feet "go hot and tingly". That is infrequent now.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she does have her lower back pain she says it feels like "my hip goes out". She grades her pain as a 9/10 when it is there. She thinks it is staying the same.</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Mid back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at the level of her bra strap and then radiates around to "inside my stomach". It is different than the gall bladder attack pain that she had prior to the accident. It is activity related. It has been there since the accident. It now occurs "rarely". She estimates 2 to 3 times a year and lasts up to a day. When she does have the pain she grades it as a 10/10. She states "I'm lying on my back". It is aggravated by twisting. She does think it is continuing to improve.</w:t>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Right knee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that it "hardly hurts me at all". It is anterior. It was last present a few months ago. It is aggravated by activities such as climbing stairs or squatting. She denies any swelling or locking. It has given way in the past. She grades her discomfort when she has it as a 4 to 5/10. She thinks it is continuing to get better but she notes she is avoiding a lot of the activities that would aggravate it.</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Jaw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is not an area of my expertise and I will not comment on it further.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a sleep disturbance. She says that she is "restless". She wakes up with right ear pain 3 to 6 times a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Dr. McKenzie goes on to report the results of his physical examination on page 8 of his report: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PHYSICAL EXAMINATION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5'5" tall. She weighs 195 pounds by my weight today. At the time of the accident she was 170 pounds. She went up to 220 pounds and has since lost 25 pounds.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 gait was normal. She had a full squat but complained of right knee pain with squatting.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Cervical spine showed full range of motion but she had significant pain at the extremes. She had pain particularly with extension and side bending. She was tender in the midline at C5 to C7. She is also tender over both paraspinal areas at that level. She had no left trapezial tenderness in the muscle belly and mild on the right.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upper extremity examination was normal with the exception of some mild tenderness over the right supraspinatus. The neurologic examination was normal.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Thoracolumbar spine shows flexion with fingertips to the lower tibia. Lumbar increment is 4.5 cms. She has a trunkal shift to the right from a scoliosis which was evident also when she was flexed. She has an upper thoracic kyphosis. She is tender in the midline from T1 to T3 and over the right paraspinals at that level. She is also tender at T8/9 in the midline. She described these areas of tenderness as "mild".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had full extension, side bending and rotation. She had some mid back and lower back discomfort with rotation. She had a lot of pain recovering from the flexed position. She was tender at L5 to S1 in the midline. She was also tender over the paraspinal areas, the left side worse than the right. The S1 joints were not tender. The provocative tests for S1 joint were negative.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only other abnormality in the lower extremity was in the right knee. She had some evidence of right patellofemoral pain. Otherwise the knee was normal showing a full range of motion. The knee was stable. There was no heat or fluid in the knee. The hip examination was normal. Straight leg raising was full. Femoral stretch testing was negative. The neurologic examination was normal. She did not demonstrate any obvious chronic pain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Dr. McKenzie ends his report with a lengthy assessment and opinion touching on this plaintiff's various complaints: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ASSESSMENT/OPINION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lady was involved in a motor vehicle accident on August 12, 2005. She had some previous problems in her lower back from her early teenage years on to her late pregnancies. </w:t>
      </w:r>
      <w:r>
        <w:rPr>
          <w:rFonts w:ascii="arial" w:eastAsia="arial" w:hAnsi="arial" w:cs="arial"/>
          <w:color w:val="000000"/>
          <w:sz w:val="20"/>
          <w:u w:val="single"/>
          <w:lang w:val="en-US" w:eastAsia="en-US" w:bidi="ar-SA"/>
        </w:rPr>
        <w:t>For approximately 10 years following her last pregnancy however she had no significant back pain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was involved in a previous motor vehicle accident with some neck and right shoulder pain. </w:t>
      </w:r>
      <w:r>
        <w:rPr>
          <w:rFonts w:ascii="arial" w:eastAsia="arial" w:hAnsi="arial" w:cs="arial"/>
          <w:color w:val="000000"/>
          <w:sz w:val="20"/>
          <w:u w:val="single"/>
          <w:lang w:val="en-US" w:eastAsia="en-US" w:bidi="ar-SA"/>
        </w:rPr>
        <w:t>By her history the neck pain completely resolved although she had some mild residual shoulder pain. She did not have any significant pre-existing right knee pain or mid back pain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Following this accident she developed some neck pain, mid back pain, lower back pain and right knee pain.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neck pain in my opinion the diagnosis is likely pain arising from her degenerative disc disease as well as perhaps the facet joints and a contribution from the myofascial structures as well.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She did have a previous motor vehicle accident. </w:t>
      </w:r>
      <w:r>
        <w:rPr>
          <w:rFonts w:ascii="arial" w:eastAsia="arial" w:hAnsi="arial" w:cs="arial"/>
          <w:color w:val="000000"/>
          <w:sz w:val="20"/>
          <w:u w:val="single"/>
          <w:lang w:val="en-US" w:eastAsia="en-US" w:bidi="ar-SA"/>
        </w:rPr>
        <w:t>It is difficult to tell whether she [sic] or not her disc protrusion pre-existed or whether or not a portion of this is traumatic from this accident. The degenerative disc disease almost assuredly pre-existed but was minimally or completely asymptomatic</w:t>
      </w:r>
      <w:r>
        <w:rPr>
          <w:rFonts w:ascii="arial" w:eastAsia="arial" w:hAnsi="arial" w:cs="arial"/>
          <w:color w:val="000000"/>
          <w:sz w:val="20"/>
          <w:lang w:val="en-US" w:eastAsia="en-US" w:bidi="ar-SA"/>
        </w:rPr>
        <w:t xml:space="preserve">. With this motor vehicle accident she had the onset of new neck pain and in my opinion her current motor vehicle accident is a material cause of her ongoing neck pain. The potential pain generators include the degenerative disc disease that she has, the facet joints at the C5/6 level and the myofascial structures. </w:t>
      </w:r>
      <w:r>
        <w:rPr>
          <w:rFonts w:ascii="arial" w:eastAsia="arial" w:hAnsi="arial" w:cs="arial"/>
          <w:color w:val="000000"/>
          <w:sz w:val="20"/>
          <w:u w:val="single"/>
          <w:lang w:val="en-US" w:eastAsia="en-US" w:bidi="ar-SA"/>
        </w:rPr>
        <w:t>It is likely that it is a combination of these which are causing her current neck pain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view of the fact that 2 1/2 years have now passed and there is not a significant trend or tendency towards recent improvement in my opinion the prognosis for the resolution of this pain is guarded. </w:t>
      </w:r>
      <w:r>
        <w:rPr>
          <w:rFonts w:ascii="arial" w:eastAsia="arial" w:hAnsi="arial" w:cs="arial"/>
          <w:color w:val="000000"/>
          <w:sz w:val="20"/>
          <w:u w:val="single"/>
          <w:lang w:val="en-US" w:eastAsia="en-US" w:bidi="ar-SA"/>
        </w:rPr>
        <w:t>In my opinion she is likely to have some ongoing persistent discomfort for the foreseeable future and perhaps permanently as a result of this accident. The only treatment I would recommend ongoing would be some further isometric strengthening exercises and stretching exercises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has some ongoing mid back pain. It has become quite mild. In my opinion the prognosis for the resolution of this pain is good.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lower back pain she has some non-specific low back pain. The potential pain generators include the myofascial structures, the discs, the S1 joints and the facet joints. She has had a recent CT scan and I would like to see that report. Despite the fact that it has been 2 1/2 years I think she may show further improvement with appropriate treatment. This treatment would be in the form of further weight loss. She should try to get back to either her pre-motor vehicle accident weight or even less. She should be enrolled in a core exercise strengthening program. She had a lot of "physiotherapy" but she hasn't been doing any specific exercises for her core and I would recommend that she get into a gym with a personal trainer with specific attention paid to her core. She may show significant improvement. Unfortunately she may show no improvement. If she does not show any improvement after 3 to 6 months of this program then in my opinion she is likely to have some ongoing lower back discomfort for the foreseeable future and perhaps permanently. In my opinion the causation of her current low back pain is the motor vehicle accident. Were it not for the motor vehicle accident it is extremely unlikely that she would have developed lower back pain in this time frame.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regard to the right knee she clinically has some patellofemoral pain. This would also benefit by further weight loss. A quadriceps exercise strengthening program should also improve her knee. A patellofemoral brace may help. Unfortunately none of that may help. As for her lower back if she shows no improvement after 3 to 6 months of a quadriceps exercise program then she is likely to have some ongoing persistent discomfort in the knee for the foreseeable future and perhaps permanently as a result of this motor vehicle accident. In my opinion she does not require any further investigations in that knee. In my opinion she will not require surgery.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result of her ongoing pain complaints she has had to modify her work. She also has some ongoing problems with her housework and recreational activities. In my opinion these reported problems are consistent with her injuries.</w:t>
      </w:r>
    </w:p>
    <w:p>
      <w:pPr>
        <w:spacing w:before="120" w:line="260" w:lineRule="atLeast"/>
        <w:ind w:left="324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The defence in their submissions suggests that the credibility of both plaintiffs is directly in issue and goes further to submit that both intentionally misled the court as to their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Mr. McLauchlan submits that these two litigants are "claims conscious" to the point where their evidence is highly suspect. Despite the difficulties in their evidence he submits there is before the court not a single corroborating witness who confirms or verifies any portion of the evidence of the two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In approaching the assessment of damages in a personal injury action I am always mindful of the observations of Chief Justice McEachern in </w:t>
      </w:r>
      <w:r>
        <w:rPr>
          <w:rFonts w:ascii="arial" w:eastAsia="arial" w:hAnsi="arial" w:cs="arial"/>
          <w:i/>
          <w:color w:val="000000"/>
          <w:sz w:val="20"/>
          <w:lang w:val="en-US" w:eastAsia="en-US" w:bidi="ar-SA"/>
        </w:rPr>
        <w:t>Price v. Kostryba</w:t>
      </w:r>
      <w:r>
        <w:rPr>
          <w:rFonts w:ascii="arial" w:eastAsia="arial" w:hAnsi="arial" w:cs="arial"/>
          <w:color w:val="000000"/>
          <w:sz w:val="20"/>
          <w:lang w:val="en-US" w:eastAsia="en-US" w:bidi="ar-SA"/>
        </w:rPr>
        <w:t xml:space="preserve"> </w:t>
      </w:r>
      <w:hyperlink r:id="rId686" w:history="1">
        <w:r>
          <w:rPr>
            <w:rFonts w:ascii="arial" w:eastAsia="arial" w:hAnsi="arial" w:cs="arial"/>
            <w:i/>
            <w:color w:val="0077CC"/>
            <w:sz w:val="20"/>
            <w:u w:val="single"/>
            <w:shd w:val="clear" w:color="auto" w:fill="FFFFFF"/>
            <w:lang w:val="en-US" w:eastAsia="en-US" w:bidi="ar-SA"/>
          </w:rPr>
          <w:t>(1982), 70 B.C.L.R. 397</w:t>
        </w:r>
      </w:hyperlink>
      <w:r>
        <w:rPr>
          <w:rFonts w:ascii="arial" w:eastAsia="arial" w:hAnsi="arial" w:cs="arial"/>
          <w:color w:val="000000"/>
          <w:sz w:val="20"/>
          <w:lang w:val="en-US" w:eastAsia="en-US" w:bidi="ar-SA"/>
        </w:rPr>
        <w:t>, at paragraphs 7 and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am not stating any new principle when I say that the Court should be exceedingly careful when there is little or no objective evidence of continuing injury and when complaints of pain persist for long periods extending beyond the normal or usual recovery.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 injured person is entitled to be fully and properly compensated for any injury or disability caused by a wrongdoer. But no one can expect his fellow citizen or citizens to compensate him in the absence of convincing evidence - which could be just his own evidence if the surrounding circumstances are consistent - that his complaints of pain are true reflections of a continuing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In the case before him Chief Justice McEachern had a case in which the plaintiff, according to her doctor, was well on the way to recovery when things somewhat unexpectedly worsened.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present case represents a slightly different twist to that situation. In the case at bar we have the somewhat unusual situation where no evidence has been called </w:t>
      </w:r>
      <w:r>
        <w:rPr>
          <w:rFonts w:ascii="arial" w:eastAsia="arial" w:hAnsi="arial" w:cs="arial"/>
          <w:i/>
          <w:color w:val="000000"/>
          <w:sz w:val="20"/>
          <w:lang w:val="en-US" w:eastAsia="en-US" w:bidi="ar-SA"/>
        </w:rPr>
        <w:t>viva voce</w:t>
      </w:r>
      <w:r>
        <w:rPr>
          <w:rFonts w:ascii="arial" w:eastAsia="arial" w:hAnsi="arial" w:cs="arial"/>
          <w:color w:val="000000"/>
          <w:sz w:val="20"/>
          <w:lang w:val="en-US" w:eastAsia="en-US" w:bidi="ar-SA"/>
        </w:rPr>
        <w:t xml:space="preserve"> or by way of report, from either parties' general practitioner who assessed each of them shortly after the collision and followed their progress and recovery for the first year following their injury, and who, perhaps more importantly, was aware of their physical and medical condition prior to the collision. No explanation for the absence of that evidence has been presented.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The result of this approach is that the court is left with medical evidence from a family doctor who first saw the plaintiffs something short of two years after their injuries in March of 2007 and a well qualified orthopaedic surgeon who saw the two plaintiffs on one occasion on February 27, 2008, over 2 1/2 years post-accident at the request of the plaintiffs'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Both of these doctors received information from the plaintiffs which they accepted as being true and accurate. In several significant aspects that information is neither true nor 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Landry v. Codue</w:t>
      </w:r>
      <w:r>
        <w:rPr>
          <w:rFonts w:ascii="arial" w:eastAsia="arial" w:hAnsi="arial" w:cs="arial"/>
          <w:color w:val="000000"/>
          <w:sz w:val="20"/>
          <w:lang w:val="en-US" w:eastAsia="en-US" w:bidi="ar-SA"/>
        </w:rPr>
        <w:t xml:space="preserve">, </w:t>
      </w:r>
      <w:hyperlink r:id="rId687" w:history="1">
        <w:r>
          <w:rPr>
            <w:rFonts w:ascii="arial" w:eastAsia="arial" w:hAnsi="arial" w:cs="arial"/>
            <w:i/>
            <w:color w:val="0077CC"/>
            <w:sz w:val="20"/>
            <w:u w:val="single"/>
            <w:shd w:val="clear" w:color="auto" w:fill="FFFFFF"/>
            <w:lang w:val="en-US" w:eastAsia="en-US" w:bidi="ar-SA"/>
          </w:rPr>
          <w:t>[1985] B.C.J. No. 1396</w:t>
        </w:r>
      </w:hyperlink>
      <w:r>
        <w:rPr>
          <w:rFonts w:ascii="arial" w:eastAsia="arial" w:hAnsi="arial" w:cs="arial"/>
          <w:color w:val="000000"/>
          <w:sz w:val="20"/>
          <w:lang w:val="en-US" w:eastAsia="en-US" w:bidi="ar-SA"/>
        </w:rPr>
        <w:t>, (unreported), Madam Justice Southin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Of those who examined her, Dr. Hunt, Dr. Rees, Dr. Fenton, and Dr. Ross, were relying on her account of her symptoms. If her description of her symptoms is not believed, much of what they said is of no moment because the foundation for their diagnosis and prognosis does not exist. In saying this, I wish to make it clear that I accept that a physician ordinarily must proceed on the assumption that a patient is telling him the whole truth. I do not fault a physician for believing a patient even if I may think he or she is a little bit more credulous than 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In a similar vein, Madam Justice Southin subsequently wrote, at page 2, in </w:t>
      </w:r>
      <w:r>
        <w:rPr>
          <w:rFonts w:ascii="arial" w:eastAsia="arial" w:hAnsi="arial" w:cs="arial"/>
          <w:i/>
          <w:color w:val="000000"/>
          <w:sz w:val="20"/>
          <w:lang w:val="en-US" w:eastAsia="en-US" w:bidi="ar-SA"/>
        </w:rPr>
        <w:t>Le v. Milburn</w:t>
      </w:r>
      <w:r>
        <w:rPr>
          <w:rFonts w:ascii="arial" w:eastAsia="arial" w:hAnsi="arial" w:cs="arial"/>
          <w:color w:val="000000"/>
          <w:sz w:val="20"/>
          <w:lang w:val="en-US" w:eastAsia="en-US" w:bidi="ar-SA"/>
        </w:rPr>
        <w:t xml:space="preserve">, </w:t>
      </w:r>
      <w:hyperlink r:id="rId688" w:history="1">
        <w:r>
          <w:rPr>
            <w:rFonts w:ascii="arial" w:eastAsia="arial" w:hAnsi="arial" w:cs="arial"/>
            <w:i/>
            <w:color w:val="0077CC"/>
            <w:sz w:val="20"/>
            <w:u w:val="single"/>
            <w:shd w:val="clear" w:color="auto" w:fill="FFFFFF"/>
            <w:lang w:val="en-US" w:eastAsia="en-US" w:bidi="ar-SA"/>
          </w:rPr>
          <w:t>[1987] B.C.J. No. 2690</w:t>
        </w:r>
      </w:hyperlink>
      <w:r>
        <w:rPr>
          <w:rFonts w:ascii="arial" w:eastAsia="arial" w:hAnsi="arial" w:cs="arial"/>
          <w:color w:val="000000"/>
          <w:sz w:val="20"/>
          <w:lang w:val="en-US" w:eastAsia="en-US" w:bidi="ar-SA"/>
        </w:rPr>
        <w: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litigant practices to deceive, whether by deliberate falsehood or gross exaggeration, the court has much difficulty in disentangling the truth from the web of deceit and exaggeration. If, in the course of the disentangling of the web, the court casts aside as untrue something that was indeed true, the litigant has only himself or herself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difficulty in disentangling situations such as the case at bar is that between honest mistakes and deliberate deception there can be found a great many shades of grey.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A number of aspects of the present case are troubling and indeed as one turns to examine the evidence it is necessary to keep certain facts in mind. Both of the plaintiffs are, in my view, intelligent and experienced individuals who have had experience with these types of claims in the past.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Ms. Willing is highly educated and has an administrative position with some authority. Her experience in the dramatic arts was, at times, very evident during the course of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The medical evidence and the absence of evidence from the plaintiffs' long time family doctor, the absence of medical assessments at the time of the accident and throughout the initial year to 18 months of treatment and the inaccuracy of factual information provided to Dr. Haskins and Dr. McKenzie represents the initial backdrop to the presentation of these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presentation of the financial data is also somewhat troubling. The pleadings seek damages in both actions for past wage loss, future wage loss and 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These claims were maintained into this trial and essentially clarified in final argument. Mr. Stewart, during the course of his submissions, advised that Ms. Willing's past wage loss claim consisted of a claim of $549.99 related to time she lost while attending this trial and a claim for future loss of capacity. During the course of those same submissions Mr. Stewart acknowledged that Mr. Willing was not seeking past wage loss, but was pursuing a claim for future loss of capacity which he submitted should be on the order of $100,000.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Regardless of the final submissions we embarked upon this trial with active claims for all three categories of wage and capacity loss. Both plaintiffs were represented by the same counsel and both plaintiffs acknowledged that Ms. Willing was the person primarily responsible for their financial affairs and for the preparation of their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In the case of Mr. Willing the court was provided with his Tax Return Information printout from Revenue Canada for 1999, 2000 and 2002. In addition Notices of Assessment for 2000, 2001, 2002, 2003, 2004, as well as T4's for 2006, 2007 and 2008 were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Noticeably absent from Mr. Willing's material was any tax return or information for 2005, the year of the collision and his injury. When the absence of that information was raised by the court Exhibit 5 was provided, a copy of Mr. Willing's T1 for the year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the case of Ms. Willing, whose evidence followed that of her husband, the information produced included the same Tax Return Information printout from Revenue Canada for 2005 and copies of the T1 General Returns for 2006 and 2007 which were printed from the computer software she uses to prepare her tax returns.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It appears from the evidence presented that Mr. Willing has not filed a tax return since 2005, the year of the accident and perhaps not then, for the copy of his T1 General Return provided for 2005 is, once again, a printout from the software used to prepare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evidence does not disclose whether Ms. Willing has filed a tax return either before 2005 or since, or what her income was before or since 2007. It also does not include the information slips or T4 forms. I have no confidence that these forms or her evidence accurately reflects 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Ms. Willing's tax information as presented raises more questions than it resolves. Ms. Willing's tax information form 2005 appears as Exhibit 8, Tab 16, along with a letter from the Canada Revenue Agency dated October 10, 2007, which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2006 income tax return has not been filed.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Ms. Willing's 2005 total income is recorded as $65,165.00 which includes $64,835.00 in T4 earnings, $330.00 in RRSP income, and $510.00 in gross commission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The apparently unfiled T1 General Forms provided from her tax software reflect, for 2006, employment income of $81,579.13, RRSP income of $330.72, for a total income of $81,909.85.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The form also includes a report of a statement of self-employed commission activities reflecting a net income of $340.00 from a business, KA Enterprises, she apparently ran.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Ms. Willing's 2007 form, again apparently unfiled, shows total income at $86,978.53 which is shown as including $330.72 in RRSP income (the identical amount found in the 2006 form and the 2005 information statement) and $2.63 in other income.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Perhaps most baffling about these unfiled tax returns is the fact that the form she prepared for 2006 shows a tax refund due her of $12,447.54 while the 2007 form shows a refund due her of $7,987.19, for a total of $20,434.73.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Turning from these documentary difficulties to contradictions which emerged almost entirely during the course of cross-examination, I note the following areas of conflict: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MS. WILLING'S WEIGHT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beginning point for this issue is the information found in both medical reports and attributed to information given by the plaintiff Kristina Willing. In Dr. Haskins' report, he writes: "She is not able to do any gardening and her exercising has dropped off considerably. This has resulted in her gaining about 40 lbs." In Dr. McKenzie's report, he writes: "She is 5'5" tall. She weighs 195 pounds by my weight today. At the time of the accident she was 170 pounds. She went up to 220 pounds and has since lost 25 pounds."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These two passages, in slightly different but very similar ways, paint the picture of an active individual who, as a result of her injuries, was unable to exercise or continue her activities and suffered a substantial weight gain since she was injured in the present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Willing, in her direct evidence, painted the same picture testifying that prior to the accident she was very physical in her job, bicycled to work (23 km) from time to time, golfed, walked a lot, swam regularly, and used the weight room in their townhouse complex. Ms. Willing went on to say that since the accident she has been very limited in what she is able to do. She testified that she has not done well reducing her weight because of her pain and reduced mobility, particularly of her arm.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The clinical records and the cross-examination with respect to them paints a very different picture.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In one consultation report dated February 8, 2005 (Exhibit 17) Ms. Willing is described as "markedly overweight" and it is noted that she ". . . has gained about 40 pounds over the last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 second consultation report dated March 6, 2005 (Exhibit 20) it is recorded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states that she has gained approximately 40 pounds over the last three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Both of these consultation reports precede the collision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a third consultation report dated April 19, 2006 the author notes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gained some 20 lbs. weight since the motor vehicle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This report is dated some nine months after the collision and shows the beginning of the attribution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The clinical records record a series of visits in which, as a part of a physical examination, Kristina Willing's weight is recorded. These include the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54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Date</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June 7, 2001</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189 lbs.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18, 2001</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 lbs. stable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August 2, 2002</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195 lbs stable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18, 2003</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181 lbs. stable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21, 2004</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196 lbs.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December 29, 2005</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208 lbs.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March 24, 2006</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209 lbs.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While there are some slight variations of weight over this time period I am satisfied that her suggestion to both Dr. Haskins and to Dr. McKenzie that she had gained 40 or 50 pounds since the accident is simply not true. It appears equally untrue that at the time of the accident she weighed 170 pounds. Ms. Willing's evidence during cross-examination on these various entries was variously evasive and precise, noting at times 'that is what he wrote down' instead of responding to the questions asked.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When confronted during cross-examination with her apparent statement that she was 170 pounds at the time of the accident Ms. Willing became evasive then angry. When asked by the court if that estimate she had, by then, characterized as a guess was accurate she responded "I don't recall standing on a scale at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It is clear that over the period of time covered by Dr. Scott's clinical records that Ms. Willing was being counselled as to diet and the need to lose weight, and that this situation continued through a rising concern about her cardiac risk, right up to the time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To be charitable, the story told to Dr. Haskins and Dr. McKenzie materially misrepresents the history of her weight situation in a way which attributed that weight gain to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IMMEDIATE AFTERMATH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Immediately following the collision and after obtaining another vehicle the Willings continued their trip to Victoria where they attended a funeral and attended some family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Although both Willings testified that they had attended a walk-in clinic the next day, Ms. Willing told Dr. Scott, as noted in his clinical records on August 15, 2005, that she had not seen any other doctors to that point. When questioned about the conflict she volunteered that she thought Dr. Scott had written that because she had told him the doctor had not done a full 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Despite the many symptoms she described Ms. Willing was able to teach a week long summer course she had arranged in the week after the accident and then left with her husband on an Alaskan cruise. Evidence concerning the week long course she taught emerged only during her cross-examination.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Upon returning from the cruise she immediately returned to her teaching job at Kwantlen.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FALL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After returning to her teaching position in September of 2005 the teachers went on strike, shutting down the schools for five weeks in October and November of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During the course of her examination for discovery a request was made which resulted in Ms. Willing preparing a detailed chart of her school and community related activities. This detailed chart, found at Exhibit 8 - Tab 22, covers the time period from 1999 to 2008 and contains the notation under "2005-2006 - School Related":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fall performances due to my physical limitations.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When it was pointed out to her that the school was on strike, Ms. Willing, at first, argued that she had time available and that she could have done things if she was well before conceding that the strike was one of "the main concerns" and then finally adding "I forgot that when I wrote this up".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Regrettably this, like a good many other examples in her evidence, demonstrated that assurance and confidence in an answer did not make it accurate or true.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MOVE TO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Once again this issue arises from the contents of the two medical reports. In Dr. Haskins' report he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used to be a drama and dance teacher and has had to give this up and go into administration.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In Dr. McKenzie's report the reference is more oblique: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She is able to work. She did require an ergonomic chair at work. She notes that "my job totally changed" after the accident. She can't demonstrate dance or do any setup for the theatre such as lifting lights.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The 'impression' left with both Dr. Haskins and Dr. McKenzie appears to be that Ms. Willing could not continue in her drama and dance job and that this led her to move into administration and, presumably, the move to Smithers.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This 'impression' paralleled the evidence she gave during the course of her direct examination. In that evidence she testified -</w:t>
      </w:r>
      <w:r>
        <w:rPr>
          <w:rFonts w:ascii="arial" w:eastAsia="arial" w:hAnsi="arial" w:cs="arial"/>
          <w:sz w:val="20"/>
          <w:lang w:val="en-US" w:eastAsia="en-US" w:bidi="ar-SA"/>
        </w:rPr>
        <w:cr/>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wanted to move out of theatre and dance because she didn't think she could continue (because of her physical limitations);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of her physical limitations and her neck pain and headaches, shoulder checks were very difficult when she was driving;</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felt that her physical ability to perform her job in the area of drama or dance was inadequate to meet her own 'high standards';</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these inadequacies, she suggested, caused her significant stress and resulted in long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A number of aspects of the evidence raise concerns about the accuracy of this evidence, and again, the issue of the absence of reports and/or evidence of the family doctor arises.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As early as December 18, 2003, nearly two years prior to the accident, Dr. Scott's clinical records note "episodic anxiety work related". By December of 2004 there are references to "under stress at work would love to reduce work week" (December 21, 2004) and "works under considerable stress . . . has a form asking to reduce work week next year" (December 30,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These notations continue into 2005 as Dr. Scott apparently made referrals for cardiac assessment of Ms. Willing as a result of her complaints of shortness of breath, chest tightness, fatigue and "impaired exercise capacity". Almost all of these entries precede the present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As she moved into 2006 Dr. Scott's clinical records note her attempts to organize a class action to extend benefits to teachers working part time (January 12, 2006) and her apparent desire to have Dr. Scott's records reflect that she feels she can only cope with an 80% teaching load (March 24,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The cross-examination covered most, if not all, of these clinical record entries and again Ms. Willing's resistance to the questions being asked was apparent.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Despite what seems apparent from the whole of the evidence, including the stress of her position at Kwantlen, her cardiac issues, her continuing weight problem and inability to lose weight as advised by doctors, her cholesterol issues and the problem with planter fascitis, Ms. Willing continued to assert in her evidence her physical limitations arising from the accident as being the reason for her leaving her drama and dance position at Kwantlen.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I am wholly unable to accept that this was the case. It is clear in my view that the reasons for this change came from a large number of sources including the presence of extended family in the Smithers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Not least of the factors leading to her change of position and the move to Smithers was her ambition to advance her own career and a desire or recognition that this would require her pursuing both her Master's degree and an administrative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Despite Ms. Willing's attempts to dismiss the contents of her application as 'writing to the position she was applying for' it reflects the very career move I have indicated.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In the cover letter of May 11, 2006 which accompanied her resume, Ms. Willing wrote,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recently completed my Graduate Diploma in Fine Arts through S.F.U., and am now set on pursuing my Master's Degree in Administration.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have recently been approached by a number of Principals in my District who have encouraged me to consider administration as career advancement.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The e-mail which forwards these documents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Our family is very interested in relocating to a smaller community and the possibility of working in Administration in your District appeals to me very much.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I find that these passages accurately reflect Ms. Willing's thinking at the time and some of the reasons she was considering a move, not just away from Kwantlen, but outside the lower mainland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Ms. Willing's resistance to those propositions during the course of cross-examination demonstrated a lack of candour that parallels the absence of key areas of evidence and information in her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their written submissions, the defence had this to say about the credibility of both plaintiffs:</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say that both Plaintiffs are "claims conscious". The Plaintiffs tailored their pre-trial activities and the reporting to their symptoms to their treating physicians in order to inflate the value of their claims. The Plaintiffs exaggerated the nature and severity of their symptoms at trial. The Plaintiffs attributed adverse effects to the injuries they alleged they sustained in the accident when they knew or ought to have known that the adverse effects, if such effects were experienced in fact, likely arose from causes other than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While there is some validity to these submissions, and certainly some evidence to support them, I prefer to approach the troubling issues raised somewhat differently.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I am satisfied that both Dr. Haskins and Dr. McKenzie suffered in the preparation of their reports and opinions from information that was, at best, exaggerated and inaccurate.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This factor alone diminishes the value of their reports and opinions but when it is combined with the absence of evidence from either family doctor the difficulties become even greater.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Ms. Willing struggled to fill the void created by the absence of her family doctor by repeatedly offering her own opinions on a wide variety of topics ranging from the reason for notes found in Dr. Scott's clinical records to the cause of her weight gain after the accident. These opinions, though revealing, are of extremely limited evidentiary value and do not supplement the actual medical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In the absence of medical evidence based on a proper foundation I am not prepared to accept Ms. Willing's opinions as to causation. To be clear, I am satisfied that, above all, Ms. Willing demonstrated a remarkable capacity to blame the collision in question for virtually everything which crossed her path. This included attributing her weight gain to the accident, her move to Smithers, and complaints of headaches with orgasm which appears to have surfaced on March 21, 2007, approaching two years post-accident, and that of lower back and hip pain after sex which appears to have been reported to Dr. Haskins on February 11,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This penchant for exaggeration and attribution appears to have been passed on to her husband who, at least in the reports of Dr. Haskins, attributes the change from his job as a mechanic to a salesman to the after effects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Perhaps the most troubling aspect of the evidence in this case arises again in the reports and the opinion of Dr. McKenzie about the plaintiff, Kristina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This report is replete with qualifications which make it clear that Dr. McKenzie's opinion that her reported complaints were caused by the collision in question were based on the fact that she had recovered completely from previous injuries and she was asymptomatic from the degenerative disc condition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Those qualifications include the following -</w:t>
      </w:r>
      <w:r>
        <w:rPr>
          <w:rFonts w:ascii="arial" w:eastAsia="arial" w:hAnsi="arial" w:cs="arial"/>
          <w:sz w:val="20"/>
          <w:lang w:val="en-US" w:eastAsia="en-US" w:bidi="ar-SA"/>
        </w:rPr>
        <w:cr/>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 approximately 10 years following her last pregnancy however she had no significant back pain;</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was involved in a previous motor vehicle accident with some neck and right shoulder pain. By her history the neck pain completely resolved although she had some mild residual shoulder pain;</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degenerative disc disease almost assuredly pre-existed but was minimally or completely asymptomatic.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It seems clear that Dr. McKenzie's opinion as to causation, even couched as it is on the various contributing factors, is based on his acceptance of her evidence of her health and condition prior to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Clinical records produced apparently from the Glover Physiotherapist Corporation (Exhibit 3, Tab 10) contain an intake form dated April 9, 2002. The symptoms recorded include neck problems, headache and problems with her right shoulder area. After the initial assessment Ms. Willing is recorded as attending for three treatments - April 16, 2002; April 18, 2002; and April 25, 2002, before apparently discontinuing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A second intake form on February 17, 2004 references an "old mva" and contains a similar pain diagram to that found in the earlier intake form. This assessment goes on to record constant pain and a series of difficulties mainly centred on her right shoulder.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On this occasion Ms. Willing apparently attended four physiotherapy treatments over a period of some 16 days from February 21, 2004 to March 9, 2004 before discontinuing her attendances.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During the course of her evidence Ms. Willing was insistent that she recovered completely from these symptoms and that they had completely resolved after March 9,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Coincidentally her claim arising from the 2002 motor vehicle collision was settled on February 27,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The third intake form is dated August 19, 2005 and follows the present collision. The pain diagram in this case covers a somewhat larger area of the neck and upper back and includes the lower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On this occasion Ms. Willing apparently attended on some 26 occasions from August 29, 2005 until April 7, 2006 before apparently discontinuing the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Upon arriving in Smithers Ms. Willing began attending at the Bulkley Valley Chiropractic Clinic. These attendances began on August 9, 2006 and concluded on October 18, 2006 after some 16 visits which apparently included two acupuncture sessions.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On July 27, 2007 Alpine Physiotherapy in Smithers completed an initial assessment form which records, amongst other information, that she had just returned from a trip to France.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The physiotherapist, Graham Pollard, notes in a letter dated July 14, 2008 that he has treated her on five occasions since her initial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What is interesting about this entire sequence of events in Smithers, I hesitate to describe it as a pattern, is the gaps in what she now claims are necessary therapy treatments.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When Mr. Pollard refers to five treatments after her initial assessment he is not speaking about the July 27, 2007 initial assessment, because after that assessment she did not attend a single physiotherapy treatment until she returned for another initial assessment on June 3, 2008, some eleven months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Dealing initially with the initial assessment on July 27, 2007, this appointment took place immediately after the plaintiffs retained counsel to pursue the present claims. The writs were prepared and signed on July 25, 2007, and they were filed and these actions commenced on July 26, 2007. The next day she attended Alpine Physiotherapy.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On June 3, 2008 she returned, was assessed and began a series of five treatments. This followed her attendance at her examination for discovery some weeks before.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Once again I am forced to conclude that this is not a pattern that supports the recital of symptoms and problems presented by Ms. Willing in 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The adverse credibility findings in this case go to the heart of the factual underpinnings of Dr. McKenzie's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The absence of evidence from Dr. Scott and, indeed, from the time of the accident until Ms. Willing first saw Dr. Haskins leaves the court without any medical assessment from the time of the accident until nearly two years later. More importantly, it leaves the court without any evidence from her doctor concerning the extent of her recovery at the time of the present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There is, in the body of evidence before the court, little in the way of objective evidence let alone convincing evidence of any significant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A medical/legal report or evidence from Dr. Scott may have provided a clearer picture and the basis for a factual finding of continuing pain and discomfort related to the accident; but we do not have the benefit of any such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A decision must not be based on speculation, supposition or facts not placed in evidence. While this may possibly result in Kristina Willing being under-compensated she has only herself to blame.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The absence of evidence from Dr. Scott in this case fulfills the circumstances necessary for the drawing of an adverse inference. The inference in this case is, that if his evidence had been called, Dr. Scott's evidence would not have supported the 'complete recovery' scenario found in Ms. Willing's evidence and on which, to a significant extent, Dr. McKenzie's opinion is based.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KRISTINA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On the whole of the evidence and doing the best that I can with it, I find that Ms. Willing suffered moderate soft tissue injuries to her neck and lower back. Her neck injury caused her some discomfort and pain primarily for a year until her move to Smithers. In the nearly four years since the accident those problems have not caused her to miss any work. During this time she has continued to immerse herself in a demanding position which extends beyond normal work hours and has appeared to do so while earning both respect and recognition for her efforts. Not a single independent witness was called to suggest that her performance of her tasks at school or at home were compromised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Ms. Willing's headaches may continue to be a problem but the extent to which she has exaggerated her symptoms makes it difficult to properly assess the extent to which they affect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Ms. Willing's lower back pain continues although it is now infrequent and is sometimes aggravated by activity. Prognosis for resolution is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Ms. Willing, for a period of time, had some difficulty with her right knee. Dr. McKenzie found some clinical evidence of pain but recommends no further investigations or surgery. He notes she would benefit from weight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This plaintiff suffered from a pre-existing degenerative disease and had a previous motor vehicle accident which resulted in injuries to her neck and right shoulder. In my view, both are contributing factors to her difficulties arising from the present collision. This finding is consistent with the opinion expressed by Dr. McKenzie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Ms. Willing's evidence asserts that she has suffered a constellation of symptoms that restricts, primarily, her home life and leisure activities, but not affecting her work performance and not preventing her from carrying on. I regret to say that I am satisfied that she has exaggerated, to a large extent, those symptoms and included within those claims complaints which are not on the balance of probability related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Ms. Willing's health situation over the relevant period was complicated by a number of serious emotional issues involving members of her immediate family. These issues further complicate the orderly analysis of the injuries related to the motor vehicle collision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I am satisfied that the conclusion of this litigation itself will contribute to Ms. Willing's ongoing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I have considered each of the authorities provided to me by counsel. In my view an appropriate award of non-pecuniary damages for Kristina Willing is $20,000.00.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Income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The only claim now advanced by this plaintiff under this category is a claim for $549.99 which she says she has lost as a result of her attendance at this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In my view, this is not claimable as a result of her injuries as a compensable loss but rather is an aspect of the presentation of this claim. There will be no award under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Diminished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Under this category counsel for Ms. Willing seeks a modest amount of some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The difficulty with this claim flows from the fact that, in my view, Ms. Willing has entirely failed to meet the burden of proof on her in advancing this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There is no evidence Ms. Willing is not wholly meeting the requirements of her present position and she fully intends to continue in the path she has embarked upon in a demanding profession and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There is no evidence to support the existence of any restriction on Ms. Willing continuing along her chosen path. Any physical restrictions that exist are minor and, on the evidence, may well have developed as a result of the existing degenerative changes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There is no basis for an award under this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 of Future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Under this category Ms. Willing seeks an award of $2,000.00 to cover the cost of future physiotherapy or massage therapy. On the evidence, I am not persuaded that there is any therapeutic value to ongoing therapy in this case. The intermittent attendance by Ms. Willing appears to be more a form of "litigation response" than a true therapy regime.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There will be no award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Homemaking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The plaintiff, under this head, seeks some $900.00 representing reimbursement of costs paid out to a relative for assisting with the housekeeping. Once again I am not persuaded that the burden of proof has been met and there will be no award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Under this category the plaintiff seeks to recover $2,622.97 representing predominately the costs of chiropractic and physiotherapy treatments for both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The $2,622.97 advanced by the plaintiffs as special damages in this case in so far as it can be quantified is composed of two amounts of receipts from Alpine Physiotherapy of $150.00 and $870.00, the lists of items found at Tab 27 and Tab 28 of Exhibit 8 totalling some $1,502.97, and a claim for $100.00 Mr. Willing spent on a home traction machine.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Mr. Willing's records from Alpine Physiotherapy show Dr. Chen as the referring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This simple fact serves to highlight the problem with this claim. No evidence has been called from either family doctor and at the point when both plaintiffs moved to Smithers and began pursuing these various therapy treatments neither had seen Dr. Haskins.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my view there is no medical evidence which establishes a need for these treatments arising from the collision in question. The absence of this evidence which one would ordinarily expect to be placed before the court, coupled with the credibility issues emerging from the plaintiffs' evidence, leaves the burden of proof unsatisfied.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With one exception, I find the special damages claimed have not been proven.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The exception is Mr. Willing's home traction machine. I am satisfied that in this case the medical link has been established and he will recover the $100.00 paid to acquire that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MICHAEL WILLING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Michael Willing is 49 years of age and according to Dr. McKenzie he has essentially one problem - pain in his neck which is constant, extending from the occiput down to the trapezius muscles. The pain produces frequent headaches which become severe once or twice a month.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Pre-existing degenerative changes may well have resulted in the development of his present symptoms but I accept Dr. McKenzie's opinion that the early triggering of these symptoms arose from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Once again, Mr. Willing's reported restrictions in his activities, as recorded by Dr. McKenzie, are somewhat exaggerated as compared to the activities he described in his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Mr. Willing apparently continues to bike, run, ski, golf, hunt and fish, although not in the manner he did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I am satisfied that Mr. Willing suffered a moderate soft tissue injury to his neck which has left him with a constant level of discomfort which is a form of tingling. Mr. Willing continues to suffer from frequent headaches but only occasionally do these become more severe. On occasion he resorts to Tylenol #3 medication but the infrequency of his prescriptions indicates a relatively modest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214</w:t>
      </w:r>
      <w:r>
        <w:rPr>
          <w:rFonts w:ascii="arial" w:eastAsia="arial" w:hAnsi="arial" w:cs="arial"/>
          <w:color w:val="000000"/>
          <w:sz w:val="20"/>
          <w:lang w:val="en-US" w:eastAsia="en-US" w:bidi="ar-SA"/>
        </w:rPr>
        <w:t>  This plaintiff has not missed any work as a result of his injuries although he suggests that he may have lost some sales as a result of his headaches.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215</w:t>
      </w:r>
      <w:r>
        <w:rPr>
          <w:rFonts w:ascii="arial" w:eastAsia="arial" w:hAnsi="arial" w:cs="arial"/>
          <w:color w:val="000000"/>
          <w:sz w:val="20"/>
          <w:lang w:val="en-US" w:eastAsia="en-US" w:bidi="ar-SA"/>
        </w:rPr>
        <w:t>  In my view, Mr. Willing has, as a result of his injuries, suffered a continuing level of discomfort which while not incapacitating somewhat restricts his activities and his enjoyment of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216</w:t>
      </w:r>
      <w:r>
        <w:rPr>
          <w:rFonts w:ascii="arial" w:eastAsia="arial" w:hAnsi="arial" w:cs="arial"/>
          <w:color w:val="000000"/>
          <w:sz w:val="20"/>
          <w:lang w:val="en-US" w:eastAsia="en-US" w:bidi="ar-SA"/>
        </w:rPr>
        <w:t>  Mr. Willing does not suffer from the same central difficulties with respect to the absence of his family doctor. While presenting a claim of this sort without the benefit of current medical information is a dangerous way to proceed, the issues which emerged during the cross-examination of Kristina Willing are largely absent in 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217</w:t>
      </w:r>
      <w:r>
        <w:rPr>
          <w:rFonts w:ascii="arial" w:eastAsia="arial" w:hAnsi="arial" w:cs="arial"/>
          <w:color w:val="000000"/>
          <w:sz w:val="20"/>
          <w:lang w:val="en-US" w:eastAsia="en-US" w:bidi="ar-SA"/>
        </w:rPr>
        <w:t>  In my view an appropriate award for non-pecuniary damages in his case is $35,000.00.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218</w:t>
      </w:r>
      <w:r>
        <w:rPr>
          <w:rFonts w:ascii="arial" w:eastAsia="arial" w:hAnsi="arial" w:cs="arial"/>
          <w:color w:val="000000"/>
          <w:sz w:val="20"/>
          <w:lang w:val="en-US" w:eastAsia="en-US" w:bidi="ar-SA"/>
        </w:rPr>
        <w:t>  Mr. Willing does not present a claim for past wage loss but seeks an award of $100,000.00 for loss of earning capacity. The evidence before the court with respect to Mr. Willing includes neither an occupational therapy assessment nor a functional capacity evaluation.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219</w:t>
      </w:r>
      <w:r>
        <w:rPr>
          <w:rFonts w:ascii="arial" w:eastAsia="arial" w:hAnsi="arial" w:cs="arial"/>
          <w:color w:val="000000"/>
          <w:sz w:val="20"/>
          <w:lang w:val="en-US" w:eastAsia="en-US" w:bidi="ar-SA"/>
        </w:rPr>
        <w:t>  Nevertheless, Dr. McKenzie found diffuse tenderness extending from the occiput all the way down to the cervical thoracic junction. I accept Mr. Willing's evidence that he was asymptomatic prior to the accident and that he immediately after the accident developed neck pain which is presently ongoing.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220</w:t>
      </w:r>
      <w:r>
        <w:rPr>
          <w:rFonts w:ascii="arial" w:eastAsia="arial" w:hAnsi="arial" w:cs="arial"/>
          <w:color w:val="000000"/>
          <w:sz w:val="20"/>
          <w:lang w:val="en-US" w:eastAsia="en-US" w:bidi="ar-SA"/>
        </w:rPr>
        <w:t>  I am satisfied that these difficulties are relatively mild and permit him to work without interruption at his present sales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221</w:t>
      </w:r>
      <w:r>
        <w:rPr>
          <w:rFonts w:ascii="arial" w:eastAsia="arial" w:hAnsi="arial" w:cs="arial"/>
          <w:color w:val="000000"/>
          <w:sz w:val="20"/>
          <w:lang w:val="en-US" w:eastAsia="en-US" w:bidi="ar-SA"/>
        </w:rPr>
        <w:t xml:space="preserve">  The authorities with respect to loss of earning capacity include </w:t>
      </w:r>
      <w:r>
        <w:rPr>
          <w:rFonts w:ascii="arial" w:eastAsia="arial" w:hAnsi="arial" w:cs="arial"/>
          <w:i/>
          <w:color w:val="000000"/>
          <w:sz w:val="20"/>
          <w:lang w:val="en-US" w:eastAsia="en-US" w:bidi="ar-SA"/>
        </w:rPr>
        <w:t>Andrews v. Grand &amp; Toy Alberta Ltd.</w:t>
      </w:r>
      <w:r>
        <w:rPr>
          <w:rFonts w:ascii="arial" w:eastAsia="arial" w:hAnsi="arial" w:cs="arial"/>
          <w:color w:val="000000"/>
          <w:sz w:val="20"/>
          <w:lang w:val="en-US" w:eastAsia="en-US" w:bidi="ar-SA"/>
        </w:rPr>
        <w:t xml:space="preserve">, </w:t>
      </w:r>
      <w:hyperlink r:id="rId419" w:history="1">
        <w:r>
          <w:rPr>
            <w:rFonts w:ascii="arial" w:eastAsia="arial" w:hAnsi="arial" w:cs="arial"/>
            <w:i/>
            <w:color w:val="0077CC"/>
            <w:sz w:val="20"/>
            <w:u w:val="single"/>
            <w:shd w:val="clear" w:color="auto" w:fill="FFFFFF"/>
            <w:lang w:val="en-US" w:eastAsia="en-US" w:bidi="ar-SA"/>
          </w:rPr>
          <w:t>[1978] 2 S.C.R. 229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Earnshaw v. Despins</w:t>
      </w:r>
      <w:r>
        <w:rPr>
          <w:rFonts w:ascii="arial" w:eastAsia="arial" w:hAnsi="arial" w:cs="arial"/>
          <w:color w:val="000000"/>
          <w:sz w:val="20"/>
          <w:lang w:val="en-US" w:eastAsia="en-US" w:bidi="ar-SA"/>
        </w:rPr>
        <w:t xml:space="preserve"> </w:t>
      </w:r>
      <w:hyperlink r:id="rId689" w:history="1">
        <w:r>
          <w:rPr>
            <w:rFonts w:ascii="arial" w:eastAsia="arial" w:hAnsi="arial" w:cs="arial"/>
            <w:i/>
            <w:color w:val="0077CC"/>
            <w:sz w:val="20"/>
            <w:u w:val="single"/>
            <w:shd w:val="clear" w:color="auto" w:fill="FFFFFF"/>
            <w:lang w:val="en-US" w:eastAsia="en-US" w:bidi="ar-SA"/>
          </w:rPr>
          <w:t>(1990), 45 B.C.L.R. (2d) 380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Palmer v. Goodall</w:t>
      </w:r>
      <w:r>
        <w:rPr>
          <w:rFonts w:ascii="arial" w:eastAsia="arial" w:hAnsi="arial" w:cs="arial"/>
          <w:color w:val="000000"/>
          <w:sz w:val="20"/>
          <w:lang w:val="en-US" w:eastAsia="en-US" w:bidi="ar-SA"/>
        </w:rPr>
        <w:t xml:space="preserve"> </w:t>
      </w:r>
      <w:hyperlink r:id="rId100" w:history="1">
        <w:r>
          <w:rPr>
            <w:rFonts w:ascii="arial" w:eastAsia="arial" w:hAnsi="arial" w:cs="arial"/>
            <w:i/>
            <w:color w:val="0077CC"/>
            <w:sz w:val="20"/>
            <w:u w:val="single"/>
            <w:shd w:val="clear" w:color="auto" w:fill="FFFFFF"/>
            <w:lang w:val="en-US" w:eastAsia="en-US" w:bidi="ar-SA"/>
          </w:rPr>
          <w:t>(1991) 53 B.C.L.R. (2d) 44</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Kwei v. Boisclair</w:t>
      </w:r>
      <w:r>
        <w:rPr>
          <w:rFonts w:ascii="arial" w:eastAsia="arial" w:hAnsi="arial" w:cs="arial"/>
          <w:color w:val="000000"/>
          <w:sz w:val="20"/>
          <w:lang w:val="en-US" w:eastAsia="en-US" w:bidi="ar-SA"/>
        </w:rPr>
        <w:t xml:space="preserve"> </w:t>
      </w:r>
      <w:hyperlink r:id="rId102" w:history="1">
        <w:r>
          <w:rPr>
            <w:rFonts w:ascii="arial" w:eastAsia="arial" w:hAnsi="arial" w:cs="arial"/>
            <w:i/>
            <w:color w:val="0077CC"/>
            <w:sz w:val="20"/>
            <w:u w:val="single"/>
            <w:shd w:val="clear" w:color="auto" w:fill="FFFFFF"/>
            <w:lang w:val="en-US" w:eastAsia="en-US" w:bidi="ar-SA"/>
          </w:rPr>
          <w:t>(1991), 60 B.C.L.R. (2d) 393</w:t>
        </w:r>
      </w:hyperlink>
      <w:r>
        <w:rPr>
          <w:rFonts w:ascii="arial" w:eastAsia="arial" w:hAnsi="arial" w:cs="arial"/>
          <w:color w:val="000000"/>
          <w:sz w:val="20"/>
          <w:lang w:val="en-US" w:eastAsia="en-US" w:bidi="ar-SA"/>
        </w:rPr>
        <w:t xml:space="preserve"> (C.A.), Taggart J.A. quoted, with approval, a portion of the decision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 399: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means by which the value of the lost, or impaired, asset is to be assessed varies of course from case to case. Some of the considerations to take into account in making that assessment include whether:</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been rendered less capable overall from earning income from all types of employment;</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marketable or attractive as an employee to potential employers;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lost the ability to take advantage of all job opportunities which might otherwise have been open to him, had he not been injured;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is less valuable to himself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223</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Palmer v. Goodall, supra</w:t>
      </w:r>
      <w:r>
        <w:rPr>
          <w:rFonts w:ascii="arial" w:eastAsia="arial" w:hAnsi="arial" w:cs="arial"/>
          <w:color w:val="000000"/>
          <w:sz w:val="20"/>
          <w:lang w:val="en-US" w:eastAsia="en-US" w:bidi="ar-SA"/>
        </w:rPr>
        <w:t>, at p. 59, Southin J.A. observed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Because it is impairment that is being redressed, even a plaintiff who is apparently going to be able to earn as much as he could have earned if not injured or who, with retraining, on the balance of probabilities will be able to do so, is entitled to some compensation for the impairment. He is entitled to it because for the rest of his life some occupations will be closed to him and it is impossible to say that over his working life the impairment will not harm his income earning 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224</w:t>
      </w:r>
      <w:r>
        <w:rPr>
          <w:rFonts w:ascii="arial" w:eastAsia="arial" w:hAnsi="arial" w:cs="arial"/>
          <w:color w:val="000000"/>
          <w:sz w:val="20"/>
          <w:lang w:val="en-US" w:eastAsia="en-US" w:bidi="ar-SA"/>
        </w:rPr>
        <w:t>  I am satisfied in the present case that Michael Willing has been rendered 'less capable' overall from earning income from all types of employment and that he has 'lost the ability to take advantage of all job opportunities' which might otherwise have been open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225</w:t>
      </w:r>
      <w:r>
        <w:rPr>
          <w:rFonts w:ascii="arial" w:eastAsia="arial" w:hAnsi="arial" w:cs="arial"/>
          <w:color w:val="000000"/>
          <w:sz w:val="20"/>
          <w:lang w:val="en-US" w:eastAsia="en-US" w:bidi="ar-SA"/>
        </w:rPr>
        <w:t>  The impairment of Mr. Willing's earning capacity may be relatively modest but in my view it has been established. Once again this case is complicated by the absence of earnings information and tax returns which would provide a more certain base for an assessment.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226</w:t>
      </w:r>
      <w:r>
        <w:rPr>
          <w:rFonts w:ascii="arial" w:eastAsia="arial" w:hAnsi="arial" w:cs="arial"/>
          <w:color w:val="000000"/>
          <w:sz w:val="20"/>
          <w:lang w:val="en-US" w:eastAsia="en-US" w:bidi="ar-SA"/>
        </w:rPr>
        <w:t>  This 49 year old plaintiff seeks an award of $100,000.00 under this head of damage. An award of that amount would amount to an award of more than three years at his present annual income as reflected on the T4 slips placed in evidence. An award of that magnitude reflects neither the extent to which his earning capacity has been impaired nor the likely impact of that loss over the remainder of his working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227</w:t>
      </w:r>
      <w:r>
        <w:rPr>
          <w:rFonts w:ascii="arial" w:eastAsia="arial" w:hAnsi="arial" w:cs="arial"/>
          <w:color w:val="000000"/>
          <w:sz w:val="20"/>
          <w:lang w:val="en-US" w:eastAsia="en-US" w:bidi="ar-SA"/>
        </w:rPr>
        <w:t>  In my view, the appropriate award under this head of damage is $25,000.00.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228</w:t>
      </w:r>
      <w:r>
        <w:rPr>
          <w:rFonts w:ascii="arial" w:eastAsia="arial" w:hAnsi="arial" w:cs="arial"/>
          <w:color w:val="000000"/>
          <w:sz w:val="20"/>
          <w:lang w:val="en-US" w:eastAsia="en-US" w:bidi="ar-SA"/>
        </w:rPr>
        <w:t>  As requested, if counsel are unable to resolve the issue of costs, they may be spoken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W.G. PARRETT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4" style="position:absolute;z-index:2518292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690"/>
          <w:headerReference w:type="default" r:id="rId691"/>
          <w:footerReference w:type="even" r:id="rId692"/>
          <w:footerReference w:type="default" r:id="rId693"/>
          <w:headerReference w:type="first" r:id="rId694"/>
          <w:footerReference w:type="first" r:id="rId6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696" w:history="1">
        <w:r>
          <w:rPr>
            <w:rFonts w:ascii="arial" w:eastAsia="arial" w:hAnsi="arial" w:cs="arial"/>
            <w:b/>
            <w:bCs/>
            <w:i/>
            <w:color w:val="0077CC"/>
            <w:kern w:val="32"/>
            <w:sz w:val="28"/>
            <w:szCs w:val="32"/>
            <w:u w:val="single"/>
            <w:shd w:val="clear" w:color="auto" w:fill="FFFFFF"/>
            <w:lang w:val="en-US" w:eastAsia="en-US" w:bidi="ar-SA"/>
          </w:rPr>
          <w:t>0742848 B.C. Ltd. v. 426008 B.C. Ltd., 2020 BREG para. 51,031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Real Estate Law Guide</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Supreme Court of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Horsman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November 1, 2019.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S1812158</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British Columbia Real Estate Law Guide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2019</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2020 BREG para. 51,031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[2019] B.C.J. No. 2070</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697" w:history="1">
        <w:r>
          <w:rPr>
            <w:rFonts w:ascii="arial" w:eastAsia="arial" w:hAnsi="arial" w:cs="arial"/>
            <w:i/>
            <w:color w:val="0077CC"/>
            <w:sz w:val="20"/>
            <w:u w:val="single"/>
            <w:shd w:val="clear" w:color="auto" w:fill="FFFFFF"/>
            <w:lang w:val="en-US" w:eastAsia="en-US" w:bidi="ar-SA"/>
          </w:rPr>
          <w:t>2019 BCSC 1869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0742848 B.C. Ltd. v. 426008 B.C. Ltd., 0714185 B.C. Ltd., Andrew A. Bury, Andrew A. Bury Law Corporation, Manjit Claire, Manjit Claire Personal Real Estate Corporation, Kurtis Claire, RE/MAX Real Estate Services, Andrews Realty Ltd., David N. Andrews, Neil Hahn, and Garnett Wilson Realty Advisors Ltd.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commentary at </w:t>
      </w:r>
      <w:hyperlink r:id="rId698" w:history="1">
        <w:r>
          <w:rPr>
            <w:rFonts w:ascii="arial" w:eastAsia="arial" w:hAnsi="arial" w:cs="arial"/>
            <w:i/>
            <w:color w:val="0077CC"/>
            <w:sz w:val="20"/>
            <w:u w:val="single"/>
            <w:shd w:val="clear" w:color="auto" w:fill="FFFFFF"/>
            <w:lang w:val="en-US" w:eastAsia="en-US" w:bidi="ar-SA"/>
          </w:rPr>
          <w:t>BREG para. 25,215</w:t>
        </w:r>
      </w:hyperlink>
      <w:r>
        <w:rPr>
          <w:rFonts w:ascii="arial" w:eastAsia="arial" w:hAnsi="arial" w:cs="arial"/>
          <w:color w:val="000000"/>
          <w:sz w:val="20"/>
          <w:lang w:val="en-US" w:eastAsia="en-US" w:bidi="ar-SA"/>
        </w:rPr>
        <w:t xml:space="preserve">. </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15" style="position:absolute;z-index:251676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18" w:name="Keywords_17"/>
      <w:bookmarkEnd w:id="118"/>
      <w:r>
        <w:rPr>
          <w:rFonts w:ascii="arial" w:eastAsia="arial" w:hAnsi="arial" w:cs="arial"/>
          <w:b/>
          <w:color w:val="000000"/>
          <w:sz w:val="20"/>
          <w:lang w:val="en-US" w:eastAsia="en-US" w:bidi="ar-SA"/>
        </w:rPr>
        <w:t xml:space="preserve">Remedies - Mortgage Default — Foreclosure proceedings — Approval of sale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mortgagor — Duty of care — Mortgagees — Realtor — Appraiser — Trespass — Conspiracy — Plaintiff was owner of property on which defendant numbered companies held first mortgage — Plaintiff defaulted on mortgage and mortgagees commenced foreclosure proceedings, obtaining order for conduct of sale — Mortgagees retained defendant realtors and defendant appraiser who appraised property at $2.7 million — In April 2018, property was listed at $10 million and in June 2018, offer for $5.3 million was accepted — Master refused to approve sale, finding evidence did not support that marketing efforts were businesslike — Plaintiff filed notice of civil claim against mortgagees, realtors, appraiser, and mortgagees' lawyer alleging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conspiracy, and trespass — Defendants brought applications to strike or dismiss plaintiff's claims - - Applications allowed in part — Court found mortgagee does not owe tort duty of care to mortgagor in court-ordered sale pursuant to foreclosure proceedings in British Columbia — As mortgagor has independent standing in petition for foreclosure, it has standing to oppose sale in court — Relationship of proximity was not present, as mortgagor is not reliant on mortgagee to protect its interests due to mortgagor's independent standing — Relationship between plaintiff and realtors was even less proximate, as realtors did not undertake to provide services to plaintiff — Rule of witness immunity barred plaintiff's claim against appraiser — Lawyer only owes actionable duty of care to their own client - - Plaintiff's action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was dismissed — Plea of conspiracy was deficient — There was no allegation of actual damage, as property had not yet sold — Appropriate order was to strike claim of conspiracy against all defendants, with leave to plaintiff to file amended pleading after foreclosure proceeding — Claim in conspiracy against appraiser was dismissed pursuant to principle of witness immunity — As appraiser and lawyer had clear legal authority to access property as agents of mortgagees, claim against them in trespass was dismissed.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19" w:name="Case Summary_17"/>
            <w:bookmarkEnd w:id="119"/>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corporation was the owner of a property. The defendant numbered companies (the "Mortgagees") held a first mortgage on the property. The plaintiff defaulted on the mortgage in 2017 and the Mortgagees commenced foreclosure proceedings. In January 2018, the Mortgagees obtained an order for conduct of sale. The Mortgagees retained the defendant realtors and the defendant appraiser who appraised the property at $2.7 million. In April 2018, the property was listed at $10 million. The price was reduced to $5.9 million in June 2018. In June 2018, an offer of $5.3 million was accepted. A Master refused to approve the sale, finding that the evidence did not support that the marketing efforts were businesslike. The property was subsequently listed for $9 million in August 2018, $8 million in October 2018, and $7.29 million in November 2018. In May 2019, the Mortgagees obtained an order vacating the order for conduct of sale and giving conduct of sale to the plaintiff.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filed a notice of civil claim against the Mortgagees, realtors, the appraiser, and the lawyer who acted for the Mortgagees,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conspiracy, and trespass. Relying on a 2016 appraisal of the property at $10 million, it sought pecuniary damages for the difference between $10 million and the realized sale price of the property. The defendants brought applications to strike or dismiss the plaintiff's claims on the basis that the notice of civil claim disclosed no reasonable cause of action, is scandalous, frivolous, and vexatious, or is an abuse of court process. The defendants took the position that they do not owe the plaintiff a duty of care. At the time of the applications, the property was not yet sold. </w:t>
            </w:r>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Held:</w:t>
            </w:r>
            <w:r>
              <w:rPr>
                <w:rFonts w:ascii="arial" w:eastAsia="arial" w:hAnsi="arial" w:cs="arial"/>
                <w:color w:val="000000"/>
                <w:sz w:val="20"/>
                <w:lang w:val="en-US" w:eastAsia="en-US" w:bidi="ar-SA"/>
              </w:rPr>
              <w:t xml:space="preserve"> The applications were allowed in part.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Having considered the case law, the Court found that it is plain and obvious that a mortgagee does not owe a tort duty of care to a mortgagor in a court-ordered sale pursuant to foreclosure proceedings in British Columbia. As a mortgagor has independent standing in a petition for foreclosure under rule 21-7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it has the ability to participate in the application for court approval of the sale and has standing to oppose a sale in court, as the plaintiff did. The equitable duties of care of a mortgagee are reflected in the test for court approval, as the mortgage must provide evidence that the property has been properly marketed. Under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the relationship of proximity required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present, as a mortgagor is not reliant on a mortgagee to protect its interests due to the mortgagor's independent standing in the foreclosure process. The relationship between the plaintiff and realtors was even less proximate, as the realtors did not undertake to provide services to the plaintiff and serve its interests. It was plain and obvious that the rule of witness immunity barred the plaintiff's claim against the appraiser. It was also clear from case law that a lawyer only owes an actionable duty of care to their own client. Having regard to the above, the plaintiff's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dismissed.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plea of conspiracy was deficient, as it did not allege that there was an agreement between the defendants and did not particularize the alleged action taken by the defendants in pursuing their agreement. There was also no allegation of actual damage, as the property had not yet sold for under $10 million. The Court found that the appropriate order was to strike the claim of conspiracy against all defendants, with leave to the plaintiff to file an amended pleading after the foreclosure proceeding was concluded. The claim in conspiracy against the appraiser was dismissed pursuant to the principle of witness immunity. As the appraiser and lawyer had clear legal authority to access the property as agents of the Mortgagees, the claim against them in trespass was dismissed for raising no genuine issue for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0" w:name="Counsel_17"/>
      <w:bookmarkEnd w:id="12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16" style="position:absolute;z-index:2517278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 McCargar for the plaintiff; A. Sabur for the defendants 426008 B.C. Ltd. and 0714185 B.C. Ltd.; V. Critchley for the defendants Andrew A. Bury and Andrew A. Bury Law Corporation; S.G. Cordell for the defendants Manjit Claire, Manjit Claire Personal Real Estate Corporation, Kurtis Claire, RE/MAX Real Estate Services, Andrews Realty Ltd., and David N. Andrews; K. Paciorek and M. Clark for the defendants Neil Hahn and Garnett Wilson Realty Advisors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1" w:name="Judgment_17"/>
      <w:bookmarkEnd w:id="121"/>
      <w:r>
        <w:pict>
          <v:line id="_x0000_s1117" style="position:absolute;z-index:25177907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Order Nisi and Order for Conduct of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 The application for approval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The tests under Rule 9-5(1) and 9-6</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 The plaintiff's claims in </w:t>
      </w:r>
      <w:r>
        <w:rPr>
          <w:rFonts w:ascii="arial" w:eastAsia="arial" w:hAnsi="arial" w:cs="arial"/>
          <w:b/>
          <w:i/>
          <w:color w:val="000000"/>
          <w:sz w:val="20"/>
          <w:u w:val="single"/>
          <w:lang w:val="en-US" w:eastAsia="en-US" w:bidi="ar-SA"/>
        </w:rPr>
        <w:t>negligence</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1. The Anns/Cooper framework</w:t>
      </w:r>
    </w:p>
    <w:p>
      <w:pPr>
        <w:spacing w:before="120" w:line="260" w:lineRule="atLeast"/>
        <w:ind w:firstLine="240"/>
        <w:rPr>
          <w:rFonts w:ascii="arial" w:eastAsia="arial" w:hAnsi="arial" w:cs="arial"/>
          <w:sz w:val="20"/>
          <w:lang w:val="en-US" w:eastAsia="en-US" w:bidi="ar-SA"/>
        </w:rPr>
      </w:pPr>
      <w:r>
        <w:rPr>
          <w:rFonts w:ascii="arial" w:eastAsia="arial" w:hAnsi="arial" w:cs="arial"/>
          <w:i/>
          <w:color w:val="000000"/>
          <w:sz w:val="20"/>
          <w:lang w:val="en-US" w:eastAsia="en-US" w:bidi="ar-SA"/>
        </w:rPr>
        <w:t xml:space="preserve">2. The plaintiff's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claim against the Mortgagees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a) The equitable duties of a mortgagee exercising the power of sale</w:t>
      </w:r>
      <w:r>
        <w:rPr>
          <w:rFonts w:ascii="arial" w:eastAsia="arial" w:hAnsi="arial" w:cs="arial"/>
          <w:sz w:val="20"/>
          <w:lang w:val="en-US" w:eastAsia="en-US" w:bidi="ar-SA"/>
        </w:rPr>
        <w:cr/>
      </w:r>
    </w:p>
    <w:p>
      <w:pPr>
        <w:numPr>
          <w:numId w:val="4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Foreclosure proceedings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 Do the Mortgagees owe a duty of care to the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w:t>
            </w:r>
          </w:p>
        </w:tc>
        <w:tc>
          <w:tcPr>
            <w:tcW w:w="10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the Realtors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Hahn Defendants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the Bury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147"/>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12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0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xml:space="preserve">6. Summary of findings on the plaintiff's </w:t>
            </w:r>
            <w:r>
              <w:rPr>
                <w:rFonts w:ascii="arial" w:eastAsia="arial" w:hAnsi="arial" w:cs="arial"/>
                <w:b/>
                <w:i/>
                <w:color w:val="000000"/>
                <w:sz w:val="18"/>
                <w:u w:val="single"/>
                <w:lang w:val="en-US" w:eastAsia="en-US" w:bidi="ar-SA"/>
              </w:rPr>
              <w:t>negligence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12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claims</w:t>
            </w:r>
          </w:p>
        </w:tc>
        <w:tc>
          <w:tcPr>
            <w:tcW w:w="20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 The plaintiff's claims in conspiracy</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Hahn Defendants</w:t>
      </w:r>
    </w:p>
    <w:p>
      <w:pPr>
        <w:spacing w:before="120" w:line="260" w:lineRule="atLeast"/>
        <w:ind w:firstLine="240"/>
        <w:rPr>
          <w:rFonts w:ascii="arial" w:eastAsia="arial" w:hAnsi="arial" w:cs="arial"/>
          <w:sz w:val="20"/>
          <w:lang w:val="en-US" w:eastAsia="en-US" w:bidi="ar-SA"/>
        </w:rPr>
      </w:pPr>
      <w:r>
        <w:rPr>
          <w:rFonts w:ascii="arial" w:eastAsia="arial" w:hAnsi="arial" w:cs="arial"/>
          <w:color w:val="000000"/>
          <w:sz w:val="20"/>
          <w:lang w:val="en-US" w:eastAsia="en-US" w:bidi="ar-SA"/>
        </w:rPr>
        <w:t>2. The Mortgagees, the Realtors, and the Bury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 The plaintiff's claims in trespass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 Is the claim as a whole an abuse of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CONCLUSION/ORDERS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22" w:name="K. HORSMAN J."/>
            <w:bookmarkEnd w:id="122"/>
            <w:r>
              <w:rPr>
                <w:rFonts w:ascii="arial" w:eastAsia="arial" w:hAnsi="arial" w:cs="arial"/>
                <w:b/>
                <w:color w:val="000000"/>
                <w:sz w:val="30"/>
                <w:lang w:val="en-US" w:eastAsia="en-US" w:bidi="ar-SA"/>
              </w:rPr>
              <w:t>K. HORSMAN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Each of the defendants in this action brings an application to strike and/or dismiss the plaintiff's claims against them pursuant to Rules 9-5(1) and/or 9-6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B.C. Reg. 168/2009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claims advanced in this action arise out of an ongoing foreclosure proceeding involving land owned by the corporate plaintiff in Squamish, British Columbia (the "Property"). Donald McCargar is the sole director and shareholder of the plaintiff. Mr. McCargar appeared for the plaintiff on the present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defendants are the mortgagees, their legal counsel, realtors retained by the mortgagees to assist in the sale of the Property, and an appraiser retained to provide a valuation of the Property. The plaintiff alleges that throughout the foreclosure proceeding the defendants were negligent in their marketing, appraisal, and attempted sale of the Property, and conspired to reduce the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defendants apply to strike the claims on the basis that the notice of civil claim discloses no reasonable cause of action, is scandalous, frivolous and vexatious, or is an abuse of court process. Alternatively, the defendants say the plaintiff's claims should be dismissed pursuant to Rule 9-6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While each of the four groups of defendants filed a separate application, there are some common themes. The defendants all say that they do not owe a duty of care to the plaintiff in the context of a foreclosure proceeding, that the conspiracy pleading is speculative, and that the notice of civil claim is an abuse of the court's process to the extent that it undermines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says the defendants, collectively and individually, acted negligently and in bad faith in dealing with the sale of the Property. The plaintiff acknowledges that there are some drafting deficiencies in its notice of civil claim, particularly in respect of the claim of conspiracy. However, the plaintiff says it ought to be allowed to proceed with oral and documentary discovery in order to determine the true facts, at which point the plaintiff can amend its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FACTUAL BACKGROUND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Order Nisi and Order for Conduct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defendants 426008 B.C. Ltd. and 0714185 B.C. Ltd. (the "Mortgagees") hold a registered mortgage on the Property (the "Mortgage"). At the time it was registered, the Mortgage ranked second in priority to a mortgage held by the Royal Bank of Canada ("RBC"). The Mortgagees have since paid RBC out and are the first priority mortgagees on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defaulted on the Mortgage in 2017 and the Mortgagees commenced a foreclosure proceeding: Vancouver Action No. H-170069 (the "Foreclosure Proceeding"). On June 12, 2017, Master Tokarek issued an Order Nisi in the Foreclosure Proceeding declaring the Mortgage to be in default, and setting a redemption date of November 29, 2017. The Order Nisi granted judgment to the Mortgagees against the plaintiff in the amount of $2,655,865 plus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Andrew Bury, Q.C. was counsel for the Mortgagees on the application for an Order Nisi, and has been counsel throughout the Foreclosure Proceeding. It remains an active proceeding that has not been concluded by order absolute or an order approving a sale of the Property to a third party purchaser.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On January 15, 2018, Master Harper issued an Order for Conduct of Sale which ordered that the Property be offered for sale and that the Mortgagees have conduct of the sale. The following terms of the Order are relevant to some of the allegations advanced by the plaintiff in the notice of civil claim:</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persons in possession of the Property, including any tenant or tenants, shall, on or after April 16, 2018, permit any duly authorized agent of the Petitioners to inspect or appraise the Property, and show the Property to prospective purchasers, between the hours of 8:00 a.m. and 8:00 p.m. on any day including Sundays and statutory holidays, and to post signs on the Lands, indicating that the Property is offered for sale.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listing price for the Property shall not be less than $10,000,000, prior to June 16,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Although the notice of civil claim refers to the Order for Conduct of Sale as a "consent order", it is not, in fact, on its face a consent order. It does appear from the material that no party opposed the order. The plaintiff alleges in the notice of civil claim that the terms of the Order for Conduct of Sale were the product of negotiation between the plaintiff's lawyer and Mr. Bury. I must assume this to be true for the purpose of the present applications.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 The application for approval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After the Order for Conduct of Sale was issued, the Mortgagees retained the defendant realtors Manjit Claire and Kurtis Claire to market and sell the Property, and the defendant Neil Hahn to prepare an appraisal. Mr. Hahn attended the Property on February 15, 2018, and produced an Appraisal Report dated March 12, 2018. Mr. Hahn estimated the market value of the Property as of February 15, 2018 at $2,758,000 (the "Appraisal").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Property was listed on April 16, 2018 at $10 million. On June 18, 2018, the list price was dropped to $5.9 million. On May 30, 2018, an offer was made on the property at $5 million. There was an exchange of counter-offers before a price of $5.3 million was agreed to between the purchaser and the Mortgagees on June 8, 2018. The subjects were removed on June 27,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Mortgagees then brought an application for court approval of the sale. The application was heard by Master Scarth on August 27, 2018. On August 30, 2018, Master Scarth issued reasons for judgment declining to approve the sale: </w:t>
      </w:r>
      <w:r>
        <w:rPr>
          <w:rFonts w:ascii="arial" w:eastAsia="arial" w:hAnsi="arial" w:cs="arial"/>
          <w:i/>
          <w:color w:val="000000"/>
          <w:sz w:val="20"/>
          <w:lang w:val="en-US" w:eastAsia="en-US" w:bidi="ar-SA"/>
        </w:rPr>
        <w:t>426008 B.C. Ltd. v. 0742848 B.C. Ltd.</w:t>
      </w:r>
      <w:r>
        <w:rPr>
          <w:rFonts w:ascii="arial" w:eastAsia="arial" w:hAnsi="arial" w:cs="arial"/>
          <w:color w:val="000000"/>
          <w:sz w:val="20"/>
          <w:lang w:val="en-US" w:eastAsia="en-US" w:bidi="ar-SA"/>
        </w:rPr>
        <w:t xml:space="preserve">, </w:t>
      </w:r>
      <w:hyperlink r:id="rId699" w:history="1">
        <w:r>
          <w:rPr>
            <w:rFonts w:ascii="arial" w:eastAsia="arial" w:hAnsi="arial" w:cs="arial"/>
            <w:i/>
            <w:color w:val="0077CC"/>
            <w:sz w:val="20"/>
            <w:u w:val="single"/>
            <w:shd w:val="clear" w:color="auto" w:fill="FFFFFF"/>
            <w:lang w:val="en-US" w:eastAsia="en-US" w:bidi="ar-SA"/>
          </w:rPr>
          <w:t>2018 BCSC 1475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 hearing before Master Scarth, the Mortgagees conceded that the Appraisal was inaccurate, in part because the appraiser did not have the correct facts about the Property and, as such, the Appraisal was too conservative. The Mortgagee relied instead on a letter from the realtors to establish that the marketing of the Property was businesslike and the sale provident. Mr. McCargar, in opposing approval of the sale, argued that the marketing efforts fell short and sale was not provident. He relied on a $10 million appraisal of the Property from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declining to approve the sale, Master Scarth concluded that the evidence did not establish that the marketing efforts were businesslike and the sale provident. She found there were gaps in the evidence of the realtors. First, there was no explanation for the significant drop in the list price from $10 million to $5.9 million in June 2018.</w:t>
      </w:r>
      <w:bookmarkStart w:id="123" w:name="Backward_fnref_fnr-1"/>
      <w:hyperlink w:anchor="Forward_fnref_fnr-1" w:history="1">
        <w:r>
          <w:rPr>
            <w:rFonts w:ascii="arial" w:eastAsia="arial" w:hAnsi="arial" w:cs="arial"/>
            <w:b/>
            <w:color w:val="BE161D"/>
            <w:sz w:val="20"/>
            <w:shd w:val="clear" w:color="auto" w:fill="FFFFFF"/>
            <w:vertAlign w:val="superscript"/>
            <w:lang w:val="en-US" w:eastAsia="en-US" w:bidi="ar-SA"/>
          </w:rPr>
          <w:t>1</w:t>
        </w:r>
      </w:hyperlink>
      <w:bookmarkEnd w:id="123"/>
      <w:r>
        <w:rPr>
          <w:rFonts w:ascii="arial" w:eastAsia="arial" w:hAnsi="arial" w:cs="arial"/>
          <w:color w:val="000000"/>
          <w:sz w:val="20"/>
          <w:lang w:val="en-US" w:eastAsia="en-US" w:bidi="ar-SA"/>
        </w:rPr>
        <w:t xml:space="preserve"> Second, there was no evidence as to what marketing efforts occurred after the contract with the purchaser was signed on June 8,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notice of civil claim alleges that, subsequent to Master Scarth's judgment, the Property was listed at $9 million on August 30, 2018, $8 million on October 1, 2018, and $7.29 million on November 5,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May 27, 2019, the Mortgagees obtained an order in the Foreclosure Proceeding which vacated the Order for Conduct of Sale and gave conduct of sale to the plaintiff. The Property had not sold at the time of the hearing of these applications.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plaintiff filed the notice of civil claim on November 9, 2018. The claim is against the following groups of defendants: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Mortgagees;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Manjit Claire and Kurtis Claire, in addition to Manjit Claire's personal company (Manjit Claire Personal Real Estate Corporation), their brokerage firm (RE/MAX Real Estate Services), and the owners of RE/MAX Real Estate Services (Andrews Realty Ltd. and David N. Andrews). I will collectively refer to these defendants as the "Realtors";</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lawyer, Mr. Bury, who acted for the Mortgagees in the Foreclosure Proceeding, and his personal law corporation (Andrew A. Bury Law Corporation). I will collectively refer to these defendants as the "Bury Defendants"; and</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appraiser, Mr. Hahn, and his employer (Garnett Wilson Realty Advisors Ltd). I will collectively refer to these defendants as the "Hahn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notice of civil claim advances causes of action against all of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conspiracy. The notice of civil claim generally alleges that all defendants "breached their duty of care and were grossly negligent" [notice of civil claim, Part 1, para. 22]. The particulars of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against each group of defendants may be summarized as follows.</w:t>
      </w:r>
      <w:r>
        <w:rPr>
          <w:rFonts w:ascii="arial" w:eastAsia="arial" w:hAnsi="arial" w:cs="arial"/>
          <w:sz w:val="20"/>
          <w:lang w:val="en-US" w:eastAsia="en-US" w:bidi="ar-SA"/>
        </w:rPr>
        <w:cr/>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that the Realtors were negligent in failing to take adequate and reasonable steps to market the Property in a businesslike manner and in accordance with the standards expected of competent realtors. It is alleged that the Realtors had no valid reason to drop the list price to $5.9 million on June 18, 2018, and also that the Realtors encouraged and entertained an offer for $5.3 million prior to June 16, 2018 [notice of civil claim, Part 1, paras. 22, 25].</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that Mr. Bury was negligent through his participation in the acceptance of the $5.3 million offer, the selection of the Realtors to list the Property, and his selection of, and direction to, Mr. Hahn. It is alleged that Mr. Bury deliberately abused his authority in the foreclosure proceedings in order to cause financial loss to the plaintiff [notice of civil claim, Part 1, para. 23].</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that the Mortgagees breached their duty of care to exercise their power of sale in good faith [notice of civil claim, Part 1, para. 25].</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alleges that Mr. Hahn was negligent in failing to conduct an appraisal of the Property in an accurate manner [notice of civil claim, Part 1, para. 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notice of civil claim also alleges that all of the defendants committed the tort of civil conspiracy in deliberately and unlawfully colluding and conspiring to sell the Property quickly for less than its market value [notice of civil claim, Part 1, para. 17]. The particulars of the conspiracy in para. 20 of Part 1 of the notice of civil claim essentially replicate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allegations that I have summarized above. It is alleged that the defendants entered into negotiations with a potential buyer prior to April 16, 2018, failed to adequately market the Property, manufactured incorrect appraisal evidence, and advocated for court approval of an offer that the defendants knew to be less than the market value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There is an additional allegation of trespass against Mr. Bury and Mr. Hahn. The plaintiff alleges that Mr. Bury trespassed on the Property to conduct an inspection in December 2017 without the plaintiff's authorization [notice of civil claim, Part 1 para. 23(vi)]. Mr. Hahn's attendance on the Property in February 2018 is alleged to be a trespass because the Order for Conduct of Sale only permitted access to the Property for the purpose of an appraisal on or after April 16, 2018 [notice of civil claim, Part 1 para. 20(vi)].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relief sought by the plaintiff in Part 2 of the notice of civil claim includes (at para. 1) judgment against the defendants, jointly and severally, for pecuniary damages arising from the difference between $10 million and "the realized sale price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defendants have not yet filed responses to civil claim and there has been no oral or documentary discovery. On March 11, 2019, Master Schwartz issued a case plan order which provides that discovery of documents shall occur within 45 days of judgment being rendered on the present applications if the defendants are unsuccessful in having the claims dismissed. The case plan order also provides that all examinations for discovery shall be completed no later than 120 days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 The tests under Rule 9-5(1) and 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relevant provisions of Rule 9-5(1) and Rule 9-6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9-5 - Striking Pleadings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Scandalous, frivolous or vexatious matters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any stage of a proceeding, the court may order to be struck out or amended the whole or any part of a pleading, petition or other document on the ground that</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discloses no reasonable claim or defence, as the case may be,</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unnecessary, scandalous, frivolous or vexatious,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may prejudice, embarrass or delay the fair trial or hearing of the proceeding, or</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otherwise an abuse of the process of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and the court may pronounce judgment or order the proceeding to be stayed or dismissed and may order the costs of the application to be paid as special costs.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Rule 9-6 - Summary Judgment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Application by answering party</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action, an answering party may, after serving a responding pleading on a claiming party, apply under this rule for judgment dismissing all or part of a claim in the claiming party's originating pleading.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Power of court</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hearing an application under subrule (2) or (4), the court,</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there is no genuine issue for trial with respect to a claim or defence, must pronounce judgment or dismiss the claim accordingly,</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satisfied that the only genuine issue is a question of law, may determine the question and pronounce judgment accordingly,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test to be applied on an application to strike pleadings under Rule 9-5(1) is whether it is plain and obvious that the impugned pleading violates one or more of subrules (a)-(d) of Rule 9-5(1).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an application under Rule 9-5(1)(a), the question is whether it is plain and obvious that the pleading discloses no reasonable claim. The approach on a motion to strike is generous; novel but arguable claims are permitted to proceed: </w:t>
      </w:r>
      <w:r>
        <w:rPr>
          <w:rFonts w:ascii="arial" w:eastAsia="arial" w:hAnsi="arial" w:cs="arial"/>
          <w:i/>
          <w:color w:val="000000"/>
          <w:sz w:val="20"/>
          <w:lang w:val="en-US" w:eastAsia="en-US" w:bidi="ar-SA"/>
        </w:rPr>
        <w:t>Krist v. British Columbia</w:t>
      </w:r>
      <w:r>
        <w:rPr>
          <w:rFonts w:ascii="arial" w:eastAsia="arial" w:hAnsi="arial" w:cs="arial"/>
          <w:color w:val="000000"/>
          <w:sz w:val="20"/>
          <w:lang w:val="en-US" w:eastAsia="en-US" w:bidi="ar-SA"/>
        </w:rPr>
        <w:t xml:space="preserve">, </w:t>
      </w:r>
      <w:hyperlink r:id="rId700" w:history="1">
        <w:r>
          <w:rPr>
            <w:rFonts w:ascii="arial" w:eastAsia="arial" w:hAnsi="arial" w:cs="arial"/>
            <w:i/>
            <w:color w:val="0077CC"/>
            <w:sz w:val="20"/>
            <w:u w:val="single"/>
            <w:shd w:val="clear" w:color="auto" w:fill="FFFFFF"/>
            <w:lang w:val="en-US" w:eastAsia="en-US" w:bidi="ar-SA"/>
          </w:rPr>
          <w:t>2017 BCCA 78</w:t>
        </w:r>
      </w:hyperlink>
      <w:r>
        <w:rPr>
          <w:rFonts w:ascii="arial" w:eastAsia="arial" w:hAnsi="arial" w:cs="arial"/>
          <w:color w:val="000000"/>
          <w:sz w:val="20"/>
          <w:lang w:val="en-US" w:eastAsia="en-US" w:bidi="ar-SA"/>
        </w:rPr>
        <w:t xml:space="preserve"> at paras. 22-23 [</w:t>
      </w:r>
      <w:r>
        <w:rPr>
          <w:rFonts w:ascii="arial" w:eastAsia="arial" w:hAnsi="arial" w:cs="arial"/>
          <w:i/>
          <w:color w:val="000000"/>
          <w:sz w:val="20"/>
          <w:lang w:val="en-US" w:eastAsia="en-US" w:bidi="ar-SA"/>
        </w:rPr>
        <w:t>Krist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 v. Imperial Tobacco Canada Ltd.</w:t>
      </w:r>
      <w:r>
        <w:rPr>
          <w:rFonts w:ascii="arial" w:eastAsia="arial" w:hAnsi="arial" w:cs="arial"/>
          <w:color w:val="000000"/>
          <w:sz w:val="20"/>
          <w:lang w:val="en-US" w:eastAsia="en-US" w:bidi="ar-SA"/>
        </w:rPr>
        <w:t xml:space="preserve">, </w:t>
      </w:r>
      <w:hyperlink r:id="rId195" w:history="1">
        <w:r>
          <w:rPr>
            <w:rFonts w:ascii="arial" w:eastAsia="arial" w:hAnsi="arial" w:cs="arial"/>
            <w:i/>
            <w:color w:val="0077CC"/>
            <w:sz w:val="20"/>
            <w:u w:val="single"/>
            <w:shd w:val="clear" w:color="auto" w:fill="FFFFFF"/>
            <w:lang w:val="en-US" w:eastAsia="en-US" w:bidi="ar-SA"/>
          </w:rPr>
          <w:t>2011 SCC 42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at para. 17. The facts as pleaded are assumed to be true for the purpose of determining the existence of a reasonable claim. Rule 9-5(2) provides that no evidence is admissible on an application under Rule 9-5(1)(a).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contrast, applications under Rule 9-5(1)(b), (c) and (d) permit consideration of external facts or evidence. This is because applications under these subrules are contextually driven: </w:t>
      </w:r>
      <w:r>
        <w:rPr>
          <w:rFonts w:ascii="arial" w:eastAsia="arial" w:hAnsi="arial" w:cs="arial"/>
          <w:i/>
          <w:color w:val="000000"/>
          <w:sz w:val="20"/>
          <w:lang w:val="en-US" w:eastAsia="en-US" w:bidi="ar-SA"/>
        </w:rPr>
        <w:t>Krist</w:t>
      </w:r>
      <w:r>
        <w:rPr>
          <w:rFonts w:ascii="arial" w:eastAsia="arial" w:hAnsi="arial" w:cs="arial"/>
          <w:color w:val="000000"/>
          <w:sz w:val="20"/>
          <w:lang w:val="en-US" w:eastAsia="en-US" w:bidi="ar-SA"/>
        </w:rPr>
        <w:t xml:space="preserve"> at para. 24. The defendants in the present case rely particularly on Rule 9-5(1)(d) which codifies the court's residual discretion to prevent a misuse of the court's procedure in a way that would bring the administration of justice into disrepute: </w:t>
      </w:r>
      <w:r>
        <w:rPr>
          <w:rFonts w:ascii="arial" w:eastAsia="arial" w:hAnsi="arial" w:cs="arial"/>
          <w:i/>
          <w:color w:val="000000"/>
          <w:sz w:val="20"/>
          <w:lang w:val="en-US" w:eastAsia="en-US" w:bidi="ar-SA"/>
        </w:rPr>
        <w:t>Gonzalez v. Gonzalez</w:t>
      </w:r>
      <w:r>
        <w:rPr>
          <w:rFonts w:ascii="arial" w:eastAsia="arial" w:hAnsi="arial" w:cs="arial"/>
          <w:color w:val="000000"/>
          <w:sz w:val="20"/>
          <w:lang w:val="en-US" w:eastAsia="en-US" w:bidi="ar-SA"/>
        </w:rPr>
        <w:t xml:space="preserve">, </w:t>
      </w:r>
      <w:hyperlink r:id="rId701" w:history="1">
        <w:r>
          <w:rPr>
            <w:rFonts w:ascii="arial" w:eastAsia="arial" w:hAnsi="arial" w:cs="arial"/>
            <w:i/>
            <w:color w:val="0077CC"/>
            <w:sz w:val="20"/>
            <w:u w:val="single"/>
            <w:shd w:val="clear" w:color="auto" w:fill="FFFFFF"/>
            <w:lang w:val="en-US" w:eastAsia="en-US" w:bidi="ar-SA"/>
          </w:rPr>
          <w:t>2016 BCCA 376</w:t>
        </w:r>
      </w:hyperlink>
      <w:r>
        <w:rPr>
          <w:rFonts w:ascii="arial" w:eastAsia="arial" w:hAnsi="arial" w:cs="arial"/>
          <w:color w:val="000000"/>
          <w:sz w:val="20"/>
          <w:lang w:val="en-US" w:eastAsia="en-US" w:bidi="ar-SA"/>
        </w:rPr>
        <w:t xml:space="preserve"> at paras. 18-19, leave to appeal refused </w:t>
      </w:r>
      <w:hyperlink r:id="rId702" w:history="1">
        <w:r>
          <w:rPr>
            <w:rFonts w:ascii="arial" w:eastAsia="arial" w:hAnsi="arial" w:cs="arial"/>
            <w:i/>
            <w:color w:val="0077CC"/>
            <w:sz w:val="20"/>
            <w:u w:val="single"/>
            <w:shd w:val="clear" w:color="auto" w:fill="FFFFFF"/>
            <w:lang w:val="en-US" w:eastAsia="en-US" w:bidi="ar-SA"/>
          </w:rPr>
          <w:t>[2016] S.C.C.A. No. 512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On an application under Rule 9-6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the court is not limited to a review of a party's pleadings. Rule 9-6 permits the court to grant judgment on the basis of a limited review, but not weighing, of the evidence. A defendant can succeed on an application under Rule 9-6 by showing that the case pleaded by the plaintiff is unsound, or by adducing sworn evidence that provides a complete answer to the plaintiff's claim: </w:t>
      </w:r>
      <w:r>
        <w:rPr>
          <w:rFonts w:ascii="arial" w:eastAsia="arial" w:hAnsi="arial" w:cs="arial"/>
          <w:i/>
          <w:color w:val="000000"/>
          <w:sz w:val="20"/>
          <w:lang w:val="en-US" w:eastAsia="en-US" w:bidi="ar-SA"/>
        </w:rPr>
        <w:t>Beach Estate v. Beach</w:t>
      </w:r>
      <w:r>
        <w:rPr>
          <w:rFonts w:ascii="arial" w:eastAsia="arial" w:hAnsi="arial" w:cs="arial"/>
          <w:color w:val="000000"/>
          <w:sz w:val="20"/>
          <w:lang w:val="en-US" w:eastAsia="en-US" w:bidi="ar-SA"/>
        </w:rPr>
        <w:t xml:space="preserve">, </w:t>
      </w:r>
      <w:hyperlink r:id="rId703" w:history="1">
        <w:r>
          <w:rPr>
            <w:rFonts w:ascii="arial" w:eastAsia="arial" w:hAnsi="arial" w:cs="arial"/>
            <w:i/>
            <w:color w:val="0077CC"/>
            <w:sz w:val="20"/>
            <w:u w:val="single"/>
            <w:shd w:val="clear" w:color="auto" w:fill="FFFFFF"/>
            <w:lang w:val="en-US" w:eastAsia="en-US" w:bidi="ar-SA"/>
          </w:rPr>
          <w:t>2019 BCCA 277</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Beach</w:t>
      </w:r>
      <w:r>
        <w:rPr>
          <w:rFonts w:ascii="arial" w:eastAsia="arial" w:hAnsi="arial" w:cs="arial"/>
          <w:color w:val="000000"/>
          <w:sz w:val="20"/>
          <w:lang w:val="en-US" w:eastAsia="en-US" w:bidi="ar-SA"/>
        </w:rPr>
        <w:t xml:space="preserve">] at para. 48. If the court is satisfied, based on the evidence, that the plaintiff has no chance of success then summary judgment may be granted under Rule 9-6. If a determination of the merits of the plaintiff's claim requires weighing of the evidence then judgment cannot be granted under Rule 9-6: </w:t>
      </w:r>
      <w:r>
        <w:rPr>
          <w:rFonts w:ascii="arial" w:eastAsia="arial" w:hAnsi="arial" w:cs="arial"/>
          <w:i/>
          <w:color w:val="000000"/>
          <w:sz w:val="20"/>
          <w:lang w:val="en-US" w:eastAsia="en-US" w:bidi="ar-SA"/>
        </w:rPr>
        <w:t>Beach</w:t>
      </w:r>
      <w:r>
        <w:rPr>
          <w:rFonts w:ascii="arial" w:eastAsia="arial" w:hAnsi="arial" w:cs="arial"/>
          <w:color w:val="000000"/>
          <w:sz w:val="20"/>
          <w:lang w:val="en-US" w:eastAsia="en-US" w:bidi="ar-SA"/>
        </w:rPr>
        <w:t xml:space="preserve"> at paras. 48-49.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B. The plaintiff's claims in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Each group of defendants applies to strike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them on the basis that the notice of civil claim does not disclose a reasonable claim. The nature of the arguments differ among the defendants, but a central theme of all of the arguments is that the defendants did not owe the plaintiff a duty of care.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1. The Anns/Cooper framework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governing framework for analyzing the existence of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set out in the judgment of the Supreme Court of Canada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refined the traditional two-stage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for the existence of a duty of care from the decision of the House of Lords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Specifically,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revised the </w:t>
      </w:r>
      <w:r>
        <w:rPr>
          <w:rFonts w:ascii="arial" w:eastAsia="arial" w:hAnsi="arial" w:cs="arial"/>
          <w:i/>
          <w:color w:val="000000"/>
          <w:sz w:val="20"/>
          <w:lang w:val="en-US" w:eastAsia="en-US" w:bidi="ar-SA"/>
        </w:rPr>
        <w:t>Anns</w:t>
      </w:r>
      <w:r>
        <w:rPr>
          <w:rFonts w:ascii="arial" w:eastAsia="arial" w:hAnsi="arial" w:cs="arial"/>
          <w:color w:val="000000"/>
          <w:sz w:val="20"/>
          <w:lang w:val="en-US" w:eastAsia="en-US" w:bidi="ar-SA"/>
        </w:rPr>
        <w:t xml:space="preserve"> test by distinguishing more clearly between foreseeability and proximity, and by placing greater emphasis on a more demanding first stage of the duty of care analysis: </w:t>
      </w:r>
      <w:r>
        <w:rPr>
          <w:rFonts w:ascii="arial" w:eastAsia="arial" w:hAnsi="arial" w:cs="arial"/>
          <w:i/>
          <w:color w:val="000000"/>
          <w:sz w:val="20"/>
          <w:lang w:val="en-US" w:eastAsia="en-US" w:bidi="ar-SA"/>
        </w:rPr>
        <w:t>Deloitte &amp; Touche v. Livent Inc. (Receiver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2017 SCC 63</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Livent</w:t>
      </w:r>
      <w:r>
        <w:rPr>
          <w:rFonts w:ascii="arial" w:eastAsia="arial" w:hAnsi="arial" w:cs="arial"/>
          <w:color w:val="000000"/>
          <w:sz w:val="20"/>
          <w:lang w:val="en-US" w:eastAsia="en-US" w:bidi="ar-SA"/>
        </w:rPr>
        <w:t>] at para. 22.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At the first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analysis, the plaintiff must establish that the harm suffered was a foreseeable consequence of the defendant's acts or omissions, and also that there is a sufficient relationship of proximity between the parties that it is just and fair to impose a duty of care. If the relationship falls within a previously established, or analogous, category in which a proximate relationship has been recognized then the requisite close and direct relationship is established. Where there is no established or analogous category, the court must undertake a full proximity analysis. This involves looking at factors arising from the relationship between the parties, including "expectations, representations, reliance, and the property or other interests involved":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at para.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cases of pure economic loss arising from the alleged negligent performance of a service, two factors are determinative in the proximity analysis: the defendant's undertaking and the plaintiff's reliance. Where the defendant undertakes to provide a service in circumstances that invite the plaintiff's reasonable reliance, the defendant is obligated to take reasonable care in doing so: </w:t>
      </w:r>
      <w:r>
        <w:rPr>
          <w:rFonts w:ascii="arial" w:eastAsia="arial" w:hAnsi="arial" w:cs="arial"/>
          <w:i/>
          <w:color w:val="000000"/>
          <w:sz w:val="20"/>
          <w:lang w:val="en-US" w:eastAsia="en-US" w:bidi="ar-SA"/>
        </w:rPr>
        <w:t>Livent</w:t>
      </w:r>
      <w:r>
        <w:rPr>
          <w:rFonts w:ascii="arial" w:eastAsia="arial" w:hAnsi="arial" w:cs="arial"/>
          <w:color w:val="000000"/>
          <w:sz w:val="20"/>
          <w:lang w:val="en-US" w:eastAsia="en-US" w:bidi="ar-SA"/>
        </w:rPr>
        <w:t xml:space="preserve"> at para.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If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is established at the first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then the analysis shifts to stage two of the inquiry, which asks whether there are residual policy considerations outside of the relationship between the parties that may negate the imposition of a duty of care. The distinction between the policy considerations relevant to the first and second stage of the duty of care analysis was explained by the Supreme Court of Canada in </w:t>
      </w:r>
      <w:r>
        <w:rPr>
          <w:rFonts w:ascii="arial" w:eastAsia="arial" w:hAnsi="arial" w:cs="arial"/>
          <w:i/>
          <w:color w:val="000000"/>
          <w:sz w:val="20"/>
          <w:lang w:val="en-US" w:eastAsia="en-US" w:bidi="ar-SA"/>
        </w:rPr>
        <w:t>Livent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[40] What, then, remains to be considered at the second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 In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this Court identified factors which are external to the relationship between the parties, including (1) whether the law already provides a remedy; (2) whether recognition of the duty of care creates "the spectre of unlimited liability to an unlimited class"; and (3) whether there are "other reasons of broad policy that suggest that the duty of care should not be recognized" (para. 37). In this way, the residual policy inquiry is a normative inquiry. It asks whether it would be better, for reasons relating to the legal or doctrinal order, or reasons arising from other societal concerns, not to recognize a duty of care in a given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An issue on these applications, then, is whether it is plain and obvious that the defendants did not owe a duty of care to the plaintiff, having regard to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framework.</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i/>
          <w:color w:val="000000"/>
          <w:sz w:val="20"/>
          <w:lang w:val="en-US" w:eastAsia="en-US" w:bidi="ar-SA"/>
        </w:rPr>
        <w:t xml:space="preserve">2. The plaintiff's </w:t>
      </w:r>
      <w:r>
        <w:rPr>
          <w:rFonts w:ascii="arial" w:eastAsia="arial" w:hAnsi="arial" w:cs="arial"/>
          <w:b/>
          <w:i/>
          <w:color w:val="000000"/>
          <w:sz w:val="20"/>
          <w:u w:val="single"/>
          <w:lang w:val="en-US" w:eastAsia="en-US" w:bidi="ar-SA"/>
        </w:rPr>
        <w:t>negligence</w:t>
      </w:r>
      <w:r>
        <w:rPr>
          <w:rFonts w:ascii="arial" w:eastAsia="arial" w:hAnsi="arial" w:cs="arial"/>
          <w:b/>
          <w:i/>
          <w:color w:val="000000"/>
          <w:sz w:val="20"/>
          <w:lang w:val="en-US" w:eastAsia="en-US" w:bidi="ar-SA"/>
        </w:rPr>
        <w:t xml:space="preserve"> claim against the Mortgagees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The plaintiff argues that the Mortgagees owed it a duty of care at common law to deal with the Property prudently and in good faith in assuming the conduct of sale. In the Legal Basis section of the notice of civil claim, the plaintiff cites a number of cases in support of the existence of such a duty, including: </w:t>
      </w:r>
      <w:r>
        <w:rPr>
          <w:rFonts w:ascii="arial" w:eastAsia="arial" w:hAnsi="arial" w:cs="arial"/>
          <w:i/>
          <w:color w:val="000000"/>
          <w:sz w:val="20"/>
          <w:lang w:val="en-US" w:eastAsia="en-US" w:bidi="ar-SA"/>
        </w:rPr>
        <w:t>Middleton v. "Ocean Tribune" (The)</w:t>
      </w:r>
      <w:r>
        <w:rPr>
          <w:rFonts w:ascii="arial" w:eastAsia="arial" w:hAnsi="arial" w:cs="arial"/>
          <w:color w:val="000000"/>
          <w:sz w:val="20"/>
          <w:lang w:val="en-US" w:eastAsia="en-US" w:bidi="ar-SA"/>
        </w:rPr>
        <w:t xml:space="preserve">, </w:t>
      </w:r>
      <w:hyperlink r:id="rId705" w:history="1">
        <w:r>
          <w:rPr>
            <w:rFonts w:ascii="arial" w:eastAsia="arial" w:hAnsi="arial" w:cs="arial"/>
            <w:i/>
            <w:color w:val="0077CC"/>
            <w:sz w:val="20"/>
            <w:u w:val="single"/>
            <w:shd w:val="clear" w:color="auto" w:fill="FFFFFF"/>
            <w:lang w:val="en-US" w:eastAsia="en-US" w:bidi="ar-SA"/>
          </w:rPr>
          <w:t>2004 BCSC 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Middleton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J. &amp; W. Investments Ltd. v. Black</w:t>
      </w:r>
      <w:r>
        <w:rPr>
          <w:rFonts w:ascii="arial" w:eastAsia="arial" w:hAnsi="arial" w:cs="arial"/>
          <w:color w:val="000000"/>
          <w:sz w:val="20"/>
          <w:lang w:val="en-US" w:eastAsia="en-US" w:bidi="ar-SA"/>
        </w:rPr>
        <w:t xml:space="preserve"> </w:t>
      </w:r>
      <w:hyperlink r:id="rId706" w:history="1">
        <w:r>
          <w:rPr>
            <w:rFonts w:ascii="arial" w:eastAsia="arial" w:hAnsi="arial" w:cs="arial"/>
            <w:i/>
            <w:color w:val="0077CC"/>
            <w:sz w:val="20"/>
            <w:u w:val="single"/>
            <w:shd w:val="clear" w:color="auto" w:fill="FFFFFF"/>
            <w:lang w:val="en-US" w:eastAsia="en-US" w:bidi="ar-SA"/>
          </w:rPr>
          <w:t>(1963) 38 D.L.R. (2d) 251</w:t>
        </w:r>
      </w:hyperlink>
      <w:r>
        <w:rPr>
          <w:rFonts w:ascii="arial" w:eastAsia="arial" w:hAnsi="arial" w:cs="arial"/>
          <w:color w:val="000000"/>
          <w:sz w:val="20"/>
          <w:lang w:val="en-US" w:eastAsia="en-US" w:bidi="ar-SA"/>
        </w:rPr>
        <w:t xml:space="preserve"> (B.C.C.A.) [</w:t>
      </w:r>
      <w:r>
        <w:rPr>
          <w:rFonts w:ascii="arial" w:eastAsia="arial" w:hAnsi="arial" w:cs="arial"/>
          <w:i/>
          <w:color w:val="000000"/>
          <w:sz w:val="20"/>
          <w:lang w:val="en-US" w:eastAsia="en-US" w:bidi="ar-SA"/>
        </w:rPr>
        <w:t>J. &amp; W. Investments</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Cuckmere Brick Co. Ltd. v. Mutual Finance Ltd</w:t>
      </w:r>
      <w:r>
        <w:rPr>
          <w:rFonts w:ascii="arial" w:eastAsia="arial" w:hAnsi="arial" w:cs="arial"/>
          <w:color w:val="000000"/>
          <w:sz w:val="20"/>
          <w:lang w:val="en-US" w:eastAsia="en-US" w:bidi="ar-SA"/>
        </w:rPr>
        <w:t>, [1971] 2 All E.R. 633 (C.A.)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Columbia Trust Co. v. Larsen</w:t>
      </w:r>
      <w:r>
        <w:rPr>
          <w:rFonts w:ascii="arial" w:eastAsia="arial" w:hAnsi="arial" w:cs="arial"/>
          <w:color w:val="000000"/>
          <w:sz w:val="20"/>
          <w:lang w:val="en-US" w:eastAsia="en-US" w:bidi="ar-SA"/>
        </w:rPr>
        <w:t xml:space="preserve">, </w:t>
      </w:r>
      <w:hyperlink r:id="rId707" w:history="1">
        <w:r>
          <w:rPr>
            <w:rFonts w:ascii="arial" w:eastAsia="arial" w:hAnsi="arial" w:cs="arial"/>
            <w:i/>
            <w:color w:val="0077CC"/>
            <w:sz w:val="20"/>
            <w:u w:val="single"/>
            <w:shd w:val="clear" w:color="auto" w:fill="FFFFFF"/>
            <w:lang w:val="en-US" w:eastAsia="en-US" w:bidi="ar-SA"/>
          </w:rPr>
          <w:t>[1986] B.C.J. 677</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Columbia Trust</w:t>
      </w:r>
      <w:r>
        <w:rPr>
          <w:rFonts w:ascii="arial" w:eastAsia="arial" w:hAnsi="arial" w:cs="arial"/>
          <w:color w:val="000000"/>
          <w:sz w:val="20"/>
          <w:lang w:val="en-US" w:eastAsia="en-US" w:bidi="ar-SA"/>
        </w:rPr>
        <w:t>]. As I understand the argument, the plaintiff says that the case law already establishes the existence of a duty of care between a mortgagor and mortgagee when a mortgagee takes steps to realize on its security by way of a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my view, the cases cited by the plaintiff do not support the existence of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mortgagee within the context of a foreclosure proceeding in British Columbia. To understand the case law that grounds the plaintiff's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first necessary to trace the historical duties of a mortgagee exercising a power of sale, which have their origin in equity.</w:t>
      </w:r>
      <w:r>
        <w:rPr>
          <w:rFonts w:ascii="arial" w:eastAsia="arial" w:hAnsi="arial" w:cs="arial"/>
          <w:sz w:val="20"/>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b/>
          <w:color w:val="000000"/>
          <w:sz w:val="20"/>
          <w:lang w:val="en-US" w:eastAsia="en-US" w:bidi="ar-SA"/>
        </w:rPr>
        <w:t>The equitable duties of a mortgagee exercising the power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equitable duties of a mortgagee exercising the power of sale on a mortgagor's default have evolved over time. Courts of equity have long recognized a mortgagor's vulnerability in such circumstances. A mortgagee wishes to recover on the debt and may have little interest in the increased effort and time that would be required to also realize a surplus on the sale. The mortgagor is vitally interested in generating a surplus on the sale but, absent judicial or statutory intervention, has no ability to control the conduct of sale. Left unsupervised, the mortgagee is free to pursue its self-interest at the expense of the interests of the mortgagor.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By the 19th century, the Court of Chancery had decided that a mortgagee was not a trustee for the purpose of exercising a power of sale. The debate that remained was over the scope of the equitable duties owed by a mortgagee, even if they fell short of the full duties of a trustee. It was generally accepted that the mortgagee had to act in good faith in conducting the sale. The point of controversy was whether a mortgagee should also have a duty of care to ensure that the property was sold at market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issue appeared to be resolved, at least for a time, by the decision of the House of Lords in </w:t>
      </w:r>
      <w:r>
        <w:rPr>
          <w:rFonts w:ascii="arial" w:eastAsia="arial" w:hAnsi="arial" w:cs="arial"/>
          <w:i/>
          <w:color w:val="000000"/>
          <w:sz w:val="20"/>
          <w:lang w:val="en-US" w:eastAsia="en-US" w:bidi="ar-SA"/>
        </w:rPr>
        <w:t>Kennedy v. De Trafford et al.</w:t>
      </w:r>
      <w:r>
        <w:rPr>
          <w:rFonts w:ascii="arial" w:eastAsia="arial" w:hAnsi="arial" w:cs="arial"/>
          <w:color w:val="000000"/>
          <w:sz w:val="20"/>
          <w:lang w:val="en-US" w:eastAsia="en-US" w:bidi="ar-SA"/>
        </w:rPr>
        <w:t>, [1897] A.C. 180 [</w:t>
      </w:r>
      <w:r>
        <w:rPr>
          <w:rFonts w:ascii="arial" w:eastAsia="arial" w:hAnsi="arial" w:cs="arial"/>
          <w:i/>
          <w:color w:val="000000"/>
          <w:sz w:val="20"/>
          <w:lang w:val="en-US" w:eastAsia="en-US" w:bidi="ar-SA"/>
        </w:rPr>
        <w:t>Kennedy</w:t>
      </w:r>
      <w:r>
        <w:rPr>
          <w:rFonts w:ascii="arial" w:eastAsia="arial" w:hAnsi="arial" w:cs="arial"/>
          <w:color w:val="000000"/>
          <w:sz w:val="20"/>
          <w:lang w:val="en-US" w:eastAsia="en-US" w:bidi="ar-SA"/>
        </w:rPr>
        <w:t xml:space="preserve">], where the Court defined the duty of a mortgagee in exercising the power of sale as one of good faith rather than reasonable care. In an often quoted passage from </w:t>
      </w:r>
      <w:r>
        <w:rPr>
          <w:rFonts w:ascii="arial" w:eastAsia="arial" w:hAnsi="arial" w:cs="arial"/>
          <w:i/>
          <w:color w:val="000000"/>
          <w:sz w:val="20"/>
          <w:lang w:val="en-US" w:eastAsia="en-US" w:bidi="ar-SA"/>
        </w:rPr>
        <w:t>Kennedy</w:t>
      </w:r>
      <w:r>
        <w:rPr>
          <w:rFonts w:ascii="arial" w:eastAsia="arial" w:hAnsi="arial" w:cs="arial"/>
          <w:color w:val="000000"/>
          <w:sz w:val="20"/>
          <w:lang w:val="en-US" w:eastAsia="en-US" w:bidi="ar-SA"/>
        </w:rPr>
        <w:t>, Lord Herschell stated at 185: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My Lords, I am myself disposed to think that if a mortgagee in exercising his power of sale exercises it in good faith, without any intention of dealing unfairly by his mortgagor, it would be very difficult indeed, if not impossible, to establish that he had been guilty of any breach of duty towards the mortgagor. Lindley L.J., in the Court below, says that "it is not right or proper or legal for him either fraudulently or wilfully or recklessly to sacrifice the property of the mortgagor." Well, I think that is all covered really by his exercising the power committed to him in good faith. It is very difficult to define exhaustively all that would be included in the words "good faith", but I think it would be unreasonable to require the mortgagee to do more than exercise his power of sale in that fashion. Of course, if he wilfully and recklessly deals with the property in such a manner that the interests of the mortgagor are sacrificed, I should say that he had not been exercising his power of sale in good faith.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good faith standard as set out in </w:t>
      </w:r>
      <w:r>
        <w:rPr>
          <w:rFonts w:ascii="arial" w:eastAsia="arial" w:hAnsi="arial" w:cs="arial"/>
          <w:i/>
          <w:color w:val="000000"/>
          <w:sz w:val="20"/>
          <w:lang w:val="en-US" w:eastAsia="en-US" w:bidi="ar-SA"/>
        </w:rPr>
        <w:t>Kennedy</w:t>
      </w:r>
      <w:r>
        <w:rPr>
          <w:rFonts w:ascii="arial" w:eastAsia="arial" w:hAnsi="arial" w:cs="arial"/>
          <w:color w:val="000000"/>
          <w:sz w:val="20"/>
          <w:lang w:val="en-US" w:eastAsia="en-US" w:bidi="ar-SA"/>
        </w:rPr>
        <w:t xml:space="preserve"> remained relatively settled law in 1963 when our Court of Appeal decided </w:t>
      </w:r>
      <w:r>
        <w:rPr>
          <w:rFonts w:ascii="arial" w:eastAsia="arial" w:hAnsi="arial" w:cs="arial"/>
          <w:i/>
          <w:color w:val="000000"/>
          <w:sz w:val="20"/>
          <w:lang w:val="en-US" w:eastAsia="en-US" w:bidi="ar-SA"/>
        </w:rPr>
        <w:t>J. &amp; W. Investments</w:t>
      </w:r>
      <w:r>
        <w:rPr>
          <w:rFonts w:ascii="arial" w:eastAsia="arial" w:hAnsi="arial" w:cs="arial"/>
          <w:color w:val="000000"/>
          <w:sz w:val="20"/>
          <w:lang w:val="en-US" w:eastAsia="en-US" w:bidi="ar-SA"/>
        </w:rPr>
        <w:t xml:space="preserve">. This case concerned an alleged failure by a mortgagee to properly exercise a contractual power of sale under a chattel mortgage. The Court of Appeal endorsed the above quoted passage from the decision of Lord Herschell in </w:t>
      </w:r>
      <w:r>
        <w:rPr>
          <w:rFonts w:ascii="arial" w:eastAsia="arial" w:hAnsi="arial" w:cs="arial"/>
          <w:i/>
          <w:color w:val="000000"/>
          <w:sz w:val="20"/>
          <w:lang w:val="en-US" w:eastAsia="en-US" w:bidi="ar-SA"/>
        </w:rPr>
        <w:t>Kennedy</w:t>
      </w:r>
      <w:r>
        <w:rPr>
          <w:rFonts w:ascii="arial" w:eastAsia="arial" w:hAnsi="arial" w:cs="arial"/>
          <w:color w:val="000000"/>
          <w:sz w:val="20"/>
          <w:lang w:val="en-US" w:eastAsia="en-US" w:bidi="ar-SA"/>
        </w:rPr>
        <w:t xml:space="preserve"> as the correct articulation of the duty of a mortgagee exercising a power of sale in the circumstances of that case. The Court in </w:t>
      </w:r>
      <w:r>
        <w:rPr>
          <w:rFonts w:ascii="arial" w:eastAsia="arial" w:hAnsi="arial" w:cs="arial"/>
          <w:i/>
          <w:color w:val="000000"/>
          <w:sz w:val="20"/>
          <w:lang w:val="en-US" w:eastAsia="en-US" w:bidi="ar-SA"/>
        </w:rPr>
        <w:t>J. &amp; W Investments</w:t>
      </w:r>
      <w:r>
        <w:rPr>
          <w:rFonts w:ascii="arial" w:eastAsia="arial" w:hAnsi="arial" w:cs="arial"/>
          <w:color w:val="000000"/>
          <w:sz w:val="20"/>
          <w:lang w:val="en-US" w:eastAsia="en-US" w:bidi="ar-SA"/>
        </w:rPr>
        <w:t xml:space="preserve"> also confirmed that the duty imposed is an equitable duty, not a tort duty. As stated by Davey J.A., dissenting on other grounds, at p. 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Also, I agree with my brother Sheppard that a mortgagor's cause of action for sale at an undervalue within the ambit of the power of sale is an equitable right to an account for what the mortgagee might have received but for the wilful default, and that it is not a common law cause of action to recover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1970, the law in England further evolved with the decision of the English Court of Appeal in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The Court held that the mortgagee's duty is comprised not only of a duty of good faith in the conduct of the sale, but also a duty to take reasonable care to obtain whatever the true market value of the property is at the time the mortgagee chooses to sell. The Court found that such a duty was not precluded by the judgment of the House of Lords in </w:t>
      </w:r>
      <w:r>
        <w:rPr>
          <w:rFonts w:ascii="arial" w:eastAsia="arial" w:hAnsi="arial" w:cs="arial"/>
          <w:i/>
          <w:color w:val="000000"/>
          <w:sz w:val="20"/>
          <w:lang w:val="en-US" w:eastAsia="en-US" w:bidi="ar-SA"/>
        </w:rPr>
        <w:t>Kennedy</w:t>
      </w:r>
      <w:r>
        <w:rPr>
          <w:rFonts w:ascii="arial" w:eastAsia="arial" w:hAnsi="arial" w:cs="arial"/>
          <w:color w:val="000000"/>
          <w:sz w:val="20"/>
          <w:lang w:val="en-US" w:eastAsia="en-US" w:bidi="ar-SA"/>
        </w:rPr>
        <w:t>, notwithstanding 70 years of case law which appeared to hold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By the time of the decision in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the common law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had itself evolved with the decision of the House of Lords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establishing the "neighbour principle" as the foundation for duty of care analysis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Although the Court of Appeal in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was, strictly speaking, addressing the equitable duties of a mortgagee, the Court's analysis of the content of the duty was clearly informed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as well as equitable principles. At 643-644 of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Salmon LJ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Approaching the matter first of all on principle, it is to be observed that if the sale yield a surplus over the amount owed under the mortgage, the mortgagee holds this surplus in trust for the mortgagor. If the sale shows a deficiency, the mortgagor has to make it good out of his own pocket. </w:t>
      </w:r>
      <w:r>
        <w:rPr>
          <w:rFonts w:ascii="arial" w:eastAsia="arial" w:hAnsi="arial" w:cs="arial"/>
          <w:color w:val="000000"/>
          <w:sz w:val="20"/>
          <w:u w:val="single"/>
          <w:lang w:val="en-US" w:eastAsia="en-US" w:bidi="ar-SA"/>
        </w:rPr>
        <w:t>The mortgagor is vitally affected by the result of the sale but its preparation and conduct is left entirely in the hands of the mortgagee. The proximity between them could scarcely be closer. Surely they are 'neighbours'</w:t>
      </w:r>
      <w:r>
        <w:rPr>
          <w:rFonts w:ascii="arial" w:eastAsia="arial" w:hAnsi="arial" w:cs="arial"/>
          <w:color w:val="000000"/>
          <w:sz w:val="20"/>
          <w:lang w:val="en-US" w:eastAsia="en-US" w:bidi="ar-SA"/>
        </w:rPr>
        <w:t>. Given that the power of sale is for the benefit of the mortgagee and that he is entitled to choose the moment to sell which suits him, it would be strange indeed if he were under no legal obligation to take reasonable care to obtain what I call the true market value at the date of the sale.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thus established that, in England at least, a mortgagee exercising a power of sale has a duty to "take reasonable precaution to obtain the true market value of the mortgaged property on the date he decides to sell it" (at 646 per Salmon LJ). The origin of the duty lies in equity, although it may not matter in result whether the duty is expressed as a common law tort duty or as a duty in equity: </w:t>
      </w:r>
      <w:r>
        <w:rPr>
          <w:rFonts w:ascii="arial" w:eastAsia="arial" w:hAnsi="arial" w:cs="arial"/>
          <w:i/>
          <w:color w:val="000000"/>
          <w:sz w:val="20"/>
          <w:lang w:val="en-US" w:eastAsia="en-US" w:bidi="ar-SA"/>
        </w:rPr>
        <w:t>Medforth v. Blake</w:t>
      </w:r>
      <w:r>
        <w:rPr>
          <w:rFonts w:ascii="arial" w:eastAsia="arial" w:hAnsi="arial" w:cs="arial"/>
          <w:color w:val="000000"/>
          <w:sz w:val="20"/>
          <w:lang w:val="en-US" w:eastAsia="en-US" w:bidi="ar-SA"/>
        </w:rPr>
        <w:t>, [1999] 3 All E.R. 97 (C.A.) at 110-111.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question of whether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states the law in British Columbia, outside of foreclosure proceedings at least, remains an open question. In </w:t>
      </w:r>
      <w:r>
        <w:rPr>
          <w:rFonts w:ascii="arial" w:eastAsia="arial" w:hAnsi="arial" w:cs="arial"/>
          <w:i/>
          <w:color w:val="000000"/>
          <w:sz w:val="20"/>
          <w:lang w:val="en-US" w:eastAsia="en-US" w:bidi="ar-SA"/>
        </w:rPr>
        <w:t>Middleton</w:t>
      </w:r>
      <w:r>
        <w:rPr>
          <w:rFonts w:ascii="arial" w:eastAsia="arial" w:hAnsi="arial" w:cs="arial"/>
          <w:color w:val="000000"/>
          <w:sz w:val="20"/>
          <w:lang w:val="en-US" w:eastAsia="en-US" w:bidi="ar-SA"/>
        </w:rPr>
        <w:t xml:space="preserve">, a case which concerned a chattel mortgage, Davies J. found it unnecessary to resolve the issue, although he noted that the B.C. Supreme Court would continue to be bound by the Court of Appeal's judgment in </w:t>
      </w:r>
      <w:r>
        <w:rPr>
          <w:rFonts w:ascii="arial" w:eastAsia="arial" w:hAnsi="arial" w:cs="arial"/>
          <w:i/>
          <w:color w:val="000000"/>
          <w:sz w:val="20"/>
          <w:lang w:val="en-US" w:eastAsia="en-US" w:bidi="ar-SA"/>
        </w:rPr>
        <w:t>J. &amp; W. Investments</w:t>
      </w:r>
      <w:r>
        <w:rPr>
          <w:rFonts w:ascii="arial" w:eastAsia="arial" w:hAnsi="arial" w:cs="arial"/>
          <w:color w:val="000000"/>
          <w:sz w:val="20"/>
          <w:lang w:val="en-US" w:eastAsia="en-US" w:bidi="ar-SA"/>
        </w:rPr>
        <w:t xml:space="preserve">. The difference between the approaches in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 &amp; W. Investments</w:t>
      </w:r>
      <w:r>
        <w:rPr>
          <w:rFonts w:ascii="arial" w:eastAsia="arial" w:hAnsi="arial" w:cs="arial"/>
          <w:color w:val="000000"/>
          <w:sz w:val="20"/>
          <w:lang w:val="en-US" w:eastAsia="en-US" w:bidi="ar-SA"/>
        </w:rPr>
        <w:t xml:space="preserve"> may continue to have practical effect where a mortgagee exercises a contractual power of sale. As observed by Southin J., as she then was, in </w:t>
      </w:r>
      <w:r>
        <w:rPr>
          <w:rFonts w:ascii="arial" w:eastAsia="arial" w:hAnsi="arial" w:cs="arial"/>
          <w:i/>
          <w:color w:val="000000"/>
          <w:sz w:val="20"/>
          <w:lang w:val="en-US" w:eastAsia="en-US" w:bidi="ar-SA"/>
        </w:rPr>
        <w:t>Columbia Trust</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If </w:t>
      </w:r>
      <w:r>
        <w:rPr>
          <w:rFonts w:ascii="arial" w:eastAsia="arial" w:hAnsi="arial" w:cs="arial"/>
          <w:i/>
          <w:color w:val="000000"/>
          <w:sz w:val="20"/>
          <w:lang w:val="en-US" w:eastAsia="en-US" w:bidi="ar-SA"/>
        </w:rPr>
        <w:t>J. &amp; W. Investments ltd. v. Black</w:t>
      </w:r>
      <w:r>
        <w:rPr>
          <w:rFonts w:ascii="arial" w:eastAsia="arial" w:hAnsi="arial" w:cs="arial"/>
          <w:color w:val="000000"/>
          <w:sz w:val="20"/>
          <w:lang w:val="en-US" w:eastAsia="en-US" w:bidi="ar-SA"/>
        </w:rPr>
        <w:t xml:space="preserve">, is the law of British Columbia, the mortgagee selling under a power of sale is in quite a happy position. If the law is as in </w:t>
      </w:r>
      <w:r>
        <w:rPr>
          <w:rFonts w:ascii="arial" w:eastAsia="arial" w:hAnsi="arial" w:cs="arial"/>
          <w:i/>
          <w:color w:val="000000"/>
          <w:sz w:val="20"/>
          <w:lang w:val="en-US" w:eastAsia="en-US" w:bidi="ar-SA"/>
        </w:rPr>
        <w:t>Cuckmere Brick Co. v. Mutual Finance</w:t>
      </w:r>
      <w:r>
        <w:rPr>
          <w:rFonts w:ascii="arial" w:eastAsia="arial" w:hAnsi="arial" w:cs="arial"/>
          <w:color w:val="000000"/>
          <w:sz w:val="20"/>
          <w:lang w:val="en-US" w:eastAsia="en-US" w:bidi="ar-SA"/>
        </w:rPr>
        <w:t>, his position is not so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However, Southin J. also distinguished the circumstances of a mortgagee who obtains court approval of a sale in a foreclosure proceeding. In summarizing the relevant principles, at para. 16 of </w:t>
      </w:r>
      <w:r>
        <w:rPr>
          <w:rFonts w:ascii="arial" w:eastAsia="arial" w:hAnsi="arial" w:cs="arial"/>
          <w:i/>
          <w:color w:val="000000"/>
          <w:sz w:val="20"/>
          <w:lang w:val="en-US" w:eastAsia="en-US" w:bidi="ar-SA"/>
        </w:rPr>
        <w:t>Columbia Trust</w:t>
      </w:r>
      <w:r>
        <w:rPr>
          <w:rFonts w:ascii="arial" w:eastAsia="arial" w:hAnsi="arial" w:cs="arial"/>
          <w:color w:val="000000"/>
          <w:sz w:val="20"/>
          <w:lang w:val="en-US" w:eastAsia="en-US" w:bidi="ar-SA"/>
        </w:rPr>
        <w:t>, Southin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there appears to be no direct authority, I assume that a mortgagee who obtains judicial approval of a sale under s. 16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 now s. 15], cannot be sued for an improvident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This, then, leads to the central question of the significance of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to the remedies available to a mortgagor in a British Columbia foreclosure proceeding who is unhappy with a mortgagee's conduct in the course of a court-ordered sale.</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Foreclosure proceedings in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Rule 21-7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governs the foreclosure process in British Columbia. Rule 21-7(1) provides that a proceeding for foreclosure of the equitable right to redeem mortgaged property or for redemption must be started by petition. Pursuant to Rule 21-7(2), all persons whose interest in the mortgage property is sought to be extinguished must be named as respondents to the petition, along with all other persons against whom relief is sought.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At the first court hearing on a foreclosure petition, the mortgagee will typically apply for an Order Nisi. A standard Order Nisi will, among other terms, declare that the mortgage is in default, set the redemption period, and grant personal judgment against the mortgagor(s) in the amount of the judgment debt.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A common method of enforcing a mortgagee's </w:t>
      </w:r>
      <w:r>
        <w:rPr>
          <w:rFonts w:ascii="arial" w:eastAsia="arial" w:hAnsi="arial" w:cs="arial"/>
          <w:i/>
          <w:color w:val="000000"/>
          <w:sz w:val="20"/>
          <w:lang w:val="en-US" w:eastAsia="en-US" w:bidi="ar-SA"/>
        </w:rPr>
        <w:t>in rem</w:t>
      </w:r>
      <w:r>
        <w:rPr>
          <w:rFonts w:ascii="arial" w:eastAsia="arial" w:hAnsi="arial" w:cs="arial"/>
          <w:color w:val="000000"/>
          <w:sz w:val="20"/>
          <w:lang w:val="en-US" w:eastAsia="en-US" w:bidi="ar-SA"/>
        </w:rPr>
        <w:t xml:space="preserve"> claims following the expiry of the redemption period is through a process of court-ordered sale. Section 15 of the </w:t>
      </w:r>
      <w:r>
        <w:rPr>
          <w:rFonts w:ascii="arial" w:eastAsia="arial" w:hAnsi="arial" w:cs="arial"/>
          <w:i/>
          <w:color w:val="000000"/>
          <w:sz w:val="20"/>
          <w:lang w:val="en-US" w:eastAsia="en-US" w:bidi="ar-SA"/>
        </w:rPr>
        <w:t>Law and Equity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253</w:t>
      </w:r>
      <w:r>
        <w:rPr>
          <w:rFonts w:ascii="arial" w:eastAsia="arial" w:hAnsi="arial" w:cs="arial"/>
          <w:color w:val="000000"/>
          <w:sz w:val="20"/>
          <w:lang w:val="en-US" w:eastAsia="en-US" w:bidi="ar-SA"/>
        </w:rPr>
        <w:t xml:space="preserve">, provides that the court may direct a sale of the mortgaged property, on application of an interested person, at any time during the foreclosure process "on the terms the court considers just". The court's power to order a sale is also contained in Rule 21-7(5)(i)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Until relatively recently, the law in British Columbia was uncertain as to the obligations of a mortgagee who seeks approval of a court ordered sale: </w:t>
      </w:r>
      <w:r>
        <w:rPr>
          <w:rFonts w:ascii="arial" w:eastAsia="arial" w:hAnsi="arial" w:cs="arial"/>
          <w:i/>
          <w:color w:val="000000"/>
          <w:sz w:val="20"/>
          <w:lang w:val="en-US" w:eastAsia="en-US" w:bidi="ar-SA"/>
        </w:rPr>
        <w:t>Woods Lake Development Ltd. v. Renascence Enterprises (Woods Lake) Corp.</w:t>
      </w:r>
      <w:r>
        <w:rPr>
          <w:rFonts w:ascii="arial" w:eastAsia="arial" w:hAnsi="arial" w:cs="arial"/>
          <w:color w:val="000000"/>
          <w:sz w:val="20"/>
          <w:lang w:val="en-US" w:eastAsia="en-US" w:bidi="ar-SA"/>
        </w:rPr>
        <w:t xml:space="preserve">, </w:t>
      </w:r>
      <w:hyperlink r:id="rId708" w:history="1">
        <w:r>
          <w:rPr>
            <w:rFonts w:ascii="arial" w:eastAsia="arial" w:hAnsi="arial" w:cs="arial"/>
            <w:i/>
            <w:color w:val="0077CC"/>
            <w:sz w:val="20"/>
            <w:u w:val="single"/>
            <w:shd w:val="clear" w:color="auto" w:fill="FFFFFF"/>
            <w:lang w:val="en-US" w:eastAsia="en-US" w:bidi="ar-SA"/>
          </w:rPr>
          <w:t>2011 BCSC 849</w:t>
        </w:r>
      </w:hyperlink>
      <w:r>
        <w:rPr>
          <w:rFonts w:ascii="arial" w:eastAsia="arial" w:hAnsi="arial" w:cs="arial"/>
          <w:color w:val="000000"/>
          <w:sz w:val="20"/>
          <w:lang w:val="en-US" w:eastAsia="en-US" w:bidi="ar-SA"/>
        </w:rPr>
        <w:t xml:space="preserve"> at paras. 13-16. In </w:t>
      </w:r>
      <w:r>
        <w:rPr>
          <w:rFonts w:ascii="arial" w:eastAsia="arial" w:hAnsi="arial" w:cs="arial"/>
          <w:i/>
          <w:color w:val="000000"/>
          <w:sz w:val="20"/>
          <w:lang w:val="en-US" w:eastAsia="en-US" w:bidi="ar-SA"/>
        </w:rPr>
        <w:t>Mission Creek Mortgage Ltd. v. Angleland Holdings Inc.</w:t>
      </w:r>
      <w:r>
        <w:rPr>
          <w:rFonts w:ascii="arial" w:eastAsia="arial" w:hAnsi="arial" w:cs="arial"/>
          <w:color w:val="000000"/>
          <w:sz w:val="20"/>
          <w:lang w:val="en-US" w:eastAsia="en-US" w:bidi="ar-SA"/>
        </w:rPr>
        <w:t xml:space="preserve">, </w:t>
      </w:r>
      <w:hyperlink r:id="rId709" w:history="1">
        <w:r>
          <w:rPr>
            <w:rFonts w:ascii="arial" w:eastAsia="arial" w:hAnsi="arial" w:cs="arial"/>
            <w:i/>
            <w:color w:val="0077CC"/>
            <w:sz w:val="20"/>
            <w:u w:val="single"/>
            <w:shd w:val="clear" w:color="auto" w:fill="FFFFFF"/>
            <w:lang w:val="en-US" w:eastAsia="en-US" w:bidi="ar-SA"/>
          </w:rPr>
          <w:t>2013 BCCA 281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Mission Creek</w:t>
      </w:r>
      <w:r>
        <w:rPr>
          <w:rFonts w:ascii="arial" w:eastAsia="arial" w:hAnsi="arial" w:cs="arial"/>
          <w:color w:val="000000"/>
          <w:sz w:val="20"/>
          <w:lang w:val="en-US" w:eastAsia="en-US" w:bidi="ar-SA"/>
        </w:rPr>
        <w:t>], the Court of Appeal synthesized the diverse case law regarding the standard to be applied on an application for court approval of a proposed sale in stating the following test: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[40] ... What I take from [the cases] is that the mortgagee must go about finding a buyer in a businesslike manner and the court must be satisfied that the proposed sale is provident in all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This is now the established test on an application for court approval of a proposed sale: </w:t>
      </w:r>
      <w:r>
        <w:rPr>
          <w:rFonts w:ascii="arial" w:eastAsia="arial" w:hAnsi="arial" w:cs="arial"/>
          <w:i/>
          <w:color w:val="000000"/>
          <w:sz w:val="20"/>
          <w:lang w:val="en-US" w:eastAsia="en-US" w:bidi="ar-SA"/>
        </w:rPr>
        <w:t>Kokanee Mortgage MIC Ltd. v. 669655 B.C. Ltd.</w:t>
      </w:r>
      <w:r>
        <w:rPr>
          <w:rFonts w:ascii="arial" w:eastAsia="arial" w:hAnsi="arial" w:cs="arial"/>
          <w:color w:val="000000"/>
          <w:sz w:val="20"/>
          <w:lang w:val="en-US" w:eastAsia="en-US" w:bidi="ar-SA"/>
        </w:rPr>
        <w:t xml:space="preserve">, </w:t>
      </w:r>
      <w:hyperlink r:id="rId710" w:history="1">
        <w:r>
          <w:rPr>
            <w:rFonts w:ascii="arial" w:eastAsia="arial" w:hAnsi="arial" w:cs="arial"/>
            <w:i/>
            <w:color w:val="0077CC"/>
            <w:sz w:val="20"/>
            <w:u w:val="single"/>
            <w:shd w:val="clear" w:color="auto" w:fill="FFFFFF"/>
            <w:lang w:val="en-US" w:eastAsia="en-US" w:bidi="ar-SA"/>
          </w:rPr>
          <w:t>2014 BCSC 458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Kokanee Mortgage</w:t>
      </w:r>
      <w:r>
        <w:rPr>
          <w:rFonts w:ascii="arial" w:eastAsia="arial" w:hAnsi="arial" w:cs="arial"/>
          <w:color w:val="000000"/>
          <w:sz w:val="20"/>
          <w:lang w:val="en-US" w:eastAsia="en-US" w:bidi="ar-SA"/>
        </w:rPr>
        <w:t xml:space="preserve">] at paras. 24, 27; </w:t>
      </w:r>
      <w:r>
        <w:rPr>
          <w:rFonts w:ascii="arial" w:eastAsia="arial" w:hAnsi="arial" w:cs="arial"/>
          <w:i/>
          <w:color w:val="000000"/>
          <w:sz w:val="20"/>
          <w:lang w:val="en-US" w:eastAsia="en-US" w:bidi="ar-SA"/>
        </w:rPr>
        <w:t>Tekamar Mortgage Fund Ltd. v. Hegel</w:t>
      </w:r>
      <w:r>
        <w:rPr>
          <w:rFonts w:ascii="arial" w:eastAsia="arial" w:hAnsi="arial" w:cs="arial"/>
          <w:color w:val="000000"/>
          <w:sz w:val="20"/>
          <w:lang w:val="en-US" w:eastAsia="en-US" w:bidi="ar-SA"/>
        </w:rPr>
        <w:t xml:space="preserve">, </w:t>
      </w:r>
      <w:hyperlink r:id="rId711" w:history="1">
        <w:r>
          <w:rPr>
            <w:rFonts w:ascii="arial" w:eastAsia="arial" w:hAnsi="arial" w:cs="arial"/>
            <w:i/>
            <w:color w:val="0077CC"/>
            <w:sz w:val="20"/>
            <w:u w:val="single"/>
            <w:shd w:val="clear" w:color="auto" w:fill="FFFFFF"/>
            <w:lang w:val="en-US" w:eastAsia="en-US" w:bidi="ar-SA"/>
          </w:rPr>
          <w:t>2018 BCSC 1369</w:t>
        </w:r>
      </w:hyperlink>
      <w:r>
        <w:rPr>
          <w:rFonts w:ascii="arial" w:eastAsia="arial" w:hAnsi="arial" w:cs="arial"/>
          <w:color w:val="000000"/>
          <w:sz w:val="20"/>
          <w:lang w:val="en-US" w:eastAsia="en-US" w:bidi="ar-SA"/>
        </w:rPr>
        <w:t xml:space="preserve"> at paras. 26-27. In the present case, Master Scarth applied the test from </w:t>
      </w:r>
      <w:r>
        <w:rPr>
          <w:rFonts w:ascii="arial" w:eastAsia="arial" w:hAnsi="arial" w:cs="arial"/>
          <w:i/>
          <w:color w:val="000000"/>
          <w:sz w:val="20"/>
          <w:lang w:val="en-US" w:eastAsia="en-US" w:bidi="ar-SA"/>
        </w:rPr>
        <w:t>Mission Creek</w:t>
      </w:r>
      <w:r>
        <w:rPr>
          <w:rFonts w:ascii="arial" w:eastAsia="arial" w:hAnsi="arial" w:cs="arial"/>
          <w:color w:val="000000"/>
          <w:sz w:val="20"/>
          <w:lang w:val="en-US" w:eastAsia="en-US" w:bidi="ar-SA"/>
        </w:rPr>
        <w:t xml:space="preserve"> in declining to approve the sale proposed by the Mortgagees.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order of a master approving a proposed sale is a final order, and therefore it is subject to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review on appeal to the British Columbia Supreme Court: </w:t>
      </w:r>
      <w:r>
        <w:rPr>
          <w:rFonts w:ascii="arial" w:eastAsia="arial" w:hAnsi="arial" w:cs="arial"/>
          <w:i/>
          <w:color w:val="000000"/>
          <w:sz w:val="20"/>
          <w:lang w:val="en-US" w:eastAsia="en-US" w:bidi="ar-SA"/>
        </w:rPr>
        <w:t>Kokanee Mortgage</w:t>
      </w:r>
      <w:r>
        <w:rPr>
          <w:rFonts w:ascii="arial" w:eastAsia="arial" w:hAnsi="arial" w:cs="arial"/>
          <w:color w:val="000000"/>
          <w:sz w:val="20"/>
          <w:lang w:val="en-US" w:eastAsia="en-US" w:bidi="ar-SA"/>
        </w:rPr>
        <w:t xml:space="preserve"> at paras. 14-15.</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Do the Mortgagees owe a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In my view, it is plain and obvious that a mortgagee does not owe a tort duty of care to a mortgagor in the conduct of a court-ordered sale in a foreclosure proceeding in British Columbia. The equitable duties imposed on a mortgagee, including the equitable duty of care recognized in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were formulated to act as a balance on the absolute discretion of a mortgagee to determine the timing and conduct of sale where the mortgagor is exercising a contractual power of sale that is not otherwise subject to court supervision. The relationship of proximity between a mortgagor and mortgagee recognized in </w:t>
      </w:r>
      <w:r>
        <w:rPr>
          <w:rFonts w:ascii="arial" w:eastAsia="arial" w:hAnsi="arial" w:cs="arial"/>
          <w:i/>
          <w:color w:val="000000"/>
          <w:sz w:val="20"/>
          <w:lang w:val="en-US" w:eastAsia="en-US" w:bidi="ar-SA"/>
        </w:rPr>
        <w:t>Cuckmere Brick</w:t>
      </w:r>
      <w:r>
        <w:rPr>
          <w:rFonts w:ascii="arial" w:eastAsia="arial" w:hAnsi="arial" w:cs="arial"/>
          <w:color w:val="000000"/>
          <w:sz w:val="20"/>
          <w:lang w:val="en-US" w:eastAsia="en-US" w:bidi="ar-SA"/>
        </w:rPr>
        <w:t xml:space="preserve"> is a function of the mortgagor's vulnerability to the exercise of that discretion in circumstances where the mortgagor's financial interests are directly impacted.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same relationship of vulnerability does not arise in the context of a foreclosure proceeding in British Columbia. A mortgagor has independent standing on a petition for foreclosure under Rule 21-7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and thus an ability to participate in the application for court approval of the sale. The mortgagor has standing before the court to oppose a sale, as occurred in this case. Further, on an application for court approval of a sale the mortgagee must provide evidence sufficient to satisfy the court that the property has been marketed in a businesslike manner and that sale is provident. The equitable duties of a mortgagee in the conduct of sale are thus reflected in the test for court approval of a sale in a British Columbia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conclude that the relationship of proximity required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plainly and obviously not present in these circumstances. The mortgagor is not reliant on the mortgagee to protect its financial interests given the mortgagor's independent standing in the foreclosure process. The mortgagor is also not vulnerable to the mortgagee's unilateral exercise of discretion in the conduct of sale because the mortgagee cannot exercise unilateral discretion. Within a British Columbia foreclosure proceeding, each party is free to pursue their independent financial interests, subject to the overarching power of the court to approve or not approve a sale of the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There are also considerations of policy that would negate any duty of care at the second stage of the </w:t>
      </w:r>
      <w:r>
        <w:rPr>
          <w:rFonts w:ascii="arial" w:eastAsia="arial" w:hAnsi="arial" w:cs="arial"/>
          <w:i/>
          <w:color w:val="000000"/>
          <w:sz w:val="20"/>
          <w:lang w:val="en-US" w:eastAsia="en-US" w:bidi="ar-SA"/>
        </w:rPr>
        <w:t>Anns/Cooper</w:t>
      </w:r>
      <w:r>
        <w:rPr>
          <w:rFonts w:ascii="arial" w:eastAsia="arial" w:hAnsi="arial" w:cs="arial"/>
          <w:color w:val="000000"/>
          <w:sz w:val="20"/>
          <w:lang w:val="en-US" w:eastAsia="en-US" w:bidi="ar-SA"/>
        </w:rPr>
        <w:t xml:space="preserve"> test. A mortgagee with conduct of sale has an existing obligation to satisfy the court that a sale is provident before the sale will be approved. A mortgagor dissatisfied with a Master's decision to approve a sale has the further remedy of seeking </w:t>
      </w:r>
      <w:r>
        <w:rPr>
          <w:rFonts w:ascii="arial" w:eastAsia="arial" w:hAnsi="arial" w:cs="arial"/>
          <w:i/>
          <w:color w:val="000000"/>
          <w:sz w:val="20"/>
          <w:lang w:val="en-US" w:eastAsia="en-US" w:bidi="ar-SA"/>
        </w:rPr>
        <w:t>de novo</w:t>
      </w:r>
      <w:r>
        <w:rPr>
          <w:rFonts w:ascii="arial" w:eastAsia="arial" w:hAnsi="arial" w:cs="arial"/>
          <w:color w:val="000000"/>
          <w:sz w:val="20"/>
          <w:lang w:val="en-US" w:eastAsia="en-US" w:bidi="ar-SA"/>
        </w:rPr>
        <w:t xml:space="preserve"> review of the decision on appeal to the British Columbia Supreme Court. Superimposing a tort duty of care on a mortgagee would tend to disrupt the balance that has already been struck between the interests of mortgagors and mortgagees within the context of the foreclosure process in British Columbia. The process itself could be undermined by parallel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by a mortgagor during the court approval process, or even after the court has approved a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Finally, I note that, to the extent that this issue has been canvassed in British Columbia, the weight of judicial authority is against the imposition of a duty of care on a mortgagee. This issue was most recently considered by Matthews J. in </w:t>
      </w:r>
      <w:r>
        <w:rPr>
          <w:rFonts w:ascii="arial" w:eastAsia="arial" w:hAnsi="arial" w:cs="arial"/>
          <w:i/>
          <w:color w:val="000000"/>
          <w:sz w:val="20"/>
          <w:lang w:val="en-US" w:eastAsia="en-US" w:bidi="ar-SA"/>
        </w:rPr>
        <w:t>Gadsby v. British Columbia (Attorney General)</w:t>
      </w:r>
      <w:r>
        <w:rPr>
          <w:rFonts w:ascii="arial" w:eastAsia="arial" w:hAnsi="arial" w:cs="arial"/>
          <w:color w:val="000000"/>
          <w:sz w:val="20"/>
          <w:lang w:val="en-US" w:eastAsia="en-US" w:bidi="ar-SA"/>
        </w:rPr>
        <w:t xml:space="preserve">, </w:t>
      </w:r>
      <w:hyperlink r:id="rId712" w:history="1">
        <w:r>
          <w:rPr>
            <w:rFonts w:ascii="arial" w:eastAsia="arial" w:hAnsi="arial" w:cs="arial"/>
            <w:i/>
            <w:color w:val="0077CC"/>
            <w:sz w:val="20"/>
            <w:u w:val="single"/>
            <w:shd w:val="clear" w:color="auto" w:fill="FFFFFF"/>
            <w:lang w:val="en-US" w:eastAsia="en-US" w:bidi="ar-SA"/>
          </w:rPr>
          <w:t>2019 BCSC 1596</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Gadsby</w:t>
      </w:r>
      <w:r>
        <w:rPr>
          <w:rFonts w:ascii="arial" w:eastAsia="arial" w:hAnsi="arial" w:cs="arial"/>
          <w:color w:val="000000"/>
          <w:sz w:val="20"/>
          <w:lang w:val="en-US" w:eastAsia="en-US" w:bidi="ar-SA"/>
        </w:rPr>
        <w:t xml:space="preserve">], in the context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brought subsequent to a court approved sale. In dismissing the mortgagor's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against the mortgagee, Matthews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[84] ... As the authorities referred to in </w:t>
      </w:r>
      <w:r>
        <w:rPr>
          <w:rFonts w:ascii="arial" w:eastAsia="arial" w:hAnsi="arial" w:cs="arial"/>
          <w:i/>
          <w:color w:val="000000"/>
          <w:sz w:val="20"/>
          <w:lang w:val="en-US" w:eastAsia="en-US" w:bidi="ar-SA"/>
        </w:rPr>
        <w:t>Woods Lake</w:t>
      </w:r>
      <w:r>
        <w:rPr>
          <w:rFonts w:ascii="arial" w:eastAsia="arial" w:hAnsi="arial" w:cs="arial"/>
          <w:color w:val="000000"/>
          <w:sz w:val="20"/>
          <w:lang w:val="en-US" w:eastAsia="en-US" w:bidi="ar-SA"/>
        </w:rPr>
        <w:t xml:space="preserve"> explain, the court-ordered process and the requirement for court approval of the sale serve to protect the respondent in a foreclosure proceeding. There is no duty of care on a lender who is foreclosing to protect the borrower.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I acknowledge that </w:t>
      </w:r>
      <w:r>
        <w:rPr>
          <w:rFonts w:ascii="arial" w:eastAsia="arial" w:hAnsi="arial" w:cs="arial"/>
          <w:i/>
          <w:color w:val="000000"/>
          <w:sz w:val="20"/>
          <w:lang w:val="en-US" w:eastAsia="en-US" w:bidi="ar-SA"/>
        </w:rPr>
        <w:t>Gadsby</w:t>
      </w:r>
      <w:r>
        <w:rPr>
          <w:rFonts w:ascii="arial" w:eastAsia="arial" w:hAnsi="arial" w:cs="arial"/>
          <w:color w:val="000000"/>
          <w:sz w:val="20"/>
          <w:lang w:val="en-US" w:eastAsia="en-US" w:bidi="ar-SA"/>
        </w:rPr>
        <w:t xml:space="preserve"> is factually distinct from the present case in that the sale had been approved and Matthews J. concluded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was an attempt to re-litigate the court approval. However, in my view this distinction does not impact the duty of care analysis. It is illogical to suggest that the existence of a duty of care on the part of the mortgagee in the conduct of sale turns on whether or not the sale is approved.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For these reasons, I conclude that it is plain and obvious that the Mortgagees do not owe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 in the conduct of the court-ordered sale process.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3.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against the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relationship of proximity between the Realtors and the plaintiff is even less proximate than the plaintiff's relationship with the Mortgagees. The Realtors were retained to assist the Mortgagees in exercising the exclusive conduct of sale that was granted to them by court order. The Realtors did not have a contractual relationship with the plaintiff. In order to establish proximity in these circumstances, the plaintiff must plead facts that establish these Realtors undertook, whether expressly or inferentially, to provide their services to the plaintiff in circumstances that invited the plaintiff's reasonable reliance: </w:t>
      </w:r>
      <w:r>
        <w:rPr>
          <w:rFonts w:ascii="arial" w:eastAsia="arial" w:hAnsi="arial" w:cs="arial"/>
          <w:i/>
          <w:color w:val="000000"/>
          <w:sz w:val="20"/>
          <w:lang w:val="en-US" w:eastAsia="en-US" w:bidi="ar-SA"/>
        </w:rPr>
        <w:t>Livent</w:t>
      </w:r>
      <w:r>
        <w:rPr>
          <w:rFonts w:ascii="arial" w:eastAsia="arial" w:hAnsi="arial" w:cs="arial"/>
          <w:color w:val="000000"/>
          <w:sz w:val="20"/>
          <w:lang w:val="en-US" w:eastAsia="en-US" w:bidi="ar-SA"/>
        </w:rPr>
        <w:t xml:space="preserve"> at para. 30; </w:t>
      </w:r>
      <w:r>
        <w:rPr>
          <w:rFonts w:ascii="arial" w:eastAsia="arial" w:hAnsi="arial" w:cs="arial"/>
          <w:i/>
          <w:color w:val="000000"/>
          <w:sz w:val="20"/>
          <w:lang w:val="en-US" w:eastAsia="en-US" w:bidi="ar-SA"/>
        </w:rPr>
        <w:t>Burke v. Watson &amp; Barnard (A Firm)</w:t>
      </w:r>
      <w:r>
        <w:rPr>
          <w:rFonts w:ascii="arial" w:eastAsia="arial" w:hAnsi="arial" w:cs="arial"/>
          <w:color w:val="000000"/>
          <w:sz w:val="20"/>
          <w:lang w:val="en-US" w:eastAsia="en-US" w:bidi="ar-SA"/>
        </w:rPr>
        <w:t xml:space="preserve">, </w:t>
      </w:r>
      <w:hyperlink r:id="rId713" w:history="1">
        <w:r>
          <w:rPr>
            <w:rFonts w:ascii="arial" w:eastAsia="arial" w:hAnsi="arial" w:cs="arial"/>
            <w:i/>
            <w:color w:val="0077CC"/>
            <w:sz w:val="20"/>
            <w:u w:val="single"/>
            <w:shd w:val="clear" w:color="auto" w:fill="FFFFFF"/>
            <w:lang w:val="en-US" w:eastAsia="en-US" w:bidi="ar-SA"/>
          </w:rPr>
          <w:t>2016 BCCA 439</w:t>
        </w:r>
      </w:hyperlink>
      <w:r>
        <w:rPr>
          <w:rFonts w:ascii="arial" w:eastAsia="arial" w:hAnsi="arial" w:cs="arial"/>
          <w:color w:val="000000"/>
          <w:sz w:val="20"/>
          <w:lang w:val="en-US" w:eastAsia="en-US" w:bidi="ar-SA"/>
        </w:rPr>
        <w:t xml:space="preserve"> at para. 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The facts alleged by the plaintiff in the notice of civil claim do not establish that the Realtors undertook responsibility to serve the plaintiff's interests.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these defendants is premised on the defendants' alleged failure to </w:t>
      </w:r>
      <w:r>
        <w:rPr>
          <w:rFonts w:ascii="arial" w:eastAsia="arial" w:hAnsi="arial" w:cs="arial"/>
          <w:i/>
          <w:color w:val="000000"/>
          <w:sz w:val="20"/>
          <w:lang w:val="en-US" w:eastAsia="en-US" w:bidi="ar-SA"/>
        </w:rPr>
        <w:t>discharge</w:t>
      </w:r>
      <w:r>
        <w:rPr>
          <w:rFonts w:ascii="arial" w:eastAsia="arial" w:hAnsi="arial" w:cs="arial"/>
          <w:color w:val="000000"/>
          <w:sz w:val="20"/>
          <w:lang w:val="en-US" w:eastAsia="en-US" w:bidi="ar-SA"/>
        </w:rPr>
        <w:t xml:space="preserve"> their duty of care in marketing the Property; the facts pleaded do not establish the </w:t>
      </w:r>
      <w:r>
        <w:rPr>
          <w:rFonts w:ascii="arial" w:eastAsia="arial" w:hAnsi="arial" w:cs="arial"/>
          <w:i/>
          <w:color w:val="000000"/>
          <w:sz w:val="20"/>
          <w:lang w:val="en-US" w:eastAsia="en-US" w:bidi="ar-SA"/>
        </w:rPr>
        <w:t>existence</w:t>
      </w:r>
      <w:r>
        <w:rPr>
          <w:rFonts w:ascii="arial" w:eastAsia="arial" w:hAnsi="arial" w:cs="arial"/>
          <w:color w:val="000000"/>
          <w:sz w:val="20"/>
          <w:lang w:val="en-US" w:eastAsia="en-US" w:bidi="ar-SA"/>
        </w:rPr>
        <w:t xml:space="preserve"> of the duty of care. This in itself is a sufficient basis on which to conclude that it is plain and obvious that the notice of civil claim discloses no viable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There are additional considerations militating against the existence of a duty of care which I have already reviewed arising from the nature of the foreclosure process itself. The services provided to the Mortgagees by the Realtors were intended to assist the Mortgagees in the conduct of sale. The sale process itself is subject to court supervision. If, as I have found, the Mortgagees are not in a relationship of proximity with the plaintiff in the conduct of a court-ordered sale, the same must necessarily be true of agents retained to assist the Mortgagees in the sale process. If there are deficiencies in performance, the court will not be persuaded to approve the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For these reasons, I conclude it is plain and obvious that the notice of civil claim does not disclose a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Realtors.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 note that counsel for the Realtors argued during the hearing of these applications that the claim against the Realtors should be also barred on the ground of witness immunity (see discussion below in relation to the Hahn Defendants). I am not prepared to decide the claims against the Realtors on this basis on a pleadings motion. First, the Realtors did not cite witness immunity as a basis for the motion to strike in their notice of application, an omission that is particularly prejudicial when the opposing party is self-represented. Second, it is not plain and obvious to me on the application material that the claims against the Realtors are barred by witness immunity simply because a letter written by one of the Realtors was provided to the Court on the application for approval of sale.</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4. The Hahn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Hahn Defendants are in a distinct position from the other defendants in that their entire involvement in the foreclosure proceeding relates to Mr. Hahn's role as an expert witness in preparing the Appraisal. In addition to arguing that they do not owe a duty of care to the plaintiff, the Hahn Defendants also argue that the rule of witness immunity precludes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xml:space="preserve">  The common law accords to witnesses an absolute immunity from civil liability for anything said in court, even if their evidence is false or their motives malicious. The immunity applies to in-court testimony, and also extends to out-of-court statements made for the purpose of preparing a witness' evidence. The rationale for the immunity is to protect the proper administration of justice by encouraging cooperation and candour from witnesses and preventing a collateral attack on the substance of their testimony: </w:t>
      </w:r>
      <w:r>
        <w:rPr>
          <w:rFonts w:ascii="arial" w:eastAsia="arial" w:hAnsi="arial" w:cs="arial"/>
          <w:i/>
          <w:color w:val="000000"/>
          <w:sz w:val="20"/>
          <w:lang w:val="en-US" w:eastAsia="en-US" w:bidi="ar-SA"/>
        </w:rPr>
        <w:t>Lower v. Stasiuk</w:t>
      </w:r>
      <w:r>
        <w:rPr>
          <w:rFonts w:ascii="arial" w:eastAsia="arial" w:hAnsi="arial" w:cs="arial"/>
          <w:color w:val="000000"/>
          <w:sz w:val="20"/>
          <w:lang w:val="en-US" w:eastAsia="en-US" w:bidi="ar-SA"/>
        </w:rPr>
        <w:t xml:space="preserve">, </w:t>
      </w:r>
      <w:hyperlink r:id="rId714" w:history="1">
        <w:r>
          <w:rPr>
            <w:rFonts w:ascii="arial" w:eastAsia="arial" w:hAnsi="arial" w:cs="arial"/>
            <w:i/>
            <w:color w:val="0077CC"/>
            <w:sz w:val="20"/>
            <w:u w:val="single"/>
            <w:shd w:val="clear" w:color="auto" w:fill="FFFFFF"/>
            <w:lang w:val="en-US" w:eastAsia="en-US" w:bidi="ar-SA"/>
          </w:rPr>
          <w:t>2013 BCCA 389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Stasiuk</w:t>
      </w:r>
      <w:r>
        <w:rPr>
          <w:rFonts w:ascii="arial" w:eastAsia="arial" w:hAnsi="arial" w:cs="arial"/>
          <w:color w:val="000000"/>
          <w:sz w:val="20"/>
          <w:lang w:val="en-US" w:eastAsia="en-US" w:bidi="ar-SA"/>
        </w:rPr>
        <w:t xml:space="preserve">] at para. 48; </w:t>
      </w:r>
      <w:r>
        <w:rPr>
          <w:rFonts w:ascii="arial" w:eastAsia="arial" w:hAnsi="arial" w:cs="arial"/>
          <w:i/>
          <w:color w:val="000000"/>
          <w:sz w:val="20"/>
          <w:lang w:val="en-US" w:eastAsia="en-US" w:bidi="ar-SA"/>
        </w:rPr>
        <w:t>Elliot v. Insurance Crime Prevention Bureau</w:t>
      </w:r>
      <w:r>
        <w:rPr>
          <w:rFonts w:ascii="arial" w:eastAsia="arial" w:hAnsi="arial" w:cs="arial"/>
          <w:color w:val="000000"/>
          <w:sz w:val="20"/>
          <w:lang w:val="en-US" w:eastAsia="en-US" w:bidi="ar-SA"/>
        </w:rPr>
        <w:t xml:space="preserve">, </w:t>
      </w:r>
      <w:hyperlink r:id="rId715" w:history="1">
        <w:r>
          <w:rPr>
            <w:rFonts w:ascii="arial" w:eastAsia="arial" w:hAnsi="arial" w:cs="arial"/>
            <w:i/>
            <w:color w:val="0077CC"/>
            <w:sz w:val="20"/>
            <w:u w:val="single"/>
            <w:shd w:val="clear" w:color="auto" w:fill="FFFFFF"/>
            <w:lang w:val="en-US" w:eastAsia="en-US" w:bidi="ar-SA"/>
          </w:rPr>
          <w:t>2005 NSCA 115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Elliot</w:t>
      </w:r>
      <w:r>
        <w:rPr>
          <w:rFonts w:ascii="arial" w:eastAsia="arial" w:hAnsi="arial" w:cs="arial"/>
          <w:color w:val="000000"/>
          <w:sz w:val="20"/>
          <w:lang w:val="en-US" w:eastAsia="en-US" w:bidi="ar-SA"/>
        </w:rPr>
        <w:t>] at paras. 112-119.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In Canada, the rule of witness immunity extends to expert witnesses. While there is some uncertainty in Canadian law as to whether the immunity precludes civil suits by a party against their own expert, there is no uncertainty that the immunity bars actions against an opposing party's expert witness where the essence of the misconduct alleged relates to the preparation of an expert report: </w:t>
      </w:r>
      <w:r>
        <w:rPr>
          <w:rFonts w:ascii="arial" w:eastAsia="arial" w:hAnsi="arial" w:cs="arial"/>
          <w:i/>
          <w:color w:val="000000"/>
          <w:sz w:val="20"/>
          <w:lang w:val="en-US" w:eastAsia="en-US" w:bidi="ar-SA"/>
        </w:rPr>
        <w:t>Pearlman v. Critchley</w:t>
      </w:r>
      <w:r>
        <w:rPr>
          <w:rFonts w:ascii="arial" w:eastAsia="arial" w:hAnsi="arial" w:cs="arial"/>
          <w:color w:val="000000"/>
          <w:sz w:val="20"/>
          <w:lang w:val="en-US" w:eastAsia="en-US" w:bidi="ar-SA"/>
        </w:rPr>
        <w:t xml:space="preserve">, </w:t>
      </w:r>
      <w:hyperlink r:id="rId716" w:history="1">
        <w:r>
          <w:rPr>
            <w:rFonts w:ascii="arial" w:eastAsia="arial" w:hAnsi="arial" w:cs="arial"/>
            <w:i/>
            <w:color w:val="0077CC"/>
            <w:sz w:val="20"/>
            <w:u w:val="single"/>
            <w:shd w:val="clear" w:color="auto" w:fill="FFFFFF"/>
            <w:lang w:val="en-US" w:eastAsia="en-US" w:bidi="ar-SA"/>
          </w:rPr>
          <w:t>2011 BCSC 1479</w:t>
        </w:r>
      </w:hyperlink>
      <w:r>
        <w:rPr>
          <w:rFonts w:ascii="arial" w:eastAsia="arial" w:hAnsi="arial" w:cs="arial"/>
          <w:color w:val="000000"/>
          <w:sz w:val="20"/>
          <w:lang w:val="en-US" w:eastAsia="en-US" w:bidi="ar-SA"/>
        </w:rPr>
        <w:t xml:space="preserve"> at paras. 40-42; </w:t>
      </w:r>
      <w:r>
        <w:rPr>
          <w:rFonts w:ascii="arial" w:eastAsia="arial" w:hAnsi="arial" w:cs="arial"/>
          <w:i/>
          <w:color w:val="000000"/>
          <w:sz w:val="20"/>
          <w:lang w:val="en-US" w:eastAsia="en-US" w:bidi="ar-SA"/>
        </w:rPr>
        <w:t>Stasiuk</w:t>
      </w:r>
      <w:r>
        <w:rPr>
          <w:rFonts w:ascii="arial" w:eastAsia="arial" w:hAnsi="arial" w:cs="arial"/>
          <w:color w:val="000000"/>
          <w:sz w:val="20"/>
          <w:lang w:val="en-US" w:eastAsia="en-US" w:bidi="ar-SA"/>
        </w:rPr>
        <w:t xml:space="preserve"> at paras. 45-74.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I agree with the Hahn Defendants that it is plain and obvious that the plaintiff's claim against them is barred by the rule of witness immunity. The allegations against the Hahn Defendants in the notice of civil claim relate entirely to Mr. Hahn's role as an expert in preparing the Appraisal for use in the Foreclosure Proceeding. The plaintiff alleges that the Appraisal was false and misleading, and that Mr. Hahn did not fulfill his duties to the Court as in independent expert. The plaintiff does not plead that it had any interactions with the Hahn Defendants outside of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At the hearing of the present applications, Mr. McCargar pressed his belief that Mr. Hahn had a conflict of interest arising out of his previous role as president of the British Columbia Expropriation Association. The nature of the alleged conflict is not apparent to me. In any event, such a conflict, even if it existed, does not establish a private cause of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Hahn Defendants at the behest of the plaintiff. If an expert witness is not sufficiently impartial this may affect the weight or admissibility of their opinion. However, any expert cannot be sued by an adverse party on the basis that the opinion was incorrect or even negligent: </w:t>
      </w:r>
      <w:r>
        <w:rPr>
          <w:rFonts w:ascii="arial" w:eastAsia="arial" w:hAnsi="arial" w:cs="arial"/>
          <w:i/>
          <w:color w:val="000000"/>
          <w:sz w:val="20"/>
          <w:lang w:val="en-US" w:eastAsia="en-US" w:bidi="ar-SA"/>
        </w:rPr>
        <w:t>Arndt v. Banerji</w:t>
      </w:r>
      <w:r>
        <w:rPr>
          <w:rFonts w:ascii="arial" w:eastAsia="arial" w:hAnsi="arial" w:cs="arial"/>
          <w:color w:val="000000"/>
          <w:sz w:val="20"/>
          <w:lang w:val="en-US" w:eastAsia="en-US" w:bidi="ar-SA"/>
        </w:rPr>
        <w:t xml:space="preserve">, </w:t>
      </w:r>
      <w:hyperlink r:id="rId717" w:history="1">
        <w:r>
          <w:rPr>
            <w:rFonts w:ascii="arial" w:eastAsia="arial" w:hAnsi="arial" w:cs="arial"/>
            <w:i/>
            <w:color w:val="0077CC"/>
            <w:sz w:val="20"/>
            <w:u w:val="single"/>
            <w:shd w:val="clear" w:color="auto" w:fill="FFFFFF"/>
            <w:lang w:val="en-US" w:eastAsia="en-US" w:bidi="ar-SA"/>
          </w:rPr>
          <w:t>2018 ABCA 176</w:t>
        </w:r>
      </w:hyperlink>
      <w:r>
        <w:rPr>
          <w:rFonts w:ascii="arial" w:eastAsia="arial" w:hAnsi="arial" w:cs="arial"/>
          <w:color w:val="000000"/>
          <w:sz w:val="20"/>
          <w:lang w:val="en-US" w:eastAsia="en-US" w:bidi="ar-SA"/>
        </w:rPr>
        <w:t xml:space="preserve"> at para. 77.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I therefore conclude that the claim against the Hahn Defendants should be struck pursuant to Rule 9-5(1)(a) on the ground of witness immunity. For the purpose of completeness, I note that the Hahn Defendants alternatively relied on Rule 9-6 as the basis for their application to dismiss the claims against them. Mr. Hahn has sworn an affidavit in support of the application for judgment under Rule 9-6 in which he confirms that he was retained to prepare the Appraisal for the purpose of the Foreclosure Proceeding, and that he did so in conformity with his role as an expert. I agree with the Hahn Defendants that, in light of that evidence, there is no genuine issue for trial in relation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 Hahn Defendants. Rule 9-6 thus provides an alternative basis for dismissing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Finally, if I am wrong in my conclusion on the application of the witness immunity rule to the Hahn Defendants I would nevertheless strike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against them on the ground that the plaintiff has not pleaded the existence of a proximate relationship that could give rise to a duty of care. In my view, the same considerations that lead me to conclude that the Realtors do not owe a duty of care to the plaintiff also apply to the Hahn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Accordingly, I conclude it is plain and obvious that the notice of civil claim does not disclose a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Hahn Defendants.</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5.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 against the Bury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It is plain and obvious from the relevant case law that a lawyer generally does not owe a duty of care to an opposing litigant, even if that litigant is self-represented: </w:t>
      </w:r>
      <w:r>
        <w:rPr>
          <w:rFonts w:ascii="arial" w:eastAsia="arial" w:hAnsi="arial" w:cs="arial"/>
          <w:i/>
          <w:color w:val="000000"/>
          <w:sz w:val="20"/>
          <w:lang w:val="en-US" w:eastAsia="en-US" w:bidi="ar-SA"/>
        </w:rPr>
        <w:t>Gateway Building Management Ltd. v. Randhawa</w:t>
      </w:r>
      <w:r>
        <w:rPr>
          <w:rFonts w:ascii="arial" w:eastAsia="arial" w:hAnsi="arial" w:cs="arial"/>
          <w:color w:val="000000"/>
          <w:sz w:val="20"/>
          <w:lang w:val="en-US" w:eastAsia="en-US" w:bidi="ar-SA"/>
        </w:rPr>
        <w:t xml:space="preserve">, </w:t>
      </w:r>
      <w:hyperlink r:id="rId718" w:history="1">
        <w:r>
          <w:rPr>
            <w:rFonts w:ascii="arial" w:eastAsia="arial" w:hAnsi="arial" w:cs="arial"/>
            <w:i/>
            <w:color w:val="0077CC"/>
            <w:sz w:val="20"/>
            <w:u w:val="single"/>
            <w:shd w:val="clear" w:color="auto" w:fill="FFFFFF"/>
            <w:lang w:val="en-US" w:eastAsia="en-US" w:bidi="ar-SA"/>
          </w:rPr>
          <w:t>2013 BCSC 350</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Gateway</w:t>
      </w:r>
      <w:r>
        <w:rPr>
          <w:rFonts w:ascii="arial" w:eastAsia="arial" w:hAnsi="arial" w:cs="arial"/>
          <w:color w:val="000000"/>
          <w:sz w:val="20"/>
          <w:lang w:val="en-US" w:eastAsia="en-US" w:bidi="ar-SA"/>
        </w:rPr>
        <w:t xml:space="preserve">] at paras. 21-26; </w:t>
      </w:r>
      <w:r>
        <w:rPr>
          <w:rFonts w:ascii="arial" w:eastAsia="arial" w:hAnsi="arial" w:cs="arial"/>
          <w:i/>
          <w:color w:val="000000"/>
          <w:sz w:val="20"/>
          <w:lang w:val="en-US" w:eastAsia="en-US" w:bidi="ar-SA"/>
        </w:rPr>
        <w:t>Rassaf v. Borden Ladner Gervais</w:t>
      </w:r>
      <w:r>
        <w:rPr>
          <w:rFonts w:ascii="arial" w:eastAsia="arial" w:hAnsi="arial" w:cs="arial"/>
          <w:color w:val="000000"/>
          <w:sz w:val="20"/>
          <w:lang w:val="en-US" w:eastAsia="en-US" w:bidi="ar-SA"/>
        </w:rPr>
        <w:t xml:space="preserve">, </w:t>
      </w:r>
      <w:hyperlink r:id="rId719" w:history="1">
        <w:r>
          <w:rPr>
            <w:rFonts w:ascii="arial" w:eastAsia="arial" w:hAnsi="arial" w:cs="arial"/>
            <w:i/>
            <w:color w:val="0077CC"/>
            <w:sz w:val="20"/>
            <w:u w:val="single"/>
            <w:shd w:val="clear" w:color="auto" w:fill="FFFFFF"/>
            <w:lang w:val="en-US" w:eastAsia="en-US" w:bidi="ar-SA"/>
          </w:rPr>
          <w:t>2015 BCSC 2413</w:t>
        </w:r>
      </w:hyperlink>
      <w:r>
        <w:rPr>
          <w:rFonts w:ascii="arial" w:eastAsia="arial" w:hAnsi="arial" w:cs="arial"/>
          <w:color w:val="000000"/>
          <w:sz w:val="20"/>
          <w:lang w:val="en-US" w:eastAsia="en-US" w:bidi="ar-SA"/>
        </w:rPr>
        <w:t xml:space="preserve"> at para. 16; </w:t>
      </w:r>
      <w:r>
        <w:rPr>
          <w:rFonts w:ascii="arial" w:eastAsia="arial" w:hAnsi="arial" w:cs="arial"/>
          <w:i/>
          <w:color w:val="000000"/>
          <w:sz w:val="20"/>
          <w:lang w:val="en-US" w:eastAsia="en-US" w:bidi="ar-SA"/>
        </w:rPr>
        <w:t>0976820 B.C. Ltd. (c.o.b. Ackroyd Pets &amp; Aquarium) v. Leung</w:t>
      </w:r>
      <w:r>
        <w:rPr>
          <w:rFonts w:ascii="arial" w:eastAsia="arial" w:hAnsi="arial" w:cs="arial"/>
          <w:color w:val="000000"/>
          <w:sz w:val="20"/>
          <w:lang w:val="en-US" w:eastAsia="en-US" w:bidi="ar-SA"/>
        </w:rPr>
        <w:t xml:space="preserve">, </w:t>
      </w:r>
      <w:hyperlink r:id="rId720" w:history="1">
        <w:r>
          <w:rPr>
            <w:rFonts w:ascii="arial" w:eastAsia="arial" w:hAnsi="arial" w:cs="arial"/>
            <w:i/>
            <w:color w:val="0077CC"/>
            <w:sz w:val="20"/>
            <w:u w:val="single"/>
            <w:shd w:val="clear" w:color="auto" w:fill="FFFFFF"/>
            <w:lang w:val="en-US" w:eastAsia="en-US" w:bidi="ar-SA"/>
          </w:rPr>
          <w:t>2018 BCSC 1725</w:t>
        </w:r>
      </w:hyperlink>
      <w:r>
        <w:rPr>
          <w:rFonts w:ascii="arial" w:eastAsia="arial" w:hAnsi="arial" w:cs="arial"/>
          <w:color w:val="000000"/>
          <w:sz w:val="20"/>
          <w:lang w:val="en-US" w:eastAsia="en-US" w:bidi="ar-SA"/>
        </w:rPr>
        <w:t xml:space="preserve"> at paras. 39-42; </w:t>
      </w:r>
      <w:r>
        <w:rPr>
          <w:rFonts w:ascii="arial" w:eastAsia="arial" w:hAnsi="arial" w:cs="arial"/>
          <w:i/>
          <w:color w:val="000000"/>
          <w:sz w:val="20"/>
          <w:lang w:val="en-US" w:eastAsia="en-US" w:bidi="ar-SA"/>
        </w:rPr>
        <w:t>Gadsby</w:t>
      </w:r>
      <w:r>
        <w:rPr>
          <w:rFonts w:ascii="arial" w:eastAsia="arial" w:hAnsi="arial" w:cs="arial"/>
          <w:color w:val="000000"/>
          <w:sz w:val="20"/>
          <w:lang w:val="en-US" w:eastAsia="en-US" w:bidi="ar-SA"/>
        </w:rPr>
        <w:t xml:space="preserve"> at paras. 87-88.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These cases establish that while a lawyer may owe ethical duties to the Court to be candid and fair, the only person to whom a lawyer owes an actionable duty is his or her client. In exceptional circumstances, a lawyer may owe a duty to a non-client claimant where it is clear to both the lawyer and the claimant that the claimant was relying on the lawyer's special skill: </w:t>
      </w:r>
      <w:r>
        <w:rPr>
          <w:rFonts w:ascii="arial" w:eastAsia="arial" w:hAnsi="arial" w:cs="arial"/>
          <w:i/>
          <w:color w:val="000000"/>
          <w:sz w:val="20"/>
          <w:lang w:val="en-US" w:eastAsia="en-US" w:bidi="ar-SA"/>
        </w:rPr>
        <w:t>Gateway</w:t>
      </w:r>
      <w:r>
        <w:rPr>
          <w:rFonts w:ascii="arial" w:eastAsia="arial" w:hAnsi="arial" w:cs="arial"/>
          <w:color w:val="000000"/>
          <w:sz w:val="20"/>
          <w:lang w:val="en-US" w:eastAsia="en-US" w:bidi="ar-SA"/>
        </w:rPr>
        <w:t xml:space="preserve"> at para. 21. There is no such allegation of a special relationship between the plaintiff and the Bury Defendants in the notice of civil claim. Nor could such an allegation reasonably be advanced in the circumstances given that Mr. Bury was acting for an adverse party in a foreclosure petition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At the hearing of the present applications, Mr. McCargar argued that Mr. Bury had misled the Court in the Foreclosure Proceeding and misstated the law to Master Scarth. It is unnecessary for me to say anything about the merits of Mr. McCargar's untested allegations. The point for present purposes is that an alleged breach of a lawyer's ethical duties to the Court is irrelevant to the question of whether the lawyer owes a duty of care to a non-client. The duties owed by counsel to the Court do not translate into a private law duty to an opposing party in litigation: </w:t>
      </w:r>
      <w:r>
        <w:rPr>
          <w:rFonts w:ascii="arial" w:eastAsia="arial" w:hAnsi="arial" w:cs="arial"/>
          <w:i/>
          <w:color w:val="000000"/>
          <w:sz w:val="20"/>
          <w:lang w:val="en-US" w:eastAsia="en-US" w:bidi="ar-SA"/>
        </w:rPr>
        <w:t>Gateway</w:t>
      </w:r>
      <w:r>
        <w:rPr>
          <w:rFonts w:ascii="arial" w:eastAsia="arial" w:hAnsi="arial" w:cs="arial"/>
          <w:color w:val="000000"/>
          <w:sz w:val="20"/>
          <w:lang w:val="en-US" w:eastAsia="en-US" w:bidi="ar-SA"/>
        </w:rPr>
        <w:t xml:space="preserve"> at paras. 23-26.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therefore find it plain and obvious that the notice of civil claim does not disclose a reasonable claim against the Bury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 xml:space="preserve">6. Summary of findings on the plaintiff's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In summary, I conclude that the notice of civil claim does not disclose a reasonable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any of the defendants. I therefore grant the defendants' applications to strike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pursuant to Rule 9-5(1)(a)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 am mindful of the principle that a self-represented litigant ought generally to be granted leave to amend a defective pleading where the issues raised do not reach the "no triable issue" threshold: </w:t>
      </w:r>
      <w:r>
        <w:rPr>
          <w:rFonts w:ascii="arial" w:eastAsia="arial" w:hAnsi="arial" w:cs="arial"/>
          <w:i/>
          <w:color w:val="000000"/>
          <w:sz w:val="20"/>
          <w:lang w:val="en-US" w:eastAsia="en-US" w:bidi="ar-SA"/>
        </w:rPr>
        <w:t>Beach Estate</w:t>
      </w:r>
      <w:r>
        <w:rPr>
          <w:rFonts w:ascii="arial" w:eastAsia="arial" w:hAnsi="arial" w:cs="arial"/>
          <w:color w:val="000000"/>
          <w:sz w:val="20"/>
          <w:lang w:val="en-US" w:eastAsia="en-US" w:bidi="ar-SA"/>
        </w:rPr>
        <w:t xml:space="preserve"> at para. 68. However, in the present case I have concluded that, as a matter of law: (i) the Hahn Defendants are protected by witness immunity, and (ii) none of the defendants owes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the plaintiff in the context of a court-supervised sale in a foreclosure proceeding. Since the existence of a duty of care is a requisite element of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cannot be maintained against any of the defendants. This is not a defect capable of remedy through an amendment to the pleading.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For this reason, I will not give the plaintiff leave to amend his claims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any of the defendants. The plaintiff's action 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 as against all defendants.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 The plaintiff's claims in conspiracy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all argue that the plaintiff's claim in conspiracy does not disclose a reasonable claim because the essential elements of conspiracy have not been pleaded. The Hahn Defendants additionally argue that the claim in conspiracy against them is barred by witness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The elements of the tort of conspiracy were stated by the Court of Appeal in </w:t>
      </w:r>
      <w:r>
        <w:rPr>
          <w:rFonts w:ascii="arial" w:eastAsia="arial" w:hAnsi="arial" w:cs="arial"/>
          <w:i/>
          <w:color w:val="000000"/>
          <w:sz w:val="20"/>
          <w:lang w:val="en-US" w:eastAsia="en-US" w:bidi="ar-SA"/>
        </w:rPr>
        <w:t>Can-Dive Services Ltd. v. Pacific Coast Energy Corp.</w:t>
      </w:r>
      <w:r>
        <w:rPr>
          <w:rFonts w:ascii="arial" w:eastAsia="arial" w:hAnsi="arial" w:cs="arial"/>
          <w:color w:val="000000"/>
          <w:sz w:val="20"/>
          <w:lang w:val="en-US" w:eastAsia="en-US" w:bidi="ar-SA"/>
        </w:rPr>
        <w:t xml:space="preserve">, </w:t>
      </w:r>
      <w:hyperlink r:id="rId721" w:history="1">
        <w:r>
          <w:rPr>
            <w:rFonts w:ascii="arial" w:eastAsia="arial" w:hAnsi="arial" w:cs="arial"/>
            <w:i/>
            <w:color w:val="0077CC"/>
            <w:sz w:val="20"/>
            <w:u w:val="single"/>
            <w:shd w:val="clear" w:color="auto" w:fill="FFFFFF"/>
            <w:lang w:val="en-US" w:eastAsia="en-US" w:bidi="ar-SA"/>
          </w:rPr>
          <w:t>(1993), 96 B.C.L.R. (2d) 156</w:t>
        </w:r>
      </w:hyperlink>
      <w:r>
        <w:rPr>
          <w:rFonts w:ascii="arial" w:eastAsia="arial" w:hAnsi="arial" w:cs="arial"/>
          <w:color w:val="000000"/>
          <w:sz w:val="20"/>
          <w:lang w:val="en-US" w:eastAsia="en-US" w:bidi="ar-SA"/>
        </w:rPr>
        <w:t xml:space="preserve"> (C.A.) at p. 158:</w:t>
      </w:r>
      <w:r>
        <w:rPr>
          <w:rFonts w:ascii="arial" w:eastAsia="arial" w:hAnsi="arial" w:cs="arial"/>
          <w:sz w:val="20"/>
          <w:lang w:val="en-US" w:eastAsia="en-US" w:bidi="ar-SA"/>
        </w:rPr>
        <w:cr/>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agreement between two or more persons;</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concerted action taken pursuant to the agreement;</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if the action is lawful, there must be evidence that the conspirators intended to cause damage to the plaintiff;</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the action is unlawful, there must at least be evidence that the conspirators knew or ought to have known that their action would injure the plaintiff (i.e. constructive intent);</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damage suffered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notice of civil claim does not plead material facts to support the allegation of a conspiracy. The particulars of the alleged conspiracy consist of a recitation of actions taken by the various parties in the course of the Foreclosure Proceeding that the plaintiff is unhappy with. This includes the Mortgagees' alleged failure to market the Property with diligence and skill, the conduct of Mr. Bury in advocating in favour of an approval of the proposed sale before Master Scarth, and Mr. Hahn's alleged trespass on the Property and his inaccurate Appraisal [notice of civil claim, Part 1, para. 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The notice of civil claim does not allege that there was an agreement between the defendants, and does not particularize the concerted action said to have been taken by the defendants in pursuance of an agreement. There is no indication of whether the alleged conspiracy took the form of lawful action which was designed to cause injury to the plaintiff as its predominant purpose, or unlawful action undertaken by the defendants with knowledge that the action would injure the plaintiff. There is no allegation of actual damage suffered by the plaintiff because damage will only crystallize, if at all, once the Property is sold for less than $10 million.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plea of conspiracy is plainly deficient in failing to state the material facts to establish any of the requisite elements of the tort. I did not understand Mr. McCargar to seriously contend otherwise at the hearing of these applications. Mr. McCargar's position is that the plaintiff may decide after examinations for discovery that it does not have enough evidence to pursue the claim for conspiracy at all. However, Mr. McCargar maintains that the plaintiff should not be put to the task of pleading the material facts to support a claim of conspiracy until after the completion of oral and documentary discovery.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my view, the plaintiff's argument conflates the material facts that must be pleaded to support a cause of action and evidence that may prove the material facts alleged. It is incumbent on a claimant to clearly plead the material facts on which it relies in making a claim. While the claimant is not required to prove the facts pleaded at the time of the motion to strike, the material facts must be pleaded. A claimant's hope that evidence might turn up in a future discovery process is not a proper basis on which to resist a motion to strike: </w:t>
      </w:r>
      <w:r>
        <w:rPr>
          <w:rFonts w:ascii="arial" w:eastAsia="arial" w:hAnsi="arial" w:cs="arial"/>
          <w:i/>
          <w:color w:val="000000"/>
          <w:sz w:val="20"/>
          <w:lang w:val="en-US" w:eastAsia="en-US" w:bidi="ar-SA"/>
        </w:rPr>
        <w:t>Imperial Tobacco</w:t>
      </w:r>
      <w:r>
        <w:rPr>
          <w:rFonts w:ascii="arial" w:eastAsia="arial" w:hAnsi="arial" w:cs="arial"/>
          <w:color w:val="000000"/>
          <w:sz w:val="20"/>
          <w:lang w:val="en-US" w:eastAsia="en-US" w:bidi="ar-SA"/>
        </w:rPr>
        <w:t xml:space="preserve"> at paras. 22-24; </w:t>
      </w:r>
      <w:r>
        <w:rPr>
          <w:rFonts w:ascii="arial" w:eastAsia="arial" w:hAnsi="arial" w:cs="arial"/>
          <w:i/>
          <w:color w:val="000000"/>
          <w:sz w:val="20"/>
          <w:lang w:val="en-US" w:eastAsia="en-US" w:bidi="ar-SA"/>
        </w:rPr>
        <w:t>Waters v. Michie</w:t>
      </w:r>
      <w:r>
        <w:rPr>
          <w:rFonts w:ascii="arial" w:eastAsia="arial" w:hAnsi="arial" w:cs="arial"/>
          <w:color w:val="000000"/>
          <w:sz w:val="20"/>
          <w:lang w:val="en-US" w:eastAsia="en-US" w:bidi="ar-SA"/>
        </w:rPr>
        <w:t xml:space="preserve">, </w:t>
      </w:r>
      <w:hyperlink r:id="rId722" w:history="1">
        <w:r>
          <w:rPr>
            <w:rFonts w:ascii="arial" w:eastAsia="arial" w:hAnsi="arial" w:cs="arial"/>
            <w:i/>
            <w:color w:val="0077CC"/>
            <w:sz w:val="20"/>
            <w:u w:val="single"/>
            <w:shd w:val="clear" w:color="auto" w:fill="FFFFFF"/>
            <w:lang w:val="en-US" w:eastAsia="en-US" w:bidi="ar-SA"/>
          </w:rPr>
          <w:t>2011 BCCA 364</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at paras. 46-47.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Given the absence of material facts in the notice of civil claim, the claim in conspiracy must be struck as disclosing no reasonable claim. The only question remaining is one of remedy: whether the plaintiff ought to have an opportunity to amend his claim or whether the claim should be dismissed without leave to amend. In my view, the appropriate remedy differs as between the Hahn Defendants and the remaining defendants. I will address each in turn.</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1. The Hahn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For the reasons I have already stated, I conclude that the witness immunity principle provides an absolute immunity to the Hahn Defendants in relation to Mr. Hahn's preparation of the Appraisal. The essence of the plaintiff's allegation of conspiracy, as with the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that Mr. Hahn prepared an incorrect appraisal. The claim of conspiracy is therefore also caught by the absolute immunity rule which bars all causes of action, even allegations of conspiracy to commit perjury: </w:t>
      </w:r>
      <w:r>
        <w:rPr>
          <w:rFonts w:ascii="arial" w:eastAsia="arial" w:hAnsi="arial" w:cs="arial"/>
          <w:i/>
          <w:color w:val="000000"/>
          <w:sz w:val="20"/>
          <w:lang w:val="en-US" w:eastAsia="en-US" w:bidi="ar-SA"/>
        </w:rPr>
        <w:t>Workum v. Olnick et al.</w:t>
      </w:r>
      <w:r>
        <w:rPr>
          <w:rFonts w:ascii="arial" w:eastAsia="arial" w:hAnsi="arial" w:cs="arial"/>
          <w:color w:val="000000"/>
          <w:sz w:val="20"/>
          <w:lang w:val="en-US" w:eastAsia="en-US" w:bidi="ar-SA"/>
        </w:rPr>
        <w:t xml:space="preserve">, </w:t>
      </w:r>
      <w:hyperlink r:id="rId723" w:history="1">
        <w:r>
          <w:rPr>
            <w:rFonts w:ascii="arial" w:eastAsia="arial" w:hAnsi="arial" w:cs="arial"/>
            <w:i/>
            <w:color w:val="0077CC"/>
            <w:sz w:val="20"/>
            <w:u w:val="single"/>
            <w:shd w:val="clear" w:color="auto" w:fill="FFFFFF"/>
            <w:lang w:val="en-US" w:eastAsia="en-US" w:bidi="ar-SA"/>
          </w:rPr>
          <w:t>2005 BCSC 1262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As I have noted, the Hahn Defendants rely not only on Rule 9-5(1)(a)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but also on Rule 9-6 to dismiss the plaintiff's claims based on witness immunity. Mr. Hahn's affidavit confirms that his role was limited to that of expert witness in preparing the Appraisal for use in the Foreclosure Proceeding. In light of that evidence, which is not contradicted, I agree the conspiracy claim against the Hahn Defendants does not raise a genuine issue for trial. For this reason, it is not appropriate to give the plaintiff leave to amend his pleading of conspiracy as against the Hahn Defendants. The claim is dismissed.</w:t>
      </w:r>
      <w:r>
        <w:rPr>
          <w:rFonts w:ascii="arial" w:eastAsia="arial" w:hAnsi="arial" w:cs="arial"/>
          <w:sz w:val="20"/>
          <w:lang w:val="en-US" w:eastAsia="en-US" w:bidi="ar-SA"/>
        </w:rPr>
        <w:cr/>
      </w:r>
    </w:p>
    <w:p>
      <w:pPr>
        <w:spacing w:line="260" w:lineRule="atLeast"/>
        <w:ind w:left="1080"/>
        <w:rPr>
          <w:rFonts w:ascii="arial" w:eastAsia="arial" w:hAnsi="arial" w:cs="arial"/>
          <w:sz w:val="20"/>
          <w:lang w:val="en-US" w:eastAsia="en-US" w:bidi="ar-SA"/>
        </w:rPr>
      </w:pPr>
      <w:r>
        <w:rPr>
          <w:rFonts w:ascii="arial" w:eastAsia="arial" w:hAnsi="arial" w:cs="arial"/>
          <w:b/>
          <w:color w:val="000000"/>
          <w:sz w:val="20"/>
          <w:lang w:val="en-US" w:eastAsia="en-US" w:bidi="ar-SA"/>
        </w:rPr>
        <w:t>2. The Mortgagees, the Realtors, and the Bury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The question of remedy as it relates to the plaintiff's claim of civil conspiracy against the remaining defendants is a difficult one. Once again, I am mindful of the direction of our Court of Appeal in </w:t>
      </w:r>
      <w:r>
        <w:rPr>
          <w:rFonts w:ascii="arial" w:eastAsia="arial" w:hAnsi="arial" w:cs="arial"/>
          <w:i/>
          <w:color w:val="000000"/>
          <w:sz w:val="20"/>
          <w:lang w:val="en-US" w:eastAsia="en-US" w:bidi="ar-SA"/>
        </w:rPr>
        <w:t>Beach</w:t>
      </w:r>
      <w:r>
        <w:rPr>
          <w:rFonts w:ascii="arial" w:eastAsia="arial" w:hAnsi="arial" w:cs="arial"/>
          <w:color w:val="000000"/>
          <w:sz w:val="20"/>
          <w:lang w:val="en-US" w:eastAsia="en-US" w:bidi="ar-SA"/>
        </w:rPr>
        <w:t xml:space="preserve"> that self-represented litigants should generally be permitted an opportunity to cure a defective pleading by way of amendment provided there is a triable issue. The defendants, other than the Hahn Defendants, have not applied for summary dismissal of the conspiracy claim on the merits pursuant to Rule 9-6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xml:space="preserve">  On the other hand, I do not accept the plaintiff's position that it should not be required to plead an adequate claim in conspiracy until after the completion of pre-trial discovery steps. As I have already noted, a claimant's hope that something may in future turn up through the discovery process is not a proper basis on which to resist a motion to strike. Furthermore, it is difficult to see what utility a pleadings amendment would have at this point in time given that the plaintiff cannot claim actual damages until such time as a sale of the Property is approved at a price that is less than $10 million. Until then, the plaintiff's claim remains entirely speculative and hypothetical: </w:t>
      </w:r>
      <w:r>
        <w:rPr>
          <w:rFonts w:ascii="arial" w:eastAsia="arial" w:hAnsi="arial" w:cs="arial"/>
          <w:i/>
          <w:color w:val="000000"/>
          <w:sz w:val="20"/>
          <w:lang w:val="en-US" w:eastAsia="en-US" w:bidi="ar-SA"/>
        </w:rPr>
        <w:t>Waters</w:t>
      </w:r>
      <w:r>
        <w:rPr>
          <w:rFonts w:ascii="arial" w:eastAsia="arial" w:hAnsi="arial" w:cs="arial"/>
          <w:color w:val="000000"/>
          <w:sz w:val="20"/>
          <w:lang w:val="en-US" w:eastAsia="en-US" w:bidi="ar-SA"/>
        </w:rPr>
        <w:t xml:space="preserve"> at para. 45.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Balancing all of these considerations, I conclude that an appropriate order is to strike the plaintiff's claim of conspiracy against the Mortgagees, the Realtors and the Bury Defendants, with leave to the plaintiff to file an amended pleading after the Foreclosure Proceeding has concluded. This order is without prejudice to the ability of these defendants to apply to strike and/or dismiss any amended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For the purpose of clarity, I direct that the conspiracy claim against the Mortgagees, the Realtors and the Bury Defendants is stayed until such time as the plaintiff files a properly pleaded claim after the conclusion of the Foreclosure Proceeding. In the interim, the defendants are not required to produce documents or attend examinations for discovery.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D. The plaintiff's claims in trespass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Finally, the plaintiff pleads that Mr. Bury trespassed on the Property in December 2017 to conduct his own inspection, and that Mr. Hahn trespassed on the Property by conducting a site inspection in February 2018 [notice of civil claim, Part 1, paras. 20(iv) and 23 (vi)]. The plaintiff alleges that Mr. Bury did not have the plaintiff's consent to be on the Property in December 2017. As for Mr. Hahn's site visit, the plaintiff says that he was precluded by clause 3 of the January 15, 2018 Order for Conduct of Sale from accessing the Property for the purpose of conducting an appraisal prior to April 16, 2018.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For ease of reference I will reproduce clause 3 of the January 15, 2018 Order for Conduct of Sale:</w:t>
      </w:r>
      <w:r>
        <w:rPr>
          <w:rFonts w:ascii="arial" w:eastAsia="arial" w:hAnsi="arial" w:cs="arial"/>
          <w:sz w:val="20"/>
          <w:lang w:val="en-US" w:eastAsia="en-US" w:bidi="ar-SA"/>
        </w:rPr>
        <w:cr/>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person or persons in possession of the Property, including any tenant or tenants, shall, on or after April 16, 2018, permit any duly authorized agent of the Petitioners to inspect or appraise the Property, and show the Property to prospective purchasers, between the hours of 8:00 a.m. and 8:00 p.m. on any day including Sundays and statutory holidays, and to post signs on the Lands, indicating that the Property is offered for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The defendants say that the terms of the Mortgage, and a security agreement between the Mortgagees and the plaintiff, provide a complete answer to the plaintiff's claims of trespass. They seek an order dismissing the trespass claims pursuant to Rule 9-6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on the basis that there is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Clause 24 of the Mortgage provides, in relevant terms as follows:</w:t>
      </w:r>
      <w:r>
        <w:rPr>
          <w:rFonts w:ascii="arial" w:eastAsia="arial" w:hAnsi="arial" w:cs="arial"/>
          <w:sz w:val="20"/>
          <w:lang w:val="en-US" w:eastAsia="en-US" w:bidi="ar-SA"/>
        </w:rPr>
        <w:cr/>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MORTGAGEE or the Mortgagee's Agent may, whenever the Mortgagee deems it necessary to do so, enter upon and inspect the Mortgaged Lands and any building thereon and make any repairs that the mortgagee considers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Clause 11.1 of the security agreement provides the Mortgagees with the following enforcement rights on default: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11.1 Upon any default under this Security Agreement has [</w:t>
      </w:r>
      <w:r>
        <w:rPr>
          <w:rFonts w:ascii="arial" w:eastAsia="arial" w:hAnsi="arial" w:cs="arial"/>
          <w:i/>
          <w:color w:val="000000"/>
          <w:sz w:val="20"/>
          <w:lang w:val="en-US" w:eastAsia="en-US" w:bidi="ar-SA"/>
        </w:rPr>
        <w:t>sic</w:t>
      </w:r>
      <w:r>
        <w:rPr>
          <w:rFonts w:ascii="arial" w:eastAsia="arial" w:hAnsi="arial" w:cs="arial"/>
          <w:color w:val="000000"/>
          <w:sz w:val="20"/>
          <w:lang w:val="en-US" w:eastAsia="en-US" w:bidi="ar-SA"/>
        </w:rPr>
        <w:t>] Secured party may declare any or all of the Obligations not payable on demand to become immediately due and payable and the security hereby constituted will immediately become enforceable. To enforce and realize on the security constituted by this Security Agreement the Secured Party may take any action permitted by law or in equity, as it may deem expedient, and in particular without limiting the generality of the foregoing, the Secured Party may do any of the following: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enter upon any premises of the Debtor and take possession of the Collateral with power to exclude the Debtor, its agents and its servants therefrom, without becoming liable as a mortgagee in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plaintiff's argument, as I understand it, is that clause 3 of the Order for Conduct of Sale supersedes any contractual authority for the Mortgagees and their agents to enter the Property. The plaintiff says that clause 3 means that the Mortgagees and their agents had no authority to enter the Property between January 15 and April 16, 2018 without the plaintiff's consent.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This argument, even if meritorious, is only relevant to the trespass claim against the Hahn Defendants as Mr. Bury is alleged to have accessed the Property in December 2017. In any event, I do not consider the plaintiff's argument to be meritorious. The Mortgage and security agreement provide clear authority for the Mortgagees, and their agents, to enter the Property, and Mr. Hahn was acting as an agent of the Mortgagees in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Clause 3 of the Order for Conduct of Sale is intended to ensure that no one in possession of the Property, including the tenants, could object to entry by third parties, including agents, potential purchasers, and appraisers, during the period of active marketing. Clause 3 does not purport to override the terms of the Mortgage and the security agreement. It would be illogical to read it as doing so given that this would result in the Mortgagees having more restricted rights of access after the Mortgage has gone into default, the redemption period has expired, and the Mortgagees have been assigned the exclusive conduct of sale.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In my view, Mr. Bury and Mr. Hahn both had clear legal authority to access the Property as agents of the Mortgagees, and the plaintiff has no chance of succeeding on these claims at trial. The trespass claims are therefore dismissed pursuant to Rule 9-6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I note that the Hahn Defendants argued, in the alternative, that the trespass claim against Mr. Hahn was barred by the rule of witness immunity. There appears to be no authority directly on point; that is, that even a cause of action in trespass could be precluded by witness immunity. In my view, this argument presents some difficulty on the facts of this case in that the trespass claim against the Hahn Defendants rests on the premise that Mr. Hahn breached a court order in accessing the Property in February 2018. In any event, I find it unnecessary to decide this point given my conclusion that the trespass claims are bound to fail and ought to be dismissed on that basis.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E. Is the claim as a whole an abuse of court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All of the defendants advanced the alternative argument that the plaintiff's claims in their entirety ought to be dismissed pursuant to Rule 9-5(1)(d)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xml:space="preserve"> as an abuse of court process. The defendants' argument, in essence, is that the plaintiff's tort action constitutes an impermissible collateral attack on the Foreclosure Proceeding and the process of court-ordered sale. The defendants argue that any complaint that the plaintiff has about the sale process can, and should be, addressed in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There is authority for the proposition that an action may be struck as an abuse of court process to the extent that it seeks to re-litigate matters previously and conclusively determined in a foreclosure proceeding: </w:t>
      </w:r>
      <w:r>
        <w:rPr>
          <w:rFonts w:ascii="arial" w:eastAsia="arial" w:hAnsi="arial" w:cs="arial"/>
          <w:i/>
          <w:color w:val="000000"/>
          <w:sz w:val="20"/>
          <w:lang w:val="en-US" w:eastAsia="en-US" w:bidi="ar-SA"/>
        </w:rPr>
        <w:t>Gadsby</w:t>
      </w:r>
      <w:r>
        <w:rPr>
          <w:rFonts w:ascii="arial" w:eastAsia="arial" w:hAnsi="arial" w:cs="arial"/>
          <w:color w:val="000000"/>
          <w:sz w:val="20"/>
          <w:lang w:val="en-US" w:eastAsia="en-US" w:bidi="ar-SA"/>
        </w:rPr>
        <w:t xml:space="preserve"> at paras. 53-60, 84, 106-107; </w:t>
      </w:r>
      <w:r>
        <w:rPr>
          <w:rFonts w:ascii="arial" w:eastAsia="arial" w:hAnsi="arial" w:cs="arial"/>
          <w:i/>
          <w:color w:val="000000"/>
          <w:sz w:val="20"/>
          <w:lang w:val="en-US" w:eastAsia="en-US" w:bidi="ar-SA"/>
        </w:rPr>
        <w:t>Nederland Holding Inc. v. British Columbia</w:t>
      </w:r>
      <w:r>
        <w:rPr>
          <w:rFonts w:ascii="arial" w:eastAsia="arial" w:hAnsi="arial" w:cs="arial"/>
          <w:color w:val="000000"/>
          <w:sz w:val="20"/>
          <w:lang w:val="en-US" w:eastAsia="en-US" w:bidi="ar-SA"/>
        </w:rPr>
        <w:t xml:space="preserve">, </w:t>
      </w:r>
      <w:hyperlink r:id="rId724" w:history="1">
        <w:r>
          <w:rPr>
            <w:rFonts w:ascii="arial" w:eastAsia="arial" w:hAnsi="arial" w:cs="arial"/>
            <w:i/>
            <w:color w:val="0077CC"/>
            <w:sz w:val="20"/>
            <w:u w:val="single"/>
            <w:shd w:val="clear" w:color="auto" w:fill="FFFFFF"/>
            <w:lang w:val="en-US" w:eastAsia="en-US" w:bidi="ar-SA"/>
          </w:rPr>
          <w:t>2018 BCCA 373</w:t>
        </w:r>
      </w:hyperlink>
      <w:r>
        <w:rPr>
          <w:rFonts w:ascii="arial" w:eastAsia="arial" w:hAnsi="arial" w:cs="arial"/>
          <w:color w:val="000000"/>
          <w:sz w:val="20"/>
          <w:lang w:val="en-US" w:eastAsia="en-US" w:bidi="ar-SA"/>
        </w:rPr>
        <w:t>. It appears that the plaintiff in each of these cases sought to simply re-litigate the question of whether the court approved sale was provident.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It is not plain and obvious me, at least at the present time, that this action amounts to impermissible re-litigation. The plaintiff's theory, as I understand it, is that the actions of the defendants in accepting a $5.3 million offer, successively dropping the price without proper marketing efforts, and preparing an inaccurate appraisal, have permanently devalued the Property. Thus when the court eventually approves a sale as provident it will reflect a devalued market price.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Given the speculative nature of the plaintiff's claim in its current form, it is difficult to fully assess the defendants' abuse of process arguments. As all of the defendants have emphasized, the plaintiff's damage has not yet crystallized and may never crystallize depending on whether the Property eventually sells for less than $10 million. The time to assess whether a civil claim by the plaintiff constitutes an abuse of court process is when, if ever, the plaintiff's damage crystallizes. I do not accept the premise of the defendants' arguments that any civil action that arises out of a court-ordered sale process in a foreclosure proceeding necessarily constitutes an impermissible collateral attack. It depends on 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For these reasons, I prefer to rest my decision on the grounds I have already stated; that is, there is no reasonable claim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any of the defendants; the trespass claims against the Bury and Hahn Defendants and conspiracy claims against the Hahn Defendants do not raise a genuine issue for trial; and the conspiracy claim against the remaining defendants should struck with leave to amend. If the plaintiff does ever file an amended conspiracy claim at the end of the Foreclosure Proceeding, it would be open to the defendants to raise an abuse of process argument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CONCLUSION/ORDERS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In summary, I make the following orders:</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all defendants are struck pursuant to Rule 9-5(1)(a)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 and the claims are dismissed.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trespass claims against the Bury Defendants and the Hahn defendants are dismissed pursuant to Rule 9-6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conspiracy claim against the Hahn Defendants is dismissed pursuant to Rule 9-6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plaintiff's conspiracy claims against the Mortgagees, the Realtors and the Bury Defendants are struck pursuant to Rule 9-5(1)(a) of the </w:t>
      </w:r>
      <w:r>
        <w:rPr>
          <w:rFonts w:ascii="arial" w:eastAsia="arial" w:hAnsi="arial" w:cs="arial"/>
          <w:i/>
          <w:color w:val="000000"/>
          <w:sz w:val="20"/>
          <w:lang w:val="en-US" w:eastAsia="en-US" w:bidi="ar-SA"/>
        </w:rPr>
        <w:t>SCCR</w:t>
      </w:r>
      <w:r>
        <w:rPr>
          <w:rFonts w:ascii="arial" w:eastAsia="arial" w:hAnsi="arial" w:cs="arial"/>
          <w:color w:val="000000"/>
          <w:sz w:val="20"/>
          <w:lang w:val="en-US" w:eastAsia="en-US" w:bidi="ar-SA"/>
        </w:rPr>
        <w: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has leave to file an amended pleading alleging a cause of action in conspiracy against the Mortgagees, the Realtors and the Bury Defendants after the conclusion of the Foreclosure Proceeding.</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preceding term of this order is without prejudice to the right of these defendants to apply for dismissal of an amended claim on any ground, including that the claim constitutes an abuse of court process.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conspiracy claims against the Mortgagees, the Realtors and the Bury Defendants are stayed until such time as the plaintiff has filed an amended pleading after the conclusion of the Foreclosure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All of the defendants are entitled to recover their costs of applications from the plaintiff at Scale B in any event of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K. HORSMAN J.</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r>
        <w:pict>
          <v:line id="_x0000_s1118" style="position:absolute;z-index:251830272" from="0,15pt" to="180pt,15pt" strokecolor="#bcbeb0" strokeweight="0.5pt">
            <v:stroke linestyle="single"/>
          </v:line>
        </w:pict>
      </w:r>
    </w:p>
    <w:p>
      <w:pPr>
        <w:rPr>
          <w:rFonts w:ascii="arial" w:eastAsia="arial" w:hAnsi="arial" w:cs="arial"/>
          <w:sz w:val="20"/>
          <w:lang w:val="en-US" w:eastAsia="en-US" w:bidi="ar-SA"/>
        </w:rPr>
      </w:pPr>
    </w:p>
    <w:p>
      <w:pPr>
        <w:spacing w:before="120" w:after="20" w:line="240" w:lineRule="atLeast"/>
        <w:ind w:left="720" w:hanging="360"/>
        <w:jc w:val="both"/>
        <w:rPr>
          <w:rFonts w:ascii="arial" w:eastAsia="arial" w:hAnsi="arial" w:cs="arial"/>
          <w:sz w:val="20"/>
          <w:lang w:val="en-US" w:eastAsia="en-US" w:bidi="ar-SA"/>
        </w:rPr>
      </w:pPr>
      <w:bookmarkStart w:id="124" w:name="Forward_fnref_fnr-1"/>
      <w:hyperlink w:anchor="Backward_fnref_fnr-1" w:history="1">
        <w:r>
          <w:rPr>
            <w:rFonts w:ascii="arial" w:eastAsia="arial" w:hAnsi="arial" w:cs="arial"/>
            <w:b/>
            <w:color w:val="BE161D"/>
            <w:sz w:val="18"/>
            <w:shd w:val="clear" w:color="auto" w:fill="FFFFFF"/>
            <w:lang w:val="en-US" w:eastAsia="en-US" w:bidi="ar-SA"/>
          </w:rPr>
          <w:t>1</w:t>
        </w:r>
      </w:hyperlink>
      <w:bookmarkEnd w:id="124"/>
      <w:r>
        <w:rPr>
          <w:rFonts w:ascii="arial" w:eastAsia="arial" w:hAnsi="arial" w:cs="arial"/>
          <w:sz w:val="20"/>
          <w:lang w:val="en-US" w:eastAsia="en-US" w:bidi="ar-SA"/>
        </w:rPr>
        <w:tab/>
      </w:r>
      <w:r>
        <w:rPr>
          <w:rFonts w:ascii="arial" w:eastAsia="arial" w:hAnsi="arial" w:cs="arial"/>
          <w:color w:val="6D6E71"/>
          <w:sz w:val="18"/>
          <w:lang w:val="en-US" w:eastAsia="en-US" w:bidi="ar-SA"/>
        </w:rPr>
        <w:t>I note that Master Scarth's reasons for judgment (at paras. 8, 10) suggest that the list price was dropped to $5.9 million on June 16, 2018, whereas the notice of civil claim alleges that the price was dropped on June 18, 2018 (Part 1, paras. 18, 22). I do not believe that anything turns on this discrepancy. For the purpose of the present applications, I have assumed that the correct date is June 18, 2018 as alleged in the pleading.</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19" style="position:absolute;z-index:25187532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25"/>
          <w:headerReference w:type="default" r:id="rId726"/>
          <w:footerReference w:type="even" r:id="rId727"/>
          <w:footerReference w:type="default" r:id="rId728"/>
          <w:headerReference w:type="first" r:id="rId729"/>
          <w:footerReference w:type="first" r:id="rId7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31" w:history="1">
        <w:r>
          <w:rPr>
            <w:rFonts w:ascii="arial" w:eastAsia="arial" w:hAnsi="arial" w:cs="arial"/>
            <w:b/>
            <w:bCs/>
            <w:i/>
            <w:color w:val="0077CC"/>
            <w:kern w:val="32"/>
            <w:sz w:val="28"/>
            <w:szCs w:val="32"/>
            <w:u w:val="single"/>
            <w:shd w:val="clear" w:color="auto" w:fill="FFFFFF"/>
            <w:lang w:val="en-US" w:eastAsia="en-US" w:bidi="ar-SA"/>
          </w:rPr>
          <w:t>Hi-Seas Marine Ltd. v. Boelman, [2006] B.C.J. No. 655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Davies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31 - February 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27,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S033659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655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488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17 B.L.R. (4th) 240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148 A.C.W.S. (3d) 79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721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Hi-Seas Marine Ltd., plaintiff, and Willem Gerard Boelman,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0" style="position:absolute;z-index:251677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25" w:name="Keywords_18"/>
      <w:bookmarkEnd w:id="125"/>
      <w:r>
        <w:rPr>
          <w:rFonts w:ascii="arial" w:eastAsia="arial" w:hAnsi="arial" w:cs="arial"/>
          <w:b/>
          <w:color w:val="000000"/>
          <w:sz w:val="20"/>
          <w:lang w:val="en-US" w:eastAsia="en-US" w:bidi="ar-SA"/>
        </w:rPr>
        <w:t>Commercial law — Agency — Agent's duties — Accounting to principal — Action against director of agent for owner of ship not liable to owner under equitable agency principles, where agency agreement precluded liability.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Corporations and associations law — Corporations — Directors — Liability — For torts — Action against director of agent for owner of ship not liable to owner under equitable agency principles, where agency agreement precluded liability.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Transportation law — Shipping, navigation and admiralty — Action against director of agent for owner of ship not liable to owner under equitable agency principles, where agency agreement precluded liability.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26" w:name="Case Summary_18"/>
            <w:bookmarkEnd w:id="12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Hi-Seas for summary judgment against Boelman to recover arbitration award from Boelman as alter ego of Trinav -- Application by Boelman for summary judgment dismissing Hi-Seas's action -- Hi-Seas obtained arbitration award of $325,467 USD and $33,199 CD against Trinav following arbitration arising out of agreement between Trinav and Hi-Seas to provide Trimex, Barbados company of which Boelman was one of three directors and shareholders, with use of tugboat -- Boelman was sole shareholder and director of Trinav, incorporated in British Columbia as shipbroker and shipping agent -- Tugboat not delivered on time by Hi-Seas -- Tugboat had mechanical problems Hi-Seas did not have resources to fix -- Tugboat eventually repaired with funds obtained by mortgaging tugboat, delivered to Trimex -- Fire broke out on tugboat -- Trimex paid for repairs as Hi-Seas could not afford them -- Mortgage increased -- Hi-Seas and Trinav entered into Vessel Management Agreement, under which Trinav became manager of vessel, Hi-Seas acknowledged indebtedness to crew members -- Trinav and directors could not be held liable to Hi-Seas under contract for losses arising from management of tugboat -- Further disputes arose between Trinav and Hi-Seas -- Hi-Seas's captain, Georgison, attempted to re-take possession of tugboat but Trinav had hidden tugboat -- Trinav used tugboat for several months, eventually re-delivered tugboat to Hi-Seas in Canada where it was arrested under mortgage -- Hi-Seas converted claims against Trinav in arbitration to claims for conversion or detinue, accounting for monies received by Trinav, damages for breaches of Vessel Management Agreement and punitive damages -- Boelman not made party to arbitration -- Arbitrators found Trinav was agent for Hi-Seas, failed in its duty to disclose and account to Hi-Seas -- Award to Hi-Seas comprised of amounts payable by Trimex for use of tugboat, damages for theft and unrepaired damage to tugboat, and arbitration costs -- Award remained unpaid -- Hi-Seas commenced action to recover award from Boelman -- HELD: Application by Hi-Seas dismissed; application by Boelman allowed -- Barring Hi-Seas's action against Boelman because of arbitration would be unfair -- As no claim against Boelman raised in arbitration, matter was not res judicata -- Record of arbitration not admissible as evidence against Boelman in summary judgment application by Hi-Seas -- Record of arbitration admissible in Boelman's application for summary judgment dismissing Hi-Seas's action -- Claims advanced by Hi-Seas presented no bona fide triable issues -- Terms of Vessel Management Agreement defining obligations and liability of parties could not be wholly overridden by application of equitable agency principles -- Hi-Seas made no allegations of fraud against Boelman, capable of supporting claim for breach of duty as agent -- Boelman entitled to rely on terms of Vessel Management Agreement to preclude liability for claims advanced against him.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27" w:name="Legislation Cited_11"/>
      <w:bookmarkEnd w:id="12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1" style="position:absolute;z-index:2517288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International Commercial Arbitration Act, R.S.B.C. 1996, s. 2(1)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British Columbia Rules of Court, Rule 18, Rule 18(6), Rule 18A, Rule 19(24), Rule 40(27)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Commercial Arbitration Act, R.S.C. 1985 (2nd Supp.), c. 17,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28" w:name="Counsel_18"/>
      <w:bookmarkEnd w:id="12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2" style="position:absolute;z-index:2517800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M.L.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D.G. Cowper, Q.C. S. Elliott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29" w:name="Judgment_18"/>
      <w:bookmarkEnd w:id="129"/>
      <w:r>
        <w:pict>
          <v:line id="_x0000_s1123" style="position:absolute;z-index:2518312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0" w:name="B.M. DAVIES J."/>
            <w:bookmarkEnd w:id="130"/>
            <w:r>
              <w:rPr>
                <w:rFonts w:ascii="arial" w:eastAsia="arial" w:hAnsi="arial" w:cs="arial"/>
                <w:b/>
                <w:color w:val="000000"/>
                <w:sz w:val="30"/>
                <w:lang w:val="en-US" w:eastAsia="en-US" w:bidi="ar-SA"/>
              </w:rPr>
              <w:t>B.M. DAVIES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judgment is concerned with the interplay between arbitration and court proceedings and the extent to which corporate liability may be extended to a sole director of a one person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In 1999 the plaintiff, Hi-Seas Marine Ltd. ("Hi-Seas"), obtained an arbitration award of $325,466.98 (USD) and $33,199.99 (CAN) (the "Arbitration Award") against a corporation, Trinav Shipping (Canada) Ltd. ("Trinav"), pursuant to an arbitration (the "Arbitration") arising out of an agreement dated September 26, 1997 (the "Vessel Management Agreement"), entered into between Hi-Seas and Trinav concerning a tugboat named the Pacific Challenge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these proceedings Hi-Seas alleges that the defendant, Willem Gerard Boelman ("Boelman") was at all material times the alter ego of Trinav and seeks to establish that, on the basis of the doctrine of alter ego as well as by reason of equitable principles surrounding breaches of fiduciary duty, Boelman is also liable to pay the Arbitration Award to Hi-Seas.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The issues to be decided were originally framed by the parties in applications to dismiss Hi-Seas' claims brought by Boelman under Rules 19(24), 18 and 18A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and a competing application brought by Hi-Seas for summary judgment against Boelman brought under the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During the hearing of those competing applications, it became obvious to me that if Hi-Seas' claims of alter ego or claims related to breach of fiduciary duty against Boelman are arguable at law, the manner in which the evidence was adduced by both parties under Rule 18A would make it both inappropriate and unfair to the parties to determine Boelman's potential liability under the Rule 18A summary trial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following issues must, however, still be decided:</w:t>
      </w:r>
      <w:r>
        <w:rPr>
          <w:rFonts w:ascii="arial" w:eastAsia="arial" w:hAnsi="arial" w:cs="arial"/>
          <w:sz w:val="20"/>
          <w:lang w:val="en-US" w:eastAsia="en-US" w:bidi="ar-SA"/>
        </w:rPr>
        <w:cr/>
      </w:r>
    </w:p>
    <w:p>
      <w:pPr>
        <w:numPr>
          <w:numId w:val="4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Hi-Seas' failure to make Boelman a party to the Arbitration preclude it from now bringing this action against him?</w:t>
      </w:r>
    </w:p>
    <w:p>
      <w:pPr>
        <w:numPr>
          <w:numId w:val="4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use, if any, can be made of the transcript of the Arbitration proceedings and of the Arbitration Award itself in this proceeding concerning the potential liability of Boelman to Hi-Seas?</w:t>
      </w:r>
    </w:p>
    <w:p>
      <w:pPr>
        <w:numPr>
          <w:numId w:val="4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Should some or all of Hi-Seas' allegations against Boelman be dismissed under Rule 18(6) because there is no merit to all or some of those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May 27, 1997, Trimex Shipping Ltd. ("Trimex"), a Barbados company of which Boelman was one of three directors and shareholders, entered into a Charterparty Agreement (the "Charterparty") with Hi-Seas, a Belize company, for the use of the Vessel in Mexico for an intended period of fifteen months scheduled to commence in late June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Well prior to Trimex entering into the Charterparty with Hi-Seas, Boelman had incorporated Trinav, a British Columbia company, to carry on business as a shipbroker and shipping agent. Unlike the situation with Trimex, Boelman was the sole shareholder and director of Trinav and it maintained different banking arrangements than Trimex and also had separate legal counsel.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Vessel was not delivered on time by Hi-Seas to Trimex as had been agreed in the Charterparty. Trimex was then required to make more costly alternative arrangements to satisfy its charter obligations in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It also became obvious to both Hi-Seas and Trimex that the Vessel was in less sound mechanical condition than had been anticipated. Further, Hi-Seas lacked the financial wherewithal to remedy the Vessel's many mechanical problems, extricate it from its previous hire in Korea, pay its captain and crew, and deliver it to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Faced with those problems and needing the Vessel to fulfil its own obligations in Mexico, Trimex advanced funds to Hi-Seas and also paid funds directly to third parties on behalf of Hi-Seas to pay its outstanding debts related to the Vessel, including crew costs, transportation costs, and costs to have the Vessel 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Although the total amount advanced by Trimex to or on behalf of Hi-Seas is somewhat disputed, on August 6, 1997, Hi-Seas executed a Collateral Marine Mortgage (the "Mortgage") over the Vessel to secure repayment of its indebtedness to Trimex in an amount not exceeding $175,000.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Clause 1.3 of the Mortgage provided for a right of set-off by which Trimex was entitled to deduct $1,000 per day from the payments otherwise due to Hi-Seas under the Charterparty for each day that the amounts owed to it by Hi-Seas were outstanding.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August 9, 1997, the Vessel was finally delivered to Mexico and completed one voyage. However, on its second voyage in late August the Vessel's engine caught fire. The Vessel then had to be towed to harbour for repair and since Hi-Seas was again financially unable to rectify the situation, Trimex was required to pay for the necessary towing and repairs.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face amount of the Mortgage was eventually increased to $200,000. However, given the amount of prior secured debt registered against the title to the Vessel, Trimex was, in effect, a wholly unsecured creditor for all of its advances to or on behalf of Hi-Seas.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Trimex and those to whom it chartered the Vessel eventually became very concerned about potential liability to third parties for the work Trimex and the charterers were undertaking by effectively managing the Vessel because of Hi-Seas' non-performance under the Charterparty. Trimex wanted to ensure that decisions that had to be made concerning the Vessel and the Charterparty were agreed to in writing by Hi-Seas and could be made in a timely manner. Trimex also wanted assurances assuming that any monies owing to Hi-Seas from Trimex pursuant to the Charterparty were first used to pay off-set debts owed to it by Hi-Seas since that was the only realistic source of repayment of those substantial debts to Trimex.</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Accordingly, on September 26, 1997, Hi-Seas (as the "Owner" of the Vessel) and Trinav (as the "Manager" of the Vessel) entered into the Vessel Management Agreement. Prior to its execution, Trinav and Hi-Seas each obtained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its recitals the Vessel Management Agreement provides: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[Hi-Seas] is currently unable, due to financial difficulties, to continue to properly man and perform the maintenance and repairs to the tug named "PACIFIC CHALLENGE", details of which are set out in Appendix "A" to this Agreement (the "Vessel") and which is the subject of the charterparty (the "Charterparty") between the Owner and Trimex Shipping Ltd. of Bridgetown, Barbados ("Trimex"), so as to render the Vessel fit for the purposes intended under the Charterparty;</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As a result of the circumstances stated in Recital A to this Agreement, Trimex has been prevented by the Owner from fulfilling Trimex's contractual obligations to third parties;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Manager [Trinav] is, subject to the terms and conditions contained in this Agreement, willing to manage the Vessel on behalf of the Owner;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is willing, at its own risk and for the duration of the Charterparty, to permit the Manager to exclusively manage the Vessel without any interference from or further consultation with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Vessel Management Agreement also delineates the following substantive provisions concerning the obligations of Hi-Seas and limitations on the obligations and responsibilities of Trinav that are of significance to the issues to be decided in this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w:t>
      </w:r>
      <w:r>
        <w:rPr>
          <w:rFonts w:ascii="arial" w:eastAsia="arial" w:hAnsi="arial" w:cs="arial"/>
          <w:color w:val="000000"/>
          <w:sz w:val="20"/>
          <w:u w:val="single"/>
          <w:lang w:val="en-US" w:eastAsia="en-US" w:bidi="ar-SA"/>
        </w:rPr>
        <w:t>The Owner's Obligations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2.1 The Owner hereby acknowledges and agrees that:</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does not have the financial capacity and the trade contacts necessary to properly man, maintain and repair the Vessel to the degree required to enable her to perform in accordance with the terms of the Charterparty;</w:t>
      </w:r>
    </w:p>
    <w:p>
      <w:pPr>
        <w:numPr>
          <w:numId w:val="3"/>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As of the date of this Agreement, the Owner owes unpaid back wages (the "Unpaid Wages") to the following crew members who are employed by the Owner:</w:t>
      </w:r>
    </w:p>
    <w:p>
      <w:pPr>
        <w:numPr>
          <w:numId w:val="4"/>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Captain Rod Georgison;</w:t>
      </w:r>
    </w:p>
    <w:p>
      <w:pPr>
        <w:numPr>
          <w:numId w:val="5"/>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Captain Arthur Reeves; and</w:t>
      </w:r>
    </w:p>
    <w:p>
      <w:pPr>
        <w:numPr>
          <w:numId w:val="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Chief Engineer Nikolai Timoshkin.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alone, shall, at all times, remain responsible for the Unpaid Wages; and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Manager shall not, under any circumstances and at any time, be responsible for paying any Unpaid Wages from Hire Funds or otherwise.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2.2 The Owner hereby agrees that:</w:t>
      </w:r>
    </w:p>
    <w:p>
      <w:pPr>
        <w:numPr>
          <w:numId w:val="9"/>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the Manager hires any crew members to man the Vessel (the "Crew Members"), the Crew Members shall, at all times and under all circumstances, be and remain the employees of the Owner and shall, at no times and under no circumstances, be or be deemed to be the employees of the Manager.</w:t>
      </w:r>
    </w:p>
    <w:p>
      <w:pPr>
        <w:numPr>
          <w:numId w:val="9"/>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alone, shall, at all times, remain responsible for:</w:t>
      </w:r>
    </w:p>
    <w:p>
      <w:pPr>
        <w:numPr>
          <w:numId w:val="1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debts, liabilities, obligations and unpaid crew wages incurred by the Owner, whether prior to or after the effective date of this Agreement; and</w:t>
      </w:r>
    </w:p>
    <w:p>
      <w:pPr>
        <w:numPr>
          <w:numId w:val="11"/>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Any and all Management Expenses (including, but not limited to, any unpaid Crew Member wages) incurred by the Manager pursuant to this Agreement, where the Manager is unable to pay for any Management Expenses due to insufficient Hire Funds having been provided to the Manager under this Agreement to cover all Management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 hereby authorizes the Manager to manage the Vessel as the Manager, in its absolute discretion, sees fit (the "Management Services").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2.4</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 hereby agrees not to interfere, in any way and under any circumstances at any time during the term of the Charterparty, with the management of the Vessel by the Manager.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2.5</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 hereby agrees that the Manager shall not be required to consult with the Owner or provide any reports or notifications to the Owner with regard to the Management Services unless the Manager, in its absolute discretion, chooses to do so.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Without restricting the generality of the definition given to the words "Management Services" under Section 2.3 of this Agreement, Management Services may include, but may not be limited to, the following: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Crewing obtained on behalf of the Owner;</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Arranging for the supply of necessary stores, fresh water and lubricating oil;</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Arranging for maintenance of the Vessel on behalf of the Owner;</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Arranging for repairs to the Vessel on behalf of the Owner; and</w:t>
      </w:r>
    </w:p>
    <w:p>
      <w:pPr>
        <w:numPr>
          <w:numId w:val="12"/>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Arranging for the provision and installation of replacement parts for the Vessel on behalf of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the Manager provides crewing to the Vessel on behalf of the Owner, the Owner hereby agrees that, not withstanding any legal requirements to the contrary, the Manager: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May, on behalf of the Owner, hire crew members of any nationality;</w:t>
      </w:r>
    </w:p>
    <w:p>
      <w:pPr>
        <w:numPr>
          <w:numId w:val="1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not be restricted to hiring, on behalf of the Owner, only Canadians or persons holding Canadian landed immigrant status to serve as crew on the Vessel;</w:t>
      </w:r>
    </w:p>
    <w:p>
      <w:pPr>
        <w:numPr>
          <w:numId w:val="14"/>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Shall not be liable for any fines, penalties or the loss of the Vessel's Canadian Flag or other privilege which may occur as a result of the Manager's failure to hire, on behalf of the Owner, only Canadians or persons holding Canadian landed immigrant status to serve as crew on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 hereby agrees to provide, prior to the execution of this Agreement, the Manager with: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written authorization and instruction, from the Owner to Trimex, authorizing and instructing Trimex to pay out to the Manager any due and owing hire (net of any deductions made in accordance with the terms of the Charterparty and the mortgage agreement between the Owner and Trimex) under the Charterparty (the "Hire Funds");</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documents (including, but not limited to, licences, permits and certificates), plans, manuals, class survey reports and certificates, and insurance policies pertaining to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 hereby acknowledges and agrees that the Manager shall not, at any time and under any circumstances and notwithstanding any other provision of this Agreement, be responsible or liable for demanding payment of or collecting the Hire Funds from Trimex.</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 hereby authorizes the Manager, in its absolute discretion, to use the Hire Funds, on behalf of the Owner, to pay for expenses incurred by the Manager on behalf of the Owner as a result of or in connection with the provision of Management Services (the "Management Expenses").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at any time during the term of this Agreement, the Hire Funds are insufficient to pay for all Management Expenses incurred by the Manager: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hereby undertakes and agrees to reimburse any outstanding amount to the Manager, upon first request; and</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Manager shall be entitled, where the Manager, in its absolute discretion, chooses not to make any or some requests for payment under Section 2.11(a) of this Agreement or has not received payment despite the making of such request, to pay itself, from any future Hire Funds paid out to the Manager, for any unreimbursed Management Expenses incurred by the Manager but not yet reimbursed to the Manager by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addition, the Vessel Management Agreement provides a limitation of liability and an indemnity by Hi-Seas in the following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4.1</w:t>
            </w:r>
          </w:p>
        </w:tc>
        <w:tc>
          <w:tcPr>
            <w:tcW w:w="307"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Owner hereby agrees that, notwithstanding any other provision contained in this Agreement, the Manager, its directors, officers, employees, contractors, subcontractors and agents shall be under no liability whatsoever to the Owner, whether in tort,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contract or otherwise, for any loss, damage, delay or expense of whatsoever nature, whether direct or indirect (including but not limited to loss of profit arising out of or in connection with detention of or delay to the Vessel) and howsoever arising in the course of the performance of the Management Services.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4.2</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Notwithstanding any other provision contained in this Agreement, the Owner hereby undertakes to keep the Manager, its directors, officers, employees, contractors, subcontractors and agents indemnified and to hold them harmless from and against all actions, proceedings, suits, claims (including, but not limited to, any claims for Unpaid Wages), demands, liabilities, damages, arbitration awards, costs (including, but not limited to, legal costs and disbursements on a full indemnity basis), expenses, penalties and fines arising out of or in connection with, directly or indirectly and whether in tort, </w:t>
            </w:r>
            <w:r>
              <w:rPr>
                <w:rFonts w:ascii="arial" w:eastAsia="arial" w:hAnsi="arial" w:cs="arial"/>
                <w:b/>
                <w:i/>
                <w:color w:val="000000"/>
                <w:sz w:val="18"/>
                <w:u w:val="single"/>
                <w:lang w:val="en-US" w:eastAsia="en-US" w:bidi="ar-SA"/>
              </w:rPr>
              <w:t>negligence</w:t>
            </w:r>
            <w:r>
              <w:rPr>
                <w:rFonts w:ascii="arial" w:eastAsia="arial" w:hAnsi="arial" w:cs="arial"/>
                <w:color w:val="000000"/>
                <w:sz w:val="18"/>
                <w:lang w:val="en-US" w:eastAsia="en-US" w:bidi="ar-SA"/>
              </w:rPr>
              <w:t>, contract or otherwise, the performance of this Agreement which may, at any time, be brought or claimed against them or incurred or suffered by them or assessed against them, directly or indirectly.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Further disputes arose between Trinav and Hi-Seas concerning the use and management of the Vessel when Trinav returned the Vessel into service under the Vessel Management Agreement and the Charterparty under the control of a Mexican captain.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Captain Rodney Georgison ("Georgison"), one of the principals of Hi-Seas (who had previously at times been the captain of the Vessel) went to Mexico to attempt to re-take possession of it. However, Trinav hid the Vessel from Georgison notwithstanding that Georgison had obtained a Mexican court order for its possession.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Eventually, however, Georgison's order was overturned by the Mexican court and Trinav continued in possession and control of the Vessel until returning it to Hi-Seas in July 1998.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Arbitration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Clause 7.1 of the Vessel Management Agreement provides that "This Agreement shall be governed by and construed in accordance with the laws of the Province of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Clause 7.3 provides that disputes "arising out of or connected with" the Vessel Management Agreement are to be "referred to and finally resolved by arbitration in Vancouver, B.C., Canada under the Rules of the Vancouver Maritime Arbitration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April 1998, Hi-Seas commenced Arbitration proceedings against Trinav while the Vessel continued to work in Mexico. It did so until July 1998 when Trinav re-delivered it to Georgison in Mexico.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Vessel was then eventually moved to Canada where it was arrested by a creditor/mortgagee. It still remains under that arrest.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When Trinav re-delivered the Vessel to Hi-Seas, Hi-Seas converted its claim advanced against Trinav in the Arbitration to claims for damages for conversion or detinue, an accounting of all monies received by Trinav, damages for breaches of the Vessel Management Agreement,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 response, Trinav sought a declaration that the Vessel Management Agreement was valid and enforceable and that its terms prohibited Hi-Seas from the recovery of any damages. Trinav also counterclaimed for the balance of the payments it allegedly made to Trimex on behalf of Hi-Seas.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Hi-Seas' "Answer and Reply to [Trinav's] Counterclaim" in the Arbitration gave rise to procedural and substantive challenges before the arbitrators appointed pursuant to the Vessel Management Agreement (the "Arbitration Panel"). In order to put those challenges and their impact upon this present litigation against Boelman in perspective, it is necessary to set forth that pleading in its totality. It stated:</w:t>
      </w:r>
      <w:r>
        <w:rPr>
          <w:rFonts w:ascii="arial" w:eastAsia="arial" w:hAnsi="arial" w:cs="arial"/>
          <w:sz w:val="20"/>
          <w:lang w:val="en-US" w:eastAsia="en-US" w:bidi="ar-SA"/>
        </w:rPr>
        <w:cr/>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first 64 paragraphs of the Respondent's [Trinav's] Reply are an improper characterization of the background to the Vessel Management Agreement and unless specifically admitted, the Claimant [Hi-Seas] denies each and every allegation contained therein. The argument of evidence is inappropriate to pleadings and demonstrates a clear attempt to deflect attention from the true issue in this arbitration which is the responsibility of the Respondent, Trinav, and its principal Willem Boelman to pay over all hire monies due and owing to the Claimant.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Respondent Trinav, represented by Willem Boelman, was the agent for the Claimant in respect of the management of the vessel and receipt of monies for the hire of that vessel</w:t>
      </w:r>
      <w:r>
        <w:rPr>
          <w:rFonts w:ascii="arial" w:eastAsia="arial" w:hAnsi="arial" w:cs="arial"/>
          <w:color w:val="000000"/>
          <w:sz w:val="20"/>
          <w:lang w:val="en-US" w:eastAsia="en-US" w:bidi="ar-SA"/>
        </w:rPr>
        <w:t>. By failing to account for or pay any monies owing to the Claimant, the Respondent is in breach of fiduciary obligations to the Claimant.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Under Clause 2.8 of the Vessel Management Agreement the Respondent received a written authorization from the Claimant for all hire funds for the vessel to be paid directly from Trimex Shipping Ltd. to the Respondent.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Willem Boelman received the benefit of more than $500,000 (US) for the hire of the vessel and has refused to pay over any monies to the Claimant or provide an accounting</w:t>
      </w:r>
      <w:r>
        <w:rPr>
          <w:rFonts w:ascii="arial" w:eastAsia="arial" w:hAnsi="arial" w:cs="arial"/>
          <w:color w:val="000000"/>
          <w:sz w:val="20"/>
          <w:lang w:val="en-US" w:eastAsia="en-US" w:bidi="ar-SA"/>
        </w:rPr>
        <w: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Claimant was at the mercy of and vulnerable to the exercise of discretion by the Respondent to whom the Claimant had trusted its vessel for management. </w:t>
      </w:r>
      <w:r>
        <w:rPr>
          <w:rFonts w:ascii="arial" w:eastAsia="arial" w:hAnsi="arial" w:cs="arial"/>
          <w:color w:val="000000"/>
          <w:sz w:val="20"/>
          <w:u w:val="single"/>
          <w:lang w:val="en-US" w:eastAsia="en-US" w:bidi="ar-SA"/>
        </w:rPr>
        <w:t>Under the law of British Columbia Willem Boelman and the Respondent owed duties of loyalty, good faith and honesty to the Claimant to protect the interests of the Claimant</w:t>
      </w:r>
      <w:r>
        <w:rPr>
          <w:rFonts w:ascii="arial" w:eastAsia="arial" w:hAnsi="arial" w:cs="arial"/>
          <w:color w:val="000000"/>
          <w:sz w:val="20"/>
          <w:lang w:val="en-US" w:eastAsia="en-US" w:bidi="ar-SA"/>
        </w:rPr>
        <w: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The Respondent Trinav and Willem Boelman were in a conflict of interest</w:t>
      </w:r>
      <w:r>
        <w:rPr>
          <w:rFonts w:ascii="arial" w:eastAsia="arial" w:hAnsi="arial" w:cs="arial"/>
          <w:color w:val="000000"/>
          <w:sz w:val="20"/>
          <w:lang w:val="en-US" w:eastAsia="en-US" w:bidi="ar-SA"/>
        </w:rPr>
        <w:t xml:space="preserve"> by virtue of the Respondent acting as agent for charterers and owners at the same time as well as Willem Boelman having a financial interest in the charterer Trimex Shipping Ltd.</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paragraphs 63 to 92 of the Respondent's Reply and Counterclaim, the Respondent relies upon various clauses of the Vessel Management Agreement dated September 26, 1997 to avoid any and all responsibility to perform any service for, act in the best interest of or be accountable to the Claimant. In particular the Respondent in paragraphs 65, 69, 72 and 73 maintains that under Clause 4.0 of the Vessel Management Agreement it is not legally accountable for any failure of performance under the Vessel Management Agreement. Under paragraphs 68 and 70 of the Reply, the Respondent relies upon contractual provisions granting absolute discretion to manage the vessel (Clause 2.3) and absolute discretion to use the hire funds (Clause 2.10) to avoid any legal obligation to act in good faith and in the best interests of the Claimant. In paragraph 71, the Respondent seeks to rely upon Clause 2.5 of the Vessel Management Agreement to avoid the Respondent's legal and equitable obligation to account for monies owing to the Claimant.</w:t>
      </w:r>
    </w:p>
    <w:p>
      <w:pPr>
        <w:numPr>
          <w:numId w:val="19"/>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laws of British Columbia prohibit unjust enrichment and impose a constructive trust on monies or benefits received by a fiduciary. Fiduciaries cannot by contract exempt themselves for liability for fraud, bad faith and wilful default. In any event, the Respondent is precluded from relying upon the contractual terms pleaded in the Reply and Counterclaim for a number of reasons in law including:</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to interpret the terms of the Vessel Management Agreement as maintained by the Respondent would mean that the Respondent owed no legal duties to the Claimant whatsoever under the Vessel Management Agreement and thus the Vessel Management Agreement fails for lack of any consideration flowing from the Respondent to the Claimant as necessary to form a valid contract;</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Vessel Management Agreement was entered into under duress and undue influence and the terms relied upon by the Respondent are unconscionable and unenforceable at common law and under the </w:t>
      </w:r>
      <w:r>
        <w:rPr>
          <w:rFonts w:ascii="arial" w:eastAsia="arial" w:hAnsi="arial" w:cs="arial"/>
          <w:i/>
          <w:color w:val="000000"/>
          <w:sz w:val="20"/>
          <w:lang w:val="en-US" w:eastAsia="en-US" w:bidi="ar-SA"/>
        </w:rPr>
        <w:t>Trade Practice Act</w:t>
      </w:r>
      <w:r>
        <w:rPr>
          <w:rFonts w:ascii="arial" w:eastAsia="arial" w:hAnsi="arial" w:cs="arial"/>
          <w:color w:val="000000"/>
          <w:sz w:val="20"/>
          <w:lang w:val="en-US" w:eastAsia="en-US" w:bidi="ar-SA"/>
        </w:rPr>
        <w:t xml:space="preserve"> of British Columbia, R.S.B.C. Ch. 457, s. 4;</w:t>
      </w:r>
    </w:p>
    <w:p>
      <w:pPr>
        <w:numPr>
          <w:numId w:val="2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 Management Agreement does not, by its terms or otherwise, override the fiduciary and trust duty of the Respondent in acting as agent for the Claimant in the management of the vessel and dealing with hire payments.</w:t>
      </w:r>
    </w:p>
    <w:p>
      <w:pPr>
        <w:numPr>
          <w:numId w:val="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paragraph 73 of the Reply, the Respondent states that they alone were entitled to terminate the contract and that the Claimant's only remedy is in damages. The Respondent then says that under Clause 4 of the Vessel Management Agreement they are exempt from a claim for damages. The Respondent however is not thereby relieved of its fiduciary duties and is liable for breach of fiduciary duty, equitable fraud, bad faith and wilful default.</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Willem Boelman and thus the Respondent are liable for his conflict of interest, unjust, enrichment, breach of fiduciary duty and equitable fraud</w:t>
      </w:r>
      <w:r>
        <w:rPr>
          <w:rFonts w:ascii="arial" w:eastAsia="arial" w:hAnsi="arial" w:cs="arial"/>
          <w:color w:val="000000"/>
          <w:sz w:val="20"/>
          <w:lang w:val="en-US" w:eastAsia="en-US" w:bidi="ar-SA"/>
        </w:rPr>
        <w:t xml:space="preserve">. The Respondent is accountable not only for hire funds which were received but also for hire payments which should have been received. </w:t>
      </w:r>
      <w:r>
        <w:rPr>
          <w:rFonts w:ascii="arial" w:eastAsia="arial" w:hAnsi="arial" w:cs="arial"/>
          <w:color w:val="000000"/>
          <w:sz w:val="20"/>
          <w:u w:val="single"/>
          <w:lang w:val="en-US" w:eastAsia="en-US" w:bidi="ar-SA"/>
        </w:rPr>
        <w:t>The unconscientious conduct of Willem Boelman makes the Respondent liable to account, and by his cavalier conduct, liable to pay punitive damages</w:t>
      </w:r>
      <w:r>
        <w:rPr>
          <w:rFonts w:ascii="arial" w:eastAsia="arial" w:hAnsi="arial" w:cs="arial"/>
          <w:color w:val="000000"/>
          <w:sz w:val="20"/>
          <w:lang w:val="en-US" w:eastAsia="en-US" w:bidi="ar-SA"/>
        </w:rPr>
        <w:t>.</w:t>
      </w:r>
    </w:p>
    <w:p>
      <w:pPr>
        <w:numPr>
          <w:numId w:val="23"/>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Equitable principles hold the Respondent to account for the enrichment of Willem Boelman. Failure of the Respondent to collect, account for and pay over all vessel hire due and owing enriched Willem Boelman as principal of Trimex Shipping Ltd. and the Respondent is liable for such enrichment up to the time the vessel was returned to the Claimant</w:t>
      </w:r>
      <w:r>
        <w:rPr>
          <w:rFonts w:ascii="arial" w:eastAsia="arial" w:hAnsi="arial" w:cs="arial"/>
          <w:color w:val="000000"/>
          <w:sz w:val="20"/>
          <w:lang w:val="en-US" w:eastAsia="en-US" w:bidi="ar-SA"/>
        </w:rPr>
        <w:t>.</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Claimant seeks an order for equitable compensation in an amount approximating $350,000 (US) for unpaid hire, the exact amount of which cannot be ascertained because of the continuing refusal of the Respondent to provide any accounting. In addition the Claimant seeks punitive damages as well as costs including arbitration fees, expenses and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In response, Trinav filed an Answer to Hi-Seas' Answer to Trinav's Reply and Counterclaim in the Arbitration. It is again necessary to repeat the whole of that pleading. It stated:</w:t>
      </w:r>
      <w:r>
        <w:rPr>
          <w:rFonts w:ascii="arial" w:eastAsia="arial" w:hAnsi="arial" w:cs="arial"/>
          <w:sz w:val="20"/>
          <w:lang w:val="en-US" w:eastAsia="en-US" w:bidi="ar-SA"/>
        </w:rPr>
        <w:cr/>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Respondent [Trinav] denies each and every allegation of fact contained in the Claimant's [Hi-Seas'] Answer.</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Claimant's Answer does not constitute a Reply to the Respondent's Response to the Claimant's Points of Claim nor is it an Answer to the Respondent's Counterclaim. Instead, it is a new set of allegations and claims for damages which are advanced out of time and inappropriately. They are out of time because they should have been advanced, if at all, within the time frame set out in the VMMA Rules. </w:t>
      </w:r>
      <w:r>
        <w:rPr>
          <w:rFonts w:ascii="arial" w:eastAsia="arial" w:hAnsi="arial" w:cs="arial"/>
          <w:color w:val="000000"/>
          <w:sz w:val="20"/>
          <w:u w:val="single"/>
          <w:lang w:val="en-US" w:eastAsia="en-US" w:bidi="ar-SA"/>
        </w:rPr>
        <w:t>They are inappropriate because first, many of the new allegations are made against Mr. Willem Boelman personally and Mr. Boelman is not nor could he be a party to the arbitration since he is not a party to the Management Agreement which is the subject of the Arbitration and second, because the new allegations concern issues which are outside the scope of the Management Agreement which is the basis for the arbitration</w:t>
      </w:r>
      <w:r>
        <w:rPr>
          <w:rFonts w:ascii="arial" w:eastAsia="arial" w:hAnsi="arial" w:cs="arial"/>
          <w:color w:val="000000"/>
          <w:sz w:val="20"/>
          <w:lang w:val="en-US" w:eastAsia="en-US" w:bidi="ar-SA"/>
        </w:rPr>
        <w:t>. Many of the new allegations and claims are matters which arise out of the Charterparty between Hi-Seas and Trimex, and are not pertinent to or arbitrable under this reference.</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Accordingly, the Respondent says that the receipt of this submission should be rejected by the Arbitrators as being out of time and inappropriate and that the Claimant should be required to pay the solicitor and own client costs of the Respondent as a result of the filing of this document.</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alternative, the Respondent says that the relationship between the Claimant and the Respondent is set out in the Management Agreement negotiated freely between the parties and that any allegation of breach of duty must be considered in relation to the obligations and responsibilities agreed to and assumed under the terms of that contract and the Respondent denies that it is in breach of any duties, contractual or otherwise, as alleged by the Claimant or at all.</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further alternative, the Respondent says that the Claimant's allegations are an attempt to circumvent an arbitration process arising out of the Charterparty between Hi-Seas and the Claimant knows full well that Trimex, pursuant to the terms of that Charterparty, was entitled before paying hire to deduct payments properly made for the care and maintenance of the vessel and says that the Claimant's allegations for payment of vast sums of unpaid hire are not only untenable in fact and in law, but are claims which ought to be made pursuant to the arbitration provisions of the Charterparty and not pursuant to the Management Agreement which is the subject of this arbitration.</w:t>
      </w:r>
    </w:p>
    <w:p>
      <w:pPr>
        <w:numPr>
          <w:numId w:val="25"/>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further response to the whole of the Claimant's Answer, the Respondent says that the scurrilous, vexatious and unsubstantiated allegations of the Claimant should be dismissed with solicitor and own client costs throughout, including full costs of arbitration expense and legal fees.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addition to filing that Answer, Trinav brought a pre-hearing application before the Arbitration Panel seeking to strike out the pleadings contained in Hi-Seas' Answer to Trinav's Reply and Counterclaim in the Arbitration. That application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Unfortunately there is no transcript of any arguments advanced by the parties on that application or any record of any reasons given by the Arbitration Panel for dismissing Trinav's application. However, following the dismissal, then counsel for Trinav wrote to counsel for Hi-Seas on December 23, 1998,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Further to the hearing before the Arbitration Panel on December 1, 1998, </w:t>
      </w:r>
      <w:r>
        <w:rPr>
          <w:rFonts w:ascii="arial" w:eastAsia="arial" w:hAnsi="arial" w:cs="arial"/>
          <w:color w:val="000000"/>
          <w:sz w:val="20"/>
          <w:u w:val="single"/>
          <w:lang w:val="en-US" w:eastAsia="en-US" w:bidi="ar-SA"/>
        </w:rPr>
        <w:t>in which the Arbitration Panel refused to dismiss the allegations of equitable fraud, unjust enrichment, wilful default, bad faith, breach of fiduciary duty and claims against Trimex Shipping Ltd. and Willem Boelman contained in the Claimant's Answer to Respondent's Reply and Counterclaim and thereby decided to exercise jurisdiction over these issues</w:t>
      </w:r>
      <w:r>
        <w:rPr>
          <w:rFonts w:ascii="arial" w:eastAsia="arial" w:hAnsi="arial" w:cs="arial"/>
          <w:color w:val="000000"/>
          <w:sz w:val="20"/>
          <w:lang w:val="en-US" w:eastAsia="en-US" w:bidi="ar-SA"/>
        </w:rPr>
        <w:t xml:space="preserve">, we advise that we intend [to] apply to Court pursuant to s. 16 of the </w:t>
      </w:r>
      <w:r>
        <w:rPr>
          <w:rFonts w:ascii="arial" w:eastAsia="arial" w:hAnsi="arial" w:cs="arial"/>
          <w:i/>
          <w:color w:val="000000"/>
          <w:sz w:val="20"/>
          <w:lang w:val="en-US" w:eastAsia="en-US" w:bidi="ar-SA"/>
        </w:rPr>
        <w:t>International Commercial Arbitration Act</w:t>
      </w:r>
      <w:r>
        <w:rPr>
          <w:rFonts w:ascii="arial" w:eastAsia="arial" w:hAnsi="arial" w:cs="arial"/>
          <w:color w:val="000000"/>
          <w:sz w:val="20"/>
          <w:lang w:val="en-US" w:eastAsia="en-US" w:bidi="ar-SA"/>
        </w:rPr>
        <w:t xml:space="preserve"> for an Order that the Arbitration Panel has no jurisdiction to deal with the matters raised in the Claimant's Answer to Respondent's Reply and Counterclaim, </w:t>
      </w:r>
      <w:r>
        <w:rPr>
          <w:rFonts w:ascii="arial" w:eastAsia="arial" w:hAnsi="arial" w:cs="arial"/>
          <w:color w:val="000000"/>
          <w:sz w:val="20"/>
          <w:u w:val="single"/>
          <w:lang w:val="en-US" w:eastAsia="en-US" w:bidi="ar-SA"/>
        </w:rPr>
        <w:t>specifically those issues relating to equitable fraud, unjust enrichment, wilful default, bad faith, breach of fiduciary duty and claims against Trimex Shipping Ltd. and Willem Boelman</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advise by return whether your client will consent to the withdrawal from consideration by the Arbitration Panel of the allegations specified above and contained in the Claimant's Answer to Respondent's Reply and Counterclaim.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Hi-Seas did not agree to withdraw its allegations.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Although Trinav's then counsel did file a petition in this Court seeking a review of the Arbitration Panel's dismissal of Trinav's application to strike Hi-Seas' pleadings, that petition was never heard.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Due to the lack of availability of his counsel, Boelman was not represented when the Arbitration commenced on February 15, 1999. He did not, however, make any adjournment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Boelman has sworn in these proceedings that he provided an accounting concerning the management of the Vessel and has also sworn that notwithstanding his objection to being cross-examined related to Trimex or himself, he was required to respond with his objections being noted by the Arbitration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After five days of evidence as well as written and oral submissions, the Arbitration Panel delivered its award in writing.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Arbitration Award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Arbitration Award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We, Peter Brown, Daryl Raibl and Brian W. Wasson having been duly appointed as the arbitration panel or tribunal to hear the controversy existing between Hi-Seas Marine Ltd. and Trinav Shipping (Canada) Ltd., all having heard all of the allegations and proofs of the disputants and after due deliberation do hereby determine and award as follows. In doing so we would have the record state that the Tribunal was unanimous in its findings.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Counsel for the claimant argued ably and forcefully that the terms of the Vessel Management Agreement create a fiduciary relationship between Hi-Seas as principal and Trinav as its contractually appointed agent that demanded the utmost good faith and fair dealing on the part of Trinav</w:t>
      </w:r>
      <w:r>
        <w:rPr>
          <w:rFonts w:ascii="arial" w:eastAsia="arial" w:hAnsi="arial" w:cs="arial"/>
          <w:color w:val="000000"/>
          <w:sz w:val="20"/>
          <w:lang w:val="en-US" w:eastAsia="en-US" w:bidi="ar-SA"/>
        </w:rPr>
        <w:t xml:space="preserve">. He supported his position with authorities which traced the evolution of the doctrines of fiduciary duty and restitution up to its contemporary applications. </w:t>
      </w:r>
      <w:r>
        <w:rPr>
          <w:rFonts w:ascii="arial" w:eastAsia="arial" w:hAnsi="arial" w:cs="arial"/>
          <w:color w:val="000000"/>
          <w:sz w:val="20"/>
          <w:u w:val="single"/>
          <w:lang w:val="en-US" w:eastAsia="en-US" w:bidi="ar-SA"/>
        </w:rPr>
        <w:t>Without being specific on his reasons the representative of the Respondent stated that this was not a relationship where a fiduciary duty arose, and if it did, Trinav was freed of that duty under the wording of the Agreement itself</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Based on the authorities cited by the Claimant's counsel, the Tribunal accepts the position that an agent has fundamental duties to his principal arising from the agency relationship. Probably the most important of these duties, in the context of this dispute is a duty at law and in equity for the agent to account to his principal for the disposition of any money the agent acquires on behalf of his principal, or has been suggested, should have acquired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this respect, the Respondent has misunderstood the </w:t>
      </w:r>
      <w:r>
        <w:rPr>
          <w:rFonts w:ascii="arial" w:eastAsia="arial" w:hAnsi="arial" w:cs="arial"/>
          <w:i/>
          <w:color w:val="000000"/>
          <w:sz w:val="20"/>
          <w:lang w:val="en-US" w:eastAsia="en-US" w:bidi="ar-SA"/>
        </w:rPr>
        <w:t>Yasuda</w:t>
      </w:r>
      <w:r>
        <w:rPr>
          <w:rFonts w:ascii="arial" w:eastAsia="arial" w:hAnsi="arial" w:cs="arial"/>
          <w:color w:val="000000"/>
          <w:sz w:val="20"/>
          <w:lang w:val="en-US" w:eastAsia="en-US" w:bidi="ar-SA"/>
        </w:rPr>
        <w:t xml:space="preserve"> decision (</w:t>
      </w:r>
      <w:r>
        <w:rPr>
          <w:rFonts w:ascii="arial" w:eastAsia="arial" w:hAnsi="arial" w:cs="arial"/>
          <w:i/>
          <w:color w:val="000000"/>
          <w:sz w:val="20"/>
          <w:lang w:val="en-US" w:eastAsia="en-US" w:bidi="ar-SA"/>
        </w:rPr>
        <w:t>Yasuda Fire and Marine Insurance Co. of Europe v. Orion Marine Insurance Underwriting Agency Ltd</w:t>
      </w:r>
      <w:r>
        <w:rPr>
          <w:rFonts w:ascii="arial" w:eastAsia="arial" w:hAnsi="arial" w:cs="arial"/>
          <w:color w:val="000000"/>
          <w:sz w:val="20"/>
          <w:lang w:val="en-US" w:eastAsia="en-US" w:bidi="ar-SA"/>
        </w:rPr>
        <w:t xml:space="preserve">., [1995] 3 All E.R. 211). At p. 221 </w:t>
      </w:r>
      <w:r>
        <w:rPr>
          <w:rFonts w:ascii="arial" w:eastAsia="arial" w:hAnsi="arial" w:cs="arial"/>
          <w:color w:val="000000"/>
          <w:sz w:val="20"/>
          <w:u w:val="single"/>
          <w:lang w:val="en-US" w:eastAsia="en-US" w:bidi="ar-SA"/>
        </w:rPr>
        <w:t>the Court clearly states the principle that the agent has a duty to account to the principal irrespective of the existence of a contract, the agency relationship being sufficient to impose such a duty</w:t>
      </w:r>
      <w:r>
        <w:rPr>
          <w:rFonts w:ascii="arial" w:eastAsia="arial" w:hAnsi="arial" w:cs="arial"/>
          <w:color w:val="000000"/>
          <w:sz w:val="20"/>
          <w:lang w:val="en-US" w:eastAsia="en-US" w:bidi="ar-SA"/>
        </w:rPr>
        <w:t xml:space="preserve">. The decision makes it clear that the records of the agent's activities belong to the principal who can not be denied access. The parallel here to the </w:t>
      </w:r>
      <w:r>
        <w:rPr>
          <w:rFonts w:ascii="arial" w:eastAsia="arial" w:hAnsi="arial" w:cs="arial"/>
          <w:i/>
          <w:color w:val="000000"/>
          <w:sz w:val="20"/>
          <w:lang w:val="en-US" w:eastAsia="en-US" w:bidi="ar-SA"/>
        </w:rPr>
        <w:t>Yasuda</w:t>
      </w:r>
      <w:r>
        <w:rPr>
          <w:rFonts w:ascii="arial" w:eastAsia="arial" w:hAnsi="arial" w:cs="arial"/>
          <w:color w:val="000000"/>
          <w:sz w:val="20"/>
          <w:lang w:val="en-US" w:eastAsia="en-US" w:bidi="ar-SA"/>
        </w:rPr>
        <w:t xml:space="preserve"> case is Trinav's refusal to permit Hi-Seas access to its performance under the Vessel Management Agreement. </w:t>
      </w:r>
      <w:r>
        <w:rPr>
          <w:rFonts w:ascii="arial" w:eastAsia="arial" w:hAnsi="arial" w:cs="arial"/>
          <w:color w:val="000000"/>
          <w:sz w:val="20"/>
          <w:u w:val="single"/>
          <w:lang w:val="en-US" w:eastAsia="en-US" w:bidi="ar-SA"/>
        </w:rPr>
        <w:t xml:space="preserve">Indeed, in addition to endorsing the duty to account on the part of the agent, the </w:t>
      </w:r>
      <w:r>
        <w:rPr>
          <w:rFonts w:ascii="arial" w:eastAsia="arial" w:hAnsi="arial" w:cs="arial"/>
          <w:i/>
          <w:color w:val="000000"/>
          <w:sz w:val="20"/>
          <w:u w:val="single"/>
          <w:lang w:val="en-US" w:eastAsia="en-US" w:bidi="ar-SA"/>
        </w:rPr>
        <w:t>Yasuda</w:t>
      </w:r>
      <w:r>
        <w:rPr>
          <w:rFonts w:ascii="arial" w:eastAsia="arial" w:hAnsi="arial" w:cs="arial"/>
          <w:color w:val="000000"/>
          <w:sz w:val="20"/>
          <w:u w:val="single"/>
          <w:lang w:val="en-US" w:eastAsia="en-US" w:bidi="ar-SA"/>
        </w:rPr>
        <w:t xml:space="preserve"> case confirms the agent's duty of disclosure to the principal</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the evidence presented to the Tribunal by both the Claimant and the Respondent there are numerous examples where this duty of disclosure was not followed, ignored or actively resisted. Trimex apparently considered itself under no obligation under the charterparty and the Collateral Marine Agreement to account to Hi-Seas for the charter hire or the setoff of funds advanced on behalf of Hi-Seas. As counsel for the Claimant pointed out, it is questionable whether a larger number of the advances to or for Hi-Seas should have been secured by the mortgage account thus attracting interest initially at 10% per annum followed by 12% per annum. It is interesting to postulate the extent of the duty of Trinav to audit the accounting of the mortgage debt on behalf of its principal. Perhaps this is pushing Trinav's fiduciary duties too far for the period prior to the Vessel Management Agreement but once Trinav represented Hi-Seas in the administration of the charter party it should have been vigilant that only the expenses described in the Collateral Marine Agreement were added to the outstanding balance of the mortgage. The Tribunal recognizes that there are advances made by Trimex that are currently outstanding for which Trinav has a claim but these advances do not without concurrence by Hi-Seas carry the interest obligation under the Collateral Marine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u w:val="single"/>
          <w:lang w:val="en-US" w:eastAsia="en-US" w:bidi="ar-SA"/>
        </w:rPr>
        <w:t>There is another basic duty that an agent owes to his principal. Where the agent assumes the management and control of property on behalf of his principal, he must deal with the property as would a prudent owner; secure, repair and employ the property as a prudent owner</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One can sympathize with the frustration experienced by Trimex in its effort to have available an operating vessel to meet its barge towing obligations. Trimex suffered the delays, the ineptitude, the need to finance the vessel to keep it in service. These are however obligations Trimex assumed voluntarily. It attempted to secure its position with a mortgage and the [sic] replaced the owner with someone more cooperative to its objectives. </w:t>
      </w:r>
      <w:r>
        <w:rPr>
          <w:rFonts w:ascii="arial" w:eastAsia="arial" w:hAnsi="arial" w:cs="arial"/>
          <w:color w:val="000000"/>
          <w:sz w:val="20"/>
          <w:u w:val="single"/>
          <w:lang w:val="en-US" w:eastAsia="en-US" w:bidi="ar-SA"/>
        </w:rPr>
        <w:t>These efficiencies led to legal obligations on the part of Trinav as described above, obligations which were totally ignored. The Tribunal now has to assess the measure of Trinav's liability for failing to meet its obligations</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Tribunal finds that the Vessel Management Agreement was valid to create an agency relationship between Hi-Seas and Trinav and that the Agreement subsisted until its termination by notice from Trinav dated July 7, 1998. </w:t>
      </w:r>
      <w:r>
        <w:rPr>
          <w:rFonts w:ascii="arial" w:eastAsia="arial" w:hAnsi="arial" w:cs="arial"/>
          <w:color w:val="000000"/>
          <w:sz w:val="20"/>
          <w:u w:val="single"/>
          <w:lang w:val="en-US" w:eastAsia="en-US" w:bidi="ar-SA"/>
        </w:rPr>
        <w:t>Hi-Seas had consulted counsel as to its terms and effectiveness and in spite of the onerous terms it contained had entered into the relationship it proposed. Having said that the Tribunal has determined that in many respects the general legal principles referred to above override its terms and must be applied in assessing Trinav's conduct in the performance of the Agreement as a shield against a lack of performance of its duties as the agent of Hi-Seas</w:t>
      </w:r>
      <w:r>
        <w:rPr>
          <w:rFonts w:ascii="arial" w:eastAsia="arial" w:hAnsi="arial" w:cs="arial"/>
          <w:color w:val="000000"/>
          <w:sz w:val="20"/>
          <w:lang w:val="en-US" w:eastAsia="en-US" w:bidi="ar-SA"/>
        </w:rPr>
        <w:t>. The Tribunal finds Hi-Seas [sic] in substantial breach of these duties and has determined that Trinav should be held accountable for the shortfalls of its performance as an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Arbitration Award was broken down as follows:</w:t>
      </w:r>
      <w:r>
        <w:rPr>
          <w:rFonts w:ascii="arial" w:eastAsia="arial" w:hAnsi="arial" w:cs="arial"/>
          <w:sz w:val="20"/>
          <w:lang w:val="en-US" w:eastAsia="en-US" w:bidi="ar-SA"/>
        </w:rPr>
        <w:cr/>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$185,337 (USD) based upon the amount that should have been paid by Trimex to Hi-Seas under the Charterparty for its use of the Vessel for 303 days ($560,550) less the amounts agreed upon by Hi-Seas as being appropriately deductible from that gross amount;</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$37,844.42 (USD) and $23,108 (CAD) as "Past Damages";</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$15,486 (USD) for theft; and</w:t>
      </w:r>
    </w:p>
    <w:p>
      <w:pPr>
        <w:numPr>
          <w:numId w:val="2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$86,498 (USD) for "unrepaired damage" to the Vessel.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Trinav was also ordered to pay the "full costs for arbitration" calculated to be $18,941.11 (CAD).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a supplemental award, the Arbitration Panel ordered that Trinav pay Hi-Seas' legal costs of the Arbitration on a solicitor/client basis in the amount of $65,303.26 (CAD).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Hi-Seas' claims against Boelman in this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Arbitration Award and the supplemental award against Trinav remain unpaid.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On January 30, 2004, Hi-Seas filed its statement of claim in this action against Boelman in which it made the following substantive allegations against him:</w:t>
      </w:r>
      <w:r>
        <w:rPr>
          <w:rFonts w:ascii="arial" w:eastAsia="arial" w:hAnsi="arial" w:cs="arial"/>
          <w:sz w:val="20"/>
          <w:lang w:val="en-US" w:eastAsia="en-US" w:bidi="ar-SA"/>
        </w:rPr>
        <w:cr/>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agency, trust and fiduciary relationship created between Trinav and Hi-Seas under the Vessel Management Agreement required the utmost objectivity and good faith on the part of Trinav, including a duty not to compromise the interests of its principal, Hi-Seas.</w:t>
      </w:r>
    </w:p>
    <w:p>
      <w:pPr>
        <w:numPr>
          <w:numId w:val="2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fiduciary and trust obligations to Hi-Seas, Trinav did not protect the interests of Hi-Seas and did not manage the Vessel and hire funds to the benefit of Hi-Seas. Both Trinav and Trimex were directly controlled by the Defendant Boelman.</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breach of fiduciary and trust obligations Trinav denied the Plaintiff access to the Vessel and permitted the Vessel to deteriorate and suffer significant losses and damage.</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violation of fiduciary and trust obligations Trinav failed to account to Hi-Seas for monies received for the benefit of Hi-Seas.</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22nd day of March 1999 an arbitral tribunal appointed under the arbitration clause of Vessel Management Agreement made an award against Trinav in the amount of $325,465.82 US and $33,199.79 CDN for breach of fiduciary duty, failure to account for the disposition of money acquired on behalf of Hi-Seas and failure as agent to deal with property under its management and control in a prudent manner. In addition, the arbitral tribunal ordered that Trinav pay $65,303.26 CDN for solicitor and own client costs.</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 Boelman knowingly assisted Trinav in breach of trust and fiduciary duties, knowingly received monies obtained in breaches of trust and fiduciary duties, dishonestly induced a fiduciary to breach a trust and received trust property and dealt with that property in a manner that he knew to be inconsistent with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 intend to proceed by first addressing Boelman's submissions that this action should be dismissed by application of the principles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and abuse of process arising from the conduct of the Arbitration. I will then consider issues related to the use (if any) to which the transcript of the Arbitration and the Arbitration Award itself may now be put in these proceedings. Finally, I will rule on whether Boelman has established that Hi-Seas' claims against him must be dismissed under Rule 18 as disclosing no triable issue.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#1: Does Hi-Seas' failure to make Boelman a party to the Arbitration preclude it from now bringing this action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Boelman submits that, by operation of the principle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Hi-Seas' conduct as claimant in the Arbitration bars it from now maintaining this action against him. Alternatively, he submits that this proceeding constitutes an abuse of process as an attempt to now use the results of the Arbitration as the foundation of an award based upon alleged personal liability for corporate acts that it ought to have pursued against Boelman in the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two arguments are very much related and require consideration of not only whether the Arbitration Panel had any jurisdiction to make an award against Boelman as a non-party to the Vessel Management Agreement, but also whether the actions of both parties in relation to the pleadings filed in the Arbitration, and the conduct of the Arbitration itself, now preclude these proceedings against Boelman.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Briefly stated, the argument advanced by Boelman concerning these related abuse of process issues is that:</w:t>
      </w:r>
      <w:r>
        <w:rPr>
          <w:rFonts w:ascii="arial" w:eastAsia="arial" w:hAnsi="arial" w:cs="arial"/>
          <w:sz w:val="20"/>
          <w:lang w:val="en-US" w:eastAsia="en-US" w:bidi="ar-SA"/>
        </w:rPr>
        <w:cr/>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by reason of the decision of our Court of Appeal in </w:t>
      </w:r>
      <w:r>
        <w:rPr>
          <w:rFonts w:ascii="arial" w:eastAsia="arial" w:hAnsi="arial" w:cs="arial"/>
          <w:b/>
          <w:i/>
          <w:color w:val="000000"/>
          <w:sz w:val="20"/>
          <w:lang w:val="en-US" w:eastAsia="en-US" w:bidi="ar-SA"/>
        </w:rPr>
        <w:t>Pan Liberty Navigation Co. Ltd. v. World Link (H.K.) Resources Ltd.</w:t>
      </w:r>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(2005), 39 B.C.L.R. (4th) 370</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2005 BCCA 206</w:t>
        </w:r>
      </w:hyperlink>
      <w:r>
        <w:rPr>
          <w:rFonts w:ascii="arial" w:eastAsia="arial" w:hAnsi="arial" w:cs="arial"/>
          <w:color w:val="000000"/>
          <w:sz w:val="20"/>
          <w:lang w:val="en-US" w:eastAsia="en-US" w:bidi="ar-SA"/>
        </w:rPr>
        <w:t xml:space="preserve">, </w:t>
      </w:r>
      <w:hyperlink r:id="rId732" w:history="1">
        <w:r>
          <w:rPr>
            <w:rFonts w:ascii="arial" w:eastAsia="arial" w:hAnsi="arial" w:cs="arial"/>
            <w:i/>
            <w:color w:val="0077CC"/>
            <w:sz w:val="20"/>
            <w:u w:val="single"/>
            <w:shd w:val="clear" w:color="auto" w:fill="FFFFFF"/>
            <w:lang w:val="en-US" w:eastAsia="en-US" w:bidi="ar-SA"/>
          </w:rPr>
          <w:t>253 D.L.R. (4th) 461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Pan Liberty</w:t>
      </w:r>
      <w:r>
        <w:rPr>
          <w:rFonts w:ascii="arial" w:eastAsia="arial" w:hAnsi="arial" w:cs="arial"/>
          <w:color w:val="000000"/>
          <w:sz w:val="20"/>
          <w:lang w:val="en-US" w:eastAsia="en-US" w:bidi="ar-SA"/>
        </w:rPr>
        <w:t>] (which Mr. Cowper characterizes as an alter ego case like the one now advanced against Boelman), Hi-Seas was obligated to make Boelman a party to the Arbitration by reason of the claims advanced against him arising out of the Vessel Management Agreement; and</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that Hi-Seas did not specifically apply to join Boelman as a party to the Arbitration by advancing claims against him personally in that proceeding, its conduct in the Arbitration severely prejudiced him in the conduct of this litigation, especially given its present position that the findings of the Arbitration Panel and Boelman's testimony before it are determinative of his personal liability in this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response Mr. Smith, on behalf of Hi-Seas, submits that:</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based upon the Court of Appeal's decision in </w:t>
      </w:r>
      <w:r>
        <w:rPr>
          <w:rFonts w:ascii="arial" w:eastAsia="arial" w:hAnsi="arial" w:cs="arial"/>
          <w:b/>
          <w:i/>
          <w:color w:val="000000"/>
          <w:sz w:val="20"/>
          <w:lang w:val="en-US" w:eastAsia="en-US" w:bidi="ar-SA"/>
        </w:rPr>
        <w:t>Javor v. Francoeur</w:t>
      </w:r>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(2004), 25 B.C.L.R. (4th) 114</w:t>
        </w:r>
      </w:hyperlink>
      <w:r>
        <w:rPr>
          <w:rFonts w:ascii="arial" w:eastAsia="arial" w:hAnsi="arial" w:cs="arial"/>
          <w:color w:val="000000"/>
          <w:sz w:val="20"/>
          <w:lang w:val="en-US" w:eastAsia="en-US" w:bidi="ar-SA"/>
        </w:rPr>
        <w:t xml:space="preserve">, </w:t>
      </w:r>
      <w:hyperlink r:id="rId733" w:history="1">
        <w:r>
          <w:rPr>
            <w:rFonts w:ascii="arial" w:eastAsia="arial" w:hAnsi="arial" w:cs="arial"/>
            <w:i/>
            <w:color w:val="0077CC"/>
            <w:sz w:val="20"/>
            <w:u w:val="single"/>
            <w:shd w:val="clear" w:color="auto" w:fill="FFFFFF"/>
            <w:lang w:val="en-US" w:eastAsia="en-US" w:bidi="ar-SA"/>
          </w:rPr>
          <w:t>2004 BCCA 134</w:t>
        </w:r>
      </w:hyperlink>
      <w:r>
        <w:rPr>
          <w:rFonts w:ascii="arial" w:eastAsia="arial" w:hAnsi="arial" w:cs="arial"/>
          <w:color w:val="000000"/>
          <w:sz w:val="20"/>
          <w:lang w:val="en-US" w:eastAsia="en-US" w:bidi="ar-SA"/>
        </w:rPr>
        <w:t>, Boelman could not have been joined as a party in the Arbitration because he was not a signatory to the Vessel Management Agreement so that the claims against him had to be reserved to judicial determination; and</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Boelman is, in any event, estopped from asserting the position now advanced by reason of the positions taken by him in the Arbitration on the same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have decided that the conduct of the parties in the Arbitration process and the conduct of the Arbitration itself were such that it would be unfair to bar the present proceedings by reason of the Arbitration. That decision makes it unnecessary to further explore the very interesting questions arising from the two potentially contradictory decisions of our Court of Appeal in </w:t>
      </w:r>
      <w:r>
        <w:rPr>
          <w:rFonts w:ascii="arial" w:eastAsia="arial" w:hAnsi="arial" w:cs="arial"/>
          <w:b/>
          <w:i/>
          <w:color w:val="000000"/>
          <w:sz w:val="20"/>
          <w:lang w:val="en-US" w:eastAsia="en-US" w:bidi="ar-SA"/>
        </w:rPr>
        <w:t>Pan Liberty</w:t>
      </w:r>
      <w:r>
        <w:rPr>
          <w:rFonts w:ascii="arial" w:eastAsia="arial" w:hAnsi="arial" w:cs="arial"/>
          <w:color w:val="000000"/>
          <w:sz w:val="20"/>
          <w:lang w:val="en-US" w:eastAsia="en-US" w:bidi="ar-SA"/>
        </w:rPr>
        <w:t xml:space="preserve">and in </w:t>
      </w:r>
      <w:r>
        <w:rPr>
          <w:rFonts w:ascii="arial" w:eastAsia="arial" w:hAnsi="arial" w:cs="arial"/>
          <w:b/>
          <w:i/>
          <w:color w:val="000000"/>
          <w:sz w:val="20"/>
          <w:lang w:val="en-US" w:eastAsia="en-US" w:bidi="ar-SA"/>
        </w:rPr>
        <w:t>Javor v. Francoeur</w:t>
      </w:r>
      <w:r>
        <w:rPr>
          <w:rFonts w:ascii="arial" w:eastAsia="arial" w:hAnsi="arial" w:cs="arial"/>
          <w:b/>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reaching those conclusions, I rely upon the following circumstances:</w:t>
      </w:r>
      <w:r>
        <w:rPr>
          <w:rFonts w:ascii="arial" w:eastAsia="arial" w:hAnsi="arial" w:cs="arial"/>
          <w:sz w:val="20"/>
          <w:lang w:val="en-US" w:eastAsia="en-US" w:bidi="ar-SA"/>
        </w:rPr>
        <w:cr/>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apparent that neither the parties nor the Arbitration Panel turned their minds to whether the Arbitration was brought pursuant to the provisions of the British Columbia </w:t>
      </w:r>
      <w:r>
        <w:rPr>
          <w:rFonts w:ascii="arial" w:eastAsia="arial" w:hAnsi="arial" w:cs="arial"/>
          <w:b/>
          <w:i/>
          <w:color w:val="000000"/>
          <w:sz w:val="20"/>
          <w:lang w:val="en-US" w:eastAsia="en-US" w:bidi="ar-SA"/>
        </w:rPr>
        <w:t>International Commercial Arbitration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233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ICAA</w:t>
      </w:r>
      <w:r>
        <w:rPr>
          <w:rFonts w:ascii="arial" w:eastAsia="arial" w:hAnsi="arial" w:cs="arial"/>
          <w:color w:val="000000"/>
          <w:sz w:val="20"/>
          <w:lang w:val="en-US" w:eastAsia="en-US" w:bidi="ar-SA"/>
        </w:rPr>
        <w:t xml:space="preserve">], due to the dispute being one between a foreign corporation and a British Columbia corporation relating to matters arising largely in Mexico; or, pursuant to the Canadian </w:t>
      </w:r>
      <w:r>
        <w:rPr>
          <w:rFonts w:ascii="arial" w:eastAsia="arial" w:hAnsi="arial" w:cs="arial"/>
          <w:b/>
          <w:i/>
          <w:color w:val="000000"/>
          <w:sz w:val="20"/>
          <w:lang w:val="en-US" w:eastAsia="en-US" w:bidi="ar-SA"/>
        </w:rPr>
        <w:t>Commercial Arbitration Act</w:t>
      </w:r>
      <w:r>
        <w:rPr>
          <w:rFonts w:ascii="arial" w:eastAsia="arial" w:hAnsi="arial" w:cs="arial"/>
          <w:color w:val="000000"/>
          <w:sz w:val="20"/>
          <w:lang w:val="en-US" w:eastAsia="en-US" w:bidi="ar-SA"/>
        </w:rPr>
        <w:t>, R.S.C. 1985 (2nd Supp.), c. 17 [</w:t>
      </w:r>
      <w:r>
        <w:rPr>
          <w:rFonts w:ascii="arial" w:eastAsia="arial" w:hAnsi="arial" w:cs="arial"/>
          <w:b/>
          <w:i/>
          <w:color w:val="000000"/>
          <w:sz w:val="20"/>
          <w:lang w:val="en-US" w:eastAsia="en-US" w:bidi="ar-SA"/>
        </w:rPr>
        <w:t>Arbitration Code</w:t>
      </w:r>
      <w:r>
        <w:rPr>
          <w:rFonts w:ascii="arial" w:eastAsia="arial" w:hAnsi="arial" w:cs="arial"/>
          <w:color w:val="000000"/>
          <w:sz w:val="20"/>
          <w:lang w:val="en-US" w:eastAsia="en-US" w:bidi="ar-SA"/>
        </w:rPr>
        <w:t>], due to the subject matter of the dispute being "in relation to maritime or admiralty matters" and thus within federal rather than provincial jurisdiction.</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the provisions of the two enactments are similar, they differ in some respects concerning jurisdiction over non-parties to an agreement to arbitrate. Under s. 2(1) of the </w:t>
      </w:r>
      <w:r>
        <w:rPr>
          <w:rFonts w:ascii="arial" w:eastAsia="arial" w:hAnsi="arial" w:cs="arial"/>
          <w:b/>
          <w:i/>
          <w:color w:val="000000"/>
          <w:sz w:val="20"/>
          <w:lang w:val="en-US" w:eastAsia="en-US" w:bidi="ar-SA"/>
        </w:rPr>
        <w:t>ICAA</w:t>
      </w:r>
      <w:r>
        <w:rPr>
          <w:rFonts w:ascii="arial" w:eastAsia="arial" w:hAnsi="arial" w:cs="arial"/>
          <w:color w:val="000000"/>
          <w:sz w:val="20"/>
          <w:lang w:val="en-US" w:eastAsia="en-US" w:bidi="ar-SA"/>
        </w:rPr>
        <w:t xml:space="preserve">a "party" is defined as meaning "a party to an arbitration agreement </w:t>
      </w:r>
      <w:r>
        <w:rPr>
          <w:rFonts w:ascii="arial" w:eastAsia="arial" w:hAnsi="arial" w:cs="arial"/>
          <w:color w:val="000000"/>
          <w:sz w:val="20"/>
          <w:u w:val="single"/>
          <w:lang w:val="en-US" w:eastAsia="en-US" w:bidi="ar-SA"/>
        </w:rPr>
        <w:t>and includes a person claiming through or under a party</w:t>
      </w:r>
      <w:r>
        <w:rPr>
          <w:rFonts w:ascii="arial" w:eastAsia="arial" w:hAnsi="arial" w:cs="arial"/>
          <w:color w:val="000000"/>
          <w:sz w:val="20"/>
          <w:lang w:val="en-US" w:eastAsia="en-US" w:bidi="ar-SA"/>
        </w:rPr>
        <w:t xml:space="preserve">". There is no such expansive definition under the </w:t>
      </w:r>
      <w:r>
        <w:rPr>
          <w:rFonts w:ascii="arial" w:eastAsia="arial" w:hAnsi="arial" w:cs="arial"/>
          <w:b/>
          <w:i/>
          <w:color w:val="000000"/>
          <w:sz w:val="20"/>
          <w:lang w:val="en-US" w:eastAsia="en-US" w:bidi="ar-SA"/>
        </w:rPr>
        <w:t>Arbitration Code.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close reading of Hi-Seas' Answer to Trinav's Reply and Counterclaim in the Arbitration leads to the conclusion that while the subject matter of the claims now advanced by Hi-Seas against Boelman in these proceedings was addressed in the Arbitration pleadings, there was no specific claim for relief against Boelman in any personal capacity arising from the allegations made.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represented by legal counsel, (who is not counsel in this litigation), Boelman formally asserted, both before the Arbitration Panel and in the Petition filed in this Court, that the Arbitration Panel had no personal jurisdiction over him. Boelman is now estopped from advancing his present argument to the opposite effect.</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#2: What use, if any, can be made of the transcript of the Arbitration proceedings and of the Arbitration Award itself in this proceeding concerning the potential liability of Boelman to Hi-Seas?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support of its application for judgment by way of a summary trial under Rule 18A, Hi-Seas filed the Arbitration Award as an exhibit to the affidavit of Georgison. In addition, he referred to and exhibited portions of the transcript of Boelman's cross-examination before the Arbitration Panel.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that affidavit, Georgison also purported to summarize findings of the Arbitration Panel, or alternatively, provide his own analysis of and conclusions as to its findings. For example, he stated that:</w:t>
      </w:r>
      <w:r>
        <w:rPr>
          <w:rFonts w:ascii="arial" w:eastAsia="arial" w:hAnsi="arial" w:cs="arial"/>
          <w:sz w:val="20"/>
          <w:lang w:val="en-US" w:eastAsia="en-US" w:bidi="ar-SA"/>
        </w:rPr>
        <w:cr/>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acts found by the Tribunal on the part of Trinav giving rise to the Arbitration Award and Supplemental Award were the acts of Mr. Boelman.</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Arbitration Award arose out of misconduct by Trinav and Mr. Boelman in the performance of duties as agent for Hi-Seas in the management of the ship "Pacific Challenge" owned by Hi-Seas.</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Hi-Seas was required by Mr. Boelman to enter into an agency relationship with Trinav. This requirement was made by Mr. Boelman in his capacity as the principal of Trimex Shipping Ltd. ("Trimex") with whom Hi-Seas had earlier entered into a Time Charterparty (the "Charterparty") for the Vessel dated May 27, 1997.</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Boelman was at all times the sole principal, owner and the alter-ego of Trimex. Attached is an excerpt of the transcript of the proceedings before the Tribunal dated February 19, 1999 in which Mr. Boelman stated that Trimex was wholly owned by Dargas Shipping which in turn was owned 100% by himself. Mr. Boelman further stated that he was the Director and Manager handling the affairs of Trimex and had "full authority to represent Trimex in terms of its expenses and its corporate actions".</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business dealings between Hi-Seas and Trimex were with Mr. Boelman. There were no other shareholders, officers or persons other than Mr. Boelman involved in any way in the affairs of Trimex.</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of the acts found by the Tribunal on the part of Trimex giving rise to the Award and Supplemental Award were the acts of Mr. Boelman.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Further to the Vessel Management Agreement, Mr. Boelman agreed that Trinav would act as agent for Hi-Seas in respect of the Charterparty with Trimex.</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 Management Agreement provided for Hire Funds to be paid by Trimex to Trinav for the benefit of Hi-Seas. Hi-Seas did not receive the benefit of Hire Funds owing to Hi-Seas because Mr. Boelman wrongfully claimed that all Hire Funds were offset by debts to Trimex.</w:t>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the obligation of Mr. Boelman and Trinav to manage the Vessel on behalf of Hi-Seas, Mr. Boelman, who was also the alter-ego of Trimex, testified in the arbitration proceedings that the function of Trinav was to look after the interests of Trimex, not Hi-Seas.</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found by the Tribunal, the Vessel Management Agreement prepared by Mr. Boelman in favour of Trinav was a reflection of the corporate will of Trimex and was drafted by Mr. Boelman to permit Trinav to treat the Vessel as its own for the duration of the time that Trimex required the Vessel for its purposes.</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Boelman frustrated all attempts by Hi-Seas to have physical access to the Vessel even after Hi-Seas gave notice of termination of the Vessel Management Agreement. Mr. Boelman withheld any information concerning the Vessel's condition and refused to give any accounting in respect of Hire Funds. Mr. Boelman testified at pages 247 and 249 of the Transcript that no hire payments were transferred by him from Trimex to Trinav for the charter of the Vessel despite a written direction from Hi-Seas to Trimex to make all payments to Trinav. Mr. Boelman further testified at page 248 of the Transcript that he and Trinav did not recognize any fiduciary duty to Hi-Seas and in all cases preferred the interests of Trimex over Hi-Seas.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47"/>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Hi-Seas suffered further losses resulting from the wrongful conduct of Mr. Boelman as alter ego of Trinav including costs of the arbitration in the amount of CAN $18,841.11 and legal costs as set out in the Award and Supplemental Award totalling CAN $65,303.26.</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Boelman was personally responsible for the breach of fiduciary duty of Trinav in failing to account for Hire Funds to Hi-Seas and for failure to properly care for the Vessel under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for Hi-Seas took the position that the affidavit evidence it adduced establishes Boelman's personal liability to Hi-Seas for breach of fiduciary duty, inducing breach of fiduciary duty and equitable fraud in his dealings with Trinav and Hi-Seas.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Counsel for Boelman submitted that Georgison's affidavit is largely inadmissible as opinion evidence or argument. He also submitted that any use of the Arbitration Award as "evidence" in these proceedings is objectionable on the basis that it is irrelevant to the issues now before the Court and is also inadmissible as a private document.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Except to the extent that he relies upon the private nature of the Arbitration, I am largely in agreement with Mr. Cowper's submissions concerning the use that can be made of the Arbitration Award and the transcripts of the Arbitration proceedings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Concerning Hi-Seas' use of the Arbitration Award:</w:t>
      </w:r>
      <w:r>
        <w:rPr>
          <w:rFonts w:ascii="arial" w:eastAsia="arial" w:hAnsi="arial" w:cs="arial"/>
          <w:sz w:val="20"/>
          <w:lang w:val="en-US" w:eastAsia="en-US" w:bidi="ar-SA"/>
        </w:rPr>
        <w:cr/>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agree that it is irrelevant to the issues now before the Court because Boelman was not a party to the Arbitration and Hi-Seas has submitted that it was never intended that he be a party;</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Arbitration Award would be properly admissible in enforcement proceedings against Trinav or in an application to stay a court proceeding on the basis of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xml:space="preserve"> (as it was by Boelman in this case), it is not admissible </w:t>
      </w:r>
      <w:r>
        <w:rPr>
          <w:rFonts w:ascii="arial" w:eastAsia="arial" w:hAnsi="arial" w:cs="arial"/>
          <w:color w:val="000000"/>
          <w:sz w:val="20"/>
          <w:u w:val="single"/>
          <w:lang w:val="en-US" w:eastAsia="en-US" w:bidi="ar-SA"/>
        </w:rPr>
        <w:t>against Boelman</w:t>
      </w:r>
      <w:r>
        <w:rPr>
          <w:rFonts w:ascii="arial" w:eastAsia="arial" w:hAnsi="arial" w:cs="arial"/>
          <w:color w:val="000000"/>
          <w:sz w:val="20"/>
          <w:lang w:val="en-US" w:eastAsia="en-US" w:bidi="ar-SA"/>
        </w:rPr>
        <w:t xml:space="preserve"> as proof of the facts found by the Arbitration Panel or the legal conclusions drawn by it from those facts because Boelman was not a party to the Arbitration; and</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Hi-Seas' submission that the Arbitration Award is admissible against Boelman in these proceedings as proof of the facts found by the Arbitration Panel or the legal conclusions drawn by it is entirely inconsistent with Hi-Seas' submissions that these proceedings are not barred by </w:t>
      </w:r>
      <w:r>
        <w:rPr>
          <w:rFonts w:ascii="arial" w:eastAsia="arial" w:hAnsi="arial" w:cs="arial"/>
          <w:i/>
          <w:color w:val="000000"/>
          <w:sz w:val="20"/>
          <w:lang w:val="en-US" w:eastAsia="en-US" w:bidi="ar-SA"/>
        </w:rPr>
        <w:t>res judicata</w:t>
      </w:r>
      <w:r>
        <w:rPr>
          <w:rFonts w:ascii="arial" w:eastAsia="arial" w:hAnsi="arial" w:cs="arial"/>
          <w:color w:val="000000"/>
          <w:sz w:val="20"/>
          <w:lang w:val="en-US" w:eastAsia="en-US" w:bidi="ar-SA"/>
        </w:rPr>
        <w:t>. Hi-Seas cannot "have it both 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Concerning Hi-Seas' attempted use of the transcripts of Boelman's cross-examination before the Arbitration Panel as a basis for the determination of his personal liability in this matter, I am satisfied that the transcripts cannot be used as sought by Hi-Seas in a summary trial under Rule 18A for the following non-exhaustive reasons:</w:t>
      </w:r>
      <w:r>
        <w:rPr>
          <w:rFonts w:ascii="arial" w:eastAsia="arial" w:hAnsi="arial" w:cs="arial"/>
          <w:sz w:val="20"/>
          <w:lang w:val="en-US" w:eastAsia="en-US" w:bidi="ar-SA"/>
        </w:rPr>
        <w:cr/>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Witnesses may not offer legal opinions and argument in the guise of sworn testimony. Such testimony is not only inadmissible as evidence but abusive of the summary trial process. In my opinion, the vast majority of Georgison's affidavit is an affront to the rules of evidence and largely inadmissible. To the extent that it contains admissible evidence, it can be afforded little weight due to his making and drawing of bald assertions and conclusions.</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Hi-Seas' purported use of the transcripts of the cross-examination of Boelman in the Arbitration proceedings as evidence that is binding upon Boelman in these proceedings under Rule 18A conflates issues concerning: the use of Examination for Discovery testimony of parties at trial; the admissibility of "admissions by a party against interest"; and the possible use of evidence of "prior inconsistent statements made under oath".</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40(4)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makes specific provision for the use of the transcripts of other proceedings at trial. It provides:</w:t>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 witness is dead, or is unable to attend and testify because of age, infirmity, sickness or imprisonment or is out of the jurisdiction or his or her attendance cannot be secured by subpoena, the court may permit a transcript of any evidence of that witness taken in any proceeding, hearing or inquiry at which the evidence was taken under oath, whether or not involving the same parties to be put in as evidence, but reasonable notice shall be given of the intention to give that evidence.</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None of those pre-conditions to the use of Boelman's testimony in the Arbitration exist in this case.</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Rule 40(27)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sets forth with particularity the extent to which the evidence of a party to a proceeding may be used at trial. Under Rule 18A subsections (a) and (d) of Rule 40(27) are specifically made applicable to summary trial proceedings.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limitations on the permitted uses of Examination for Discovery evidence include the right (under Rule 40(27)(d)) to have the evidence that is tendered by an adverse party reviewed by the Court in the context of the whole of the discovery testimony of a witness.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my view, such limitations underline the inappropriateness and unfairness of the approach adopted by Hi-Seas in this case. That is especially so in circumstances where Boelman was examined as a witness in a proceeding in which Hi-Seas specifically disavowed any intention of seeking to establish before the Arbitration Panel any finding of personal liability for his actions as a director or officer of Trinav.</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out of court admissions against interest made by a party are generally admissible as an exception to the hearsay rule (because the party has the opportunity to respond at trial when confronted by the alleged admission), the admissibility of such alleged admissions requires not only the opportunity to address the circumstances of their making but also the inclusion of explanations.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 prior alleged admission against interest may well be used to cross-examine a party who subsequently seeks to resile from such a voluntary statement, fairness dictates that the whole of the statement be put to the witness and even in those circumstances a prior statement will generally be admissible only to test credibility.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accordingly satisfied that while Boelman's testimony before the Arbitration Panel would likely be admissible during cross-examination of him at a trial, the use of excerpts from the transcripts of his testimony at the Arbitration may not be used in the manner they were intended for use by Hi-Seas in these summary trial proceedings under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I have previously noted, however, my conclusions concerning Hi-Seas' inability to use the Arbitration transcripts in these summary trial proceedings in the ways sought does not rely on Mr. Cowper's submissions that the use of the transcripts is precluded by the private nature of the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summary, the confidentiality argument advanced by Mr. Cowper on behalf of Boelman was that:</w:t>
      </w:r>
      <w:r>
        <w:rPr>
          <w:rFonts w:ascii="arial" w:eastAsia="arial" w:hAnsi="arial" w:cs="arial"/>
          <w:sz w:val="20"/>
          <w:lang w:val="en-US" w:eastAsia="en-US" w:bidi="ar-SA"/>
        </w:rPr>
        <w:cr/>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English jurisprudence has accepted the concept of confidentiality in commercial arbitrations. See: </w:t>
      </w:r>
      <w:r>
        <w:rPr>
          <w:rFonts w:ascii="arial" w:eastAsia="arial" w:hAnsi="arial" w:cs="arial"/>
          <w:b/>
          <w:i/>
          <w:color w:val="000000"/>
          <w:sz w:val="20"/>
          <w:lang w:val="en-US" w:eastAsia="en-US" w:bidi="ar-SA"/>
        </w:rPr>
        <w:t>Ali Shipping Corporation v. Shipyard Torgir,</w:t>
      </w:r>
      <w:r>
        <w:rPr>
          <w:rFonts w:ascii="arial" w:eastAsia="arial" w:hAnsi="arial" w:cs="arial"/>
          <w:color w:val="000000"/>
          <w:sz w:val="20"/>
          <w:lang w:val="en-US" w:eastAsia="en-US" w:bidi="ar-SA"/>
        </w:rPr>
        <w:t>[1998] 2 All E.R. 136 (C.A.) [</w:t>
      </w:r>
      <w:r>
        <w:rPr>
          <w:rFonts w:ascii="arial" w:eastAsia="arial" w:hAnsi="arial" w:cs="arial"/>
          <w:b/>
          <w:i/>
          <w:color w:val="000000"/>
          <w:sz w:val="20"/>
          <w:lang w:val="en-US" w:eastAsia="en-US" w:bidi="ar-SA"/>
        </w:rPr>
        <w:t>Ali Shipping</w:t>
      </w:r>
      <w:r>
        <w:rPr>
          <w:rFonts w:ascii="arial" w:eastAsia="arial" w:hAnsi="arial" w:cs="arial"/>
          <w:color w:val="000000"/>
          <w:sz w:val="20"/>
          <w:lang w:val="en-US" w:eastAsia="en-US" w:bidi="ar-SA"/>
        </w:rPr>
        <w:t>];</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b/>
          <w:i/>
          <w:color w:val="000000"/>
          <w:sz w:val="20"/>
          <w:lang w:val="en-US" w:eastAsia="en-US" w:bidi="ar-SA"/>
        </w:rPr>
        <w:t>Adesa Corporation v. Bob Dickenson Auction Services Ltd</w:t>
      </w:r>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(2004), 73 O.R. (3d) 787</w:t>
        </w:r>
      </w:hyperlink>
      <w:r>
        <w:rPr>
          <w:rFonts w:ascii="arial" w:eastAsia="arial" w:hAnsi="arial" w:cs="arial"/>
          <w:color w:val="000000"/>
          <w:sz w:val="20"/>
          <w:lang w:val="en-US" w:eastAsia="en-US" w:bidi="ar-SA"/>
        </w:rPr>
        <w:t xml:space="preserve">, </w:t>
      </w:r>
      <w:hyperlink r:id="rId734" w:history="1">
        <w:r>
          <w:rPr>
            <w:rFonts w:ascii="arial" w:eastAsia="arial" w:hAnsi="arial" w:cs="arial"/>
            <w:i/>
            <w:color w:val="0077CC"/>
            <w:sz w:val="20"/>
            <w:u w:val="single"/>
            <w:shd w:val="clear" w:color="auto" w:fill="FFFFFF"/>
            <w:lang w:val="en-US" w:eastAsia="en-US" w:bidi="ar-SA"/>
          </w:rPr>
          <w:t>247 D.L.R. (4th) 730</w:t>
        </w:r>
      </w:hyperlink>
      <w:r>
        <w:rPr>
          <w:rFonts w:ascii="arial" w:eastAsia="arial" w:hAnsi="arial" w:cs="arial"/>
          <w:color w:val="000000"/>
          <w:sz w:val="20"/>
          <w:lang w:val="en-US" w:eastAsia="en-US" w:bidi="ar-SA"/>
        </w:rPr>
        <w:t xml:space="preserve"> (Sup. Ct. J.), on a preliminary motion for production of documents, Cameron J. stated that there is an expectation of privacy in arbitration proceedings that should be fostered to maintain the integrity of the arbitration process; and</w:t>
      </w:r>
    </w:p>
    <w:p>
      <w:pPr>
        <w:numPr>
          <w:numId w:val="5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there is no direct authority in British Columbia that has considered whether there is an inherent duty of confidentiality attaching to documents or evidence disclosed or obtained through commercial arbitration, the implied duty of confidentiality that exists in British Columbia concerning the use of documents or information obtained through the discovery process supports such a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In response, Mr. Smith relied upon the decision of the High Court of Australia in </w:t>
      </w:r>
      <w:r>
        <w:rPr>
          <w:rFonts w:ascii="arial" w:eastAsia="arial" w:hAnsi="arial" w:cs="arial"/>
          <w:b/>
          <w:i/>
          <w:color w:val="000000"/>
          <w:sz w:val="20"/>
          <w:lang w:val="en-US" w:eastAsia="en-US" w:bidi="ar-SA"/>
        </w:rPr>
        <w:t>Esso Australia Resources Ltd. et al. v. Plowman (Minister for Energy for Resources) et al.</w:t>
      </w:r>
      <w:r>
        <w:rPr>
          <w:rFonts w:ascii="arial" w:eastAsia="arial" w:hAnsi="arial" w:cs="arial"/>
          <w:color w:val="000000"/>
          <w:sz w:val="20"/>
          <w:lang w:val="en-US" w:eastAsia="en-US" w:bidi="ar-SA"/>
        </w:rPr>
        <w:t xml:space="preserve"> (1995), 128 A.L.R. 391, 183 C.L.R. 10 (H.C.A.) [</w:t>
      </w:r>
      <w:r>
        <w:rPr>
          <w:rFonts w:ascii="arial" w:eastAsia="arial" w:hAnsi="arial" w:cs="arial"/>
          <w:b/>
          <w:i/>
          <w:color w:val="000000"/>
          <w:sz w:val="20"/>
          <w:lang w:val="en-US" w:eastAsia="en-US" w:bidi="ar-SA"/>
        </w:rPr>
        <w:t>Esso Australia</w:t>
      </w:r>
      <w:r>
        <w:rPr>
          <w:rFonts w:ascii="arial" w:eastAsia="arial" w:hAnsi="arial" w:cs="arial"/>
          <w:color w:val="000000"/>
          <w:sz w:val="20"/>
          <w:lang w:val="en-US" w:eastAsia="en-US" w:bidi="ar-SA"/>
        </w:rPr>
        <w:t>], in which Mason C.J. (for the majority) determined that confidentiality is not an essential attribute of a private arbitration that imposes an obligation on each party not to disclose the proceedings or documents and information provided in and for the purposes of the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It is noteworthy that in </w:t>
      </w:r>
      <w:r>
        <w:rPr>
          <w:rFonts w:ascii="arial" w:eastAsia="arial" w:hAnsi="arial" w:cs="arial"/>
          <w:b/>
          <w:i/>
          <w:color w:val="000000"/>
          <w:sz w:val="20"/>
          <w:lang w:val="en-US" w:eastAsia="en-US" w:bidi="ar-SA"/>
        </w:rPr>
        <w:t>Esso Australia</w:t>
      </w:r>
      <w:r>
        <w:rPr>
          <w:rFonts w:ascii="arial" w:eastAsia="arial" w:hAnsi="arial" w:cs="arial"/>
          <w:color w:val="000000"/>
          <w:sz w:val="20"/>
          <w:lang w:val="en-US" w:eastAsia="en-US" w:bidi="ar-SA"/>
        </w:rPr>
        <w:t xml:space="preserve">, Mason C.J. specifically declined to follow </w:t>
      </w:r>
      <w:r>
        <w:rPr>
          <w:rFonts w:ascii="arial" w:eastAsia="arial" w:hAnsi="arial" w:cs="arial"/>
          <w:b/>
          <w:i/>
          <w:color w:val="000000"/>
          <w:sz w:val="20"/>
          <w:lang w:val="en-US" w:eastAsia="en-US" w:bidi="ar-SA"/>
        </w:rPr>
        <w:t>Dolling-Baker v. Merrett</w:t>
      </w:r>
      <w:r>
        <w:rPr>
          <w:rFonts w:ascii="arial" w:eastAsia="arial" w:hAnsi="arial" w:cs="arial"/>
          <w:color w:val="000000"/>
          <w:sz w:val="20"/>
          <w:lang w:val="en-US" w:eastAsia="en-US" w:bidi="ar-SA"/>
        </w:rPr>
        <w:t>, [1990] 1 W.L.R. 1205 (C.A.) [</w:t>
      </w:r>
      <w:r>
        <w:rPr>
          <w:rFonts w:ascii="arial" w:eastAsia="arial" w:hAnsi="arial" w:cs="arial"/>
          <w:b/>
          <w:i/>
          <w:color w:val="000000"/>
          <w:sz w:val="20"/>
          <w:lang w:val="en-US" w:eastAsia="en-US" w:bidi="ar-SA"/>
        </w:rPr>
        <w:t>Dolling-Baker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Hassneh Insurance Co. of Israel v. Mew</w:t>
      </w:r>
      <w:r>
        <w:rPr>
          <w:rFonts w:ascii="arial" w:eastAsia="arial" w:hAnsi="arial" w:cs="arial"/>
          <w:color w:val="000000"/>
          <w:sz w:val="20"/>
          <w:lang w:val="en-US" w:eastAsia="en-US" w:bidi="ar-SA"/>
        </w:rPr>
        <w:t>, [1993] 2 Lloyd's Rep 243 (Q.B.) [</w:t>
      </w:r>
      <w:r>
        <w:rPr>
          <w:rFonts w:ascii="arial" w:eastAsia="arial" w:hAnsi="arial" w:cs="arial"/>
          <w:b/>
          <w:i/>
          <w:color w:val="000000"/>
          <w:sz w:val="20"/>
          <w:lang w:val="en-US" w:eastAsia="en-US" w:bidi="ar-SA"/>
        </w:rPr>
        <w:t>Hassneh Insurance</w:t>
      </w:r>
      <w:r>
        <w:rPr>
          <w:rFonts w:ascii="arial" w:eastAsia="arial" w:hAnsi="arial" w:cs="arial"/>
          <w:color w:val="000000"/>
          <w:sz w:val="20"/>
          <w:lang w:val="en-US" w:eastAsia="en-US" w:bidi="ar-SA"/>
        </w:rPr>
        <w:t>] which had held that confidentiality was an essential attribute of private arbitrations that imposed an obligation on the parties not to disclose the proceedings, documents or information provided in and for the purposes of arbitration. He also determined that the decided cases in the United States were inconsistent with the English jurisprudence on the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However, following the High Court of Australia's decision in </w:t>
      </w:r>
      <w:r>
        <w:rPr>
          <w:rFonts w:ascii="arial" w:eastAsia="arial" w:hAnsi="arial" w:cs="arial"/>
          <w:b/>
          <w:i/>
          <w:color w:val="000000"/>
          <w:sz w:val="20"/>
          <w:lang w:val="en-US" w:eastAsia="en-US" w:bidi="ar-SA"/>
        </w:rPr>
        <w:t>Esso Australia</w:t>
      </w:r>
      <w:r>
        <w:rPr>
          <w:rFonts w:ascii="arial" w:eastAsia="arial" w:hAnsi="arial" w:cs="arial"/>
          <w:color w:val="000000"/>
          <w:sz w:val="20"/>
          <w:lang w:val="en-US" w:eastAsia="en-US" w:bidi="ar-SA"/>
        </w:rPr>
        <w:t xml:space="preserve">, the English Court of Appeal again visited the question of whether there was an implied obligation of confidentiality incident to private arbitration contracts. In </w:t>
      </w:r>
      <w:r>
        <w:rPr>
          <w:rFonts w:ascii="arial" w:eastAsia="arial" w:hAnsi="arial" w:cs="arial"/>
          <w:b/>
          <w:i/>
          <w:color w:val="000000"/>
          <w:sz w:val="20"/>
          <w:lang w:val="en-US" w:eastAsia="en-US" w:bidi="ar-SA"/>
        </w:rPr>
        <w:t>Ali Shipping</w:t>
      </w:r>
      <w:r>
        <w:rPr>
          <w:rFonts w:ascii="arial" w:eastAsia="arial" w:hAnsi="arial" w:cs="arial"/>
          <w:color w:val="000000"/>
          <w:sz w:val="20"/>
          <w:lang w:val="en-US" w:eastAsia="en-US" w:bidi="ar-SA"/>
        </w:rPr>
        <w:t xml:space="preserve">, upon which Boelman relies, the English Court of Appeal considered and refused to follow </w:t>
      </w:r>
      <w:r>
        <w:rPr>
          <w:rFonts w:ascii="arial" w:eastAsia="arial" w:hAnsi="arial" w:cs="arial"/>
          <w:b/>
          <w:i/>
          <w:color w:val="000000"/>
          <w:sz w:val="20"/>
          <w:lang w:val="en-US" w:eastAsia="en-US" w:bidi="ar-SA"/>
        </w:rPr>
        <w:t>Esso Australia</w:t>
      </w:r>
      <w:r>
        <w:rPr>
          <w:rFonts w:ascii="arial" w:eastAsia="arial" w:hAnsi="arial" w:cs="arial"/>
          <w:color w:val="000000"/>
          <w:sz w:val="20"/>
          <w:lang w:val="en-US" w:eastAsia="en-US" w:bidi="ar-SA"/>
        </w:rPr>
        <w:t xml:space="preserve">. In so doing, Potter L.J. reaffirmed and followed the Court of Appeal's earlier reasoning in </w:t>
      </w:r>
      <w:r>
        <w:rPr>
          <w:rFonts w:ascii="arial" w:eastAsia="arial" w:hAnsi="arial" w:cs="arial"/>
          <w:b/>
          <w:i/>
          <w:color w:val="000000"/>
          <w:sz w:val="20"/>
          <w:lang w:val="en-US" w:eastAsia="en-US" w:bidi="ar-SA"/>
        </w:rPr>
        <w:t>Dolling-Baker</w:t>
      </w:r>
      <w:r>
        <w:rPr>
          <w:rFonts w:ascii="arial" w:eastAsia="arial" w:hAnsi="arial" w:cs="arial"/>
          <w:color w:val="000000"/>
          <w:sz w:val="20"/>
          <w:lang w:val="en-US" w:eastAsia="en-US" w:bidi="ar-SA"/>
        </w:rPr>
        <w:t xml:space="preserve"> stating (at 146):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Dolling-Baker v. Merrett</w:t>
      </w:r>
      <w:r>
        <w:rPr>
          <w:rFonts w:ascii="arial" w:eastAsia="arial" w:hAnsi="arial" w:cs="arial"/>
          <w:color w:val="000000"/>
          <w:sz w:val="20"/>
          <w:lang w:val="en-US" w:eastAsia="en-US" w:bidi="ar-SA"/>
        </w:rPr>
        <w:t xml:space="preserve"> [1991] 2 All E.R. 890 at 899, [1990] 1 W.L.R. 1205 at 1213, shortly before the passage which I have already quoted, Parker LJ referred to "the essentially private nature of an arbitration" which he coupled with the implied obligation of a party who obtains documents on discovery not to use them for any purpose other than the dispute in which they were obtained, in order to arrive at his decision in that case. Thus, the principle which he propounded did not depend upon any inherent confidentiality in the material protected (which he expressly rejected), although the implied obligation arising was broadly similar in effect. So far as the juridical nature of that implied term is concerned, while I note that in </w:t>
      </w:r>
      <w:r>
        <w:rPr>
          <w:rFonts w:ascii="arial" w:eastAsia="arial" w:hAnsi="arial" w:cs="arial"/>
          <w:i/>
          <w:color w:val="000000"/>
          <w:sz w:val="20"/>
          <w:lang w:val="en-US" w:eastAsia="en-US" w:bidi="ar-SA"/>
        </w:rPr>
        <w:t>Hassneh Insurance Co. v. Mew</w:t>
      </w:r>
      <w:r>
        <w:rPr>
          <w:rFonts w:ascii="arial" w:eastAsia="arial" w:hAnsi="arial" w:cs="arial"/>
          <w:color w:val="000000"/>
          <w:sz w:val="20"/>
          <w:lang w:val="en-US" w:eastAsia="en-US" w:bidi="ar-SA"/>
        </w:rPr>
        <w:t xml:space="preserve"> [1993] 2 Lloyd's Rep 243 at 246 Colman J. remarked that the "implication of the term must be based on custom or business efficacy" I consider that the implied term ought properly to be regarded as attaching as a matter of law. It seems to me that, in holding as a matter of principle that the obligation of confidentiality (whatever its precise limits) arises as an essential corollary of the privacy of arbitration proceedings, the court is propounding a term which arises "as the nature of the contract itself implicitly requires".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Potter L.J. then went on to consider specific exceptions to that broad rule of implied confidentiality as well as Colman J.'s decision in </w:t>
      </w:r>
      <w:r>
        <w:rPr>
          <w:rFonts w:ascii="arial" w:eastAsia="arial" w:hAnsi="arial" w:cs="arial"/>
          <w:b/>
          <w:i/>
          <w:color w:val="000000"/>
          <w:sz w:val="20"/>
          <w:lang w:val="en-US" w:eastAsia="en-US" w:bidi="ar-SA"/>
        </w:rPr>
        <w:t>Hassneh Insurance</w:t>
      </w:r>
      <w:r>
        <w:rPr>
          <w:rFonts w:ascii="arial" w:eastAsia="arial" w:hAnsi="arial" w:cs="arial"/>
          <w:color w:val="000000"/>
          <w:sz w:val="20"/>
          <w:lang w:val="en-US" w:eastAsia="en-US" w:bidi="ar-SA"/>
        </w:rPr>
        <w:t xml:space="preserve"> and further stated (at 147):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to those exceptions, it seems to me that, on the basis of present decisions, English law has recognised the following exceptions to the broad rule of confidentiality: (i) consent, ie where disclosure is made with the express or implied consent of the party who originally produced the material; (ii) </w:t>
      </w:r>
      <w:r>
        <w:rPr>
          <w:rFonts w:ascii="arial" w:eastAsia="arial" w:hAnsi="arial" w:cs="arial"/>
          <w:color w:val="000000"/>
          <w:sz w:val="20"/>
          <w:u w:val="single"/>
          <w:lang w:val="en-US" w:eastAsia="en-US" w:bidi="ar-SA"/>
        </w:rPr>
        <w:t>order of the court, an obvious example of which is an order for disclosure of documents generated by an arbitration for the purposes of a later court action</w:t>
      </w:r>
      <w:r>
        <w:rPr>
          <w:rFonts w:ascii="arial" w:eastAsia="arial" w:hAnsi="arial" w:cs="arial"/>
          <w:color w:val="000000"/>
          <w:sz w:val="20"/>
          <w:lang w:val="en-US" w:eastAsia="en-US" w:bidi="ar-SA"/>
        </w:rPr>
        <w:t xml:space="preserve">; (iii) </w:t>
      </w:r>
      <w:r>
        <w:rPr>
          <w:rFonts w:ascii="arial" w:eastAsia="arial" w:hAnsi="arial" w:cs="arial"/>
          <w:color w:val="000000"/>
          <w:sz w:val="20"/>
          <w:u w:val="single"/>
          <w:lang w:val="en-US" w:eastAsia="en-US" w:bidi="ar-SA"/>
        </w:rPr>
        <w:t>leave of the court</w:t>
      </w:r>
      <w:r>
        <w:rPr>
          <w:rFonts w:ascii="arial" w:eastAsia="arial" w:hAnsi="arial" w:cs="arial"/>
          <w:color w:val="000000"/>
          <w:sz w:val="20"/>
          <w:lang w:val="en-US" w:eastAsia="en-US" w:bidi="ar-SA"/>
        </w:rPr>
        <w:t xml:space="preserve">. It is the practical scope of this exception, ie the grounds on which such leave will be granted, which gives rise to difficulty. However, on the analogy of the implied obligation of secrecy between banker and customer, leave will be given in respect of (iv) disclosure when, and to the extent to which, it is </w:t>
      </w:r>
      <w:r>
        <w:rPr>
          <w:rFonts w:ascii="arial" w:eastAsia="arial" w:hAnsi="arial" w:cs="arial"/>
          <w:color w:val="000000"/>
          <w:sz w:val="20"/>
          <w:u w:val="single"/>
          <w:lang w:val="en-US" w:eastAsia="en-US" w:bidi="ar-SA"/>
        </w:rPr>
        <w:t>reasonably necessary for the protection of the legitimate interests of an arbitrating party</w:t>
      </w:r>
      <w:r>
        <w:rPr>
          <w:rFonts w:ascii="arial" w:eastAsia="arial" w:hAnsi="arial" w:cs="arial"/>
          <w:color w:val="000000"/>
          <w:sz w:val="20"/>
          <w:lang w:val="en-US" w:eastAsia="en-US" w:bidi="ar-SA"/>
        </w:rPr>
        <w:t xml:space="preserve">. In this context, that means reasonably necessary for the establishment or protection of an arbitrating party's legal rights vis-à-vis a third party in order to found a cause of action against that third party or to defend a claim (or counterclaim) brought by the third party (see the </w:t>
      </w:r>
      <w:r>
        <w:rPr>
          <w:rFonts w:ascii="arial" w:eastAsia="arial" w:hAnsi="arial" w:cs="arial"/>
          <w:i/>
          <w:color w:val="000000"/>
          <w:sz w:val="20"/>
          <w:lang w:val="en-US" w:eastAsia="en-US" w:bidi="ar-SA"/>
        </w:rPr>
        <w:t>Hassneh</w:t>
      </w:r>
      <w:r>
        <w:rPr>
          <w:rFonts w:ascii="arial" w:eastAsia="arial" w:hAnsi="arial" w:cs="arial"/>
          <w:color w:val="000000"/>
          <w:sz w:val="20"/>
          <w:lang w:val="en-US" w:eastAsia="en-US" w:bidi="ar-SA"/>
        </w:rPr>
        <w:t xml:space="preserve"> case). In that connection, I make two particular observations. Although to date this exception has been held applicable only to disclosure of an award, it is clear (and indeed the parties do not dispute) that the principle covers also pleadings, written submissions, and the proofs of witnesses as well as transcripts and notes of the evidence given in the arbitration (see </w:t>
      </w:r>
      <w:r>
        <w:rPr>
          <w:rFonts w:ascii="arial" w:eastAsia="arial" w:hAnsi="arial" w:cs="arial"/>
          <w:i/>
          <w:color w:val="000000"/>
          <w:sz w:val="20"/>
          <w:lang w:val="en-US" w:eastAsia="en-US" w:bidi="ar-SA"/>
        </w:rPr>
        <w:t>Dolling-Baker's</w:t>
      </w:r>
      <w:r>
        <w:rPr>
          <w:rFonts w:ascii="arial" w:eastAsia="arial" w:hAnsi="arial" w:cs="arial"/>
          <w:color w:val="000000"/>
          <w:sz w:val="20"/>
          <w:lang w:val="en-US" w:eastAsia="en-US" w:bidi="ar-SA"/>
        </w:rPr>
        <w:t xml:space="preserve"> case). Second, I do not think it is helpful or desirable to seek to confine the exception more narrowly than one of "</w:t>
      </w:r>
      <w:r>
        <w:rPr>
          <w:rFonts w:ascii="arial" w:eastAsia="arial" w:hAnsi="arial" w:cs="arial"/>
          <w:i/>
          <w:color w:val="000000"/>
          <w:sz w:val="20"/>
          <w:lang w:val="en-US" w:eastAsia="en-US" w:bidi="ar-SA"/>
        </w:rPr>
        <w:t>reasonable</w:t>
      </w:r>
      <w:r>
        <w:rPr>
          <w:rFonts w:ascii="arial" w:eastAsia="arial" w:hAnsi="arial" w:cs="arial"/>
          <w:color w:val="000000"/>
          <w:sz w:val="20"/>
          <w:lang w:val="en-US" w:eastAsia="en-US" w:bidi="ar-SA"/>
        </w:rPr>
        <w:t xml:space="preserve"> necessity". While I would indorse the observations of Colman J. in the </w:t>
      </w:r>
      <w:r>
        <w:rPr>
          <w:rFonts w:ascii="arial" w:eastAsia="arial" w:hAnsi="arial" w:cs="arial"/>
          <w:i/>
          <w:color w:val="000000"/>
          <w:sz w:val="20"/>
          <w:lang w:val="en-US" w:eastAsia="en-US" w:bidi="ar-SA"/>
        </w:rPr>
        <w:t>Insurance Co.</w:t>
      </w:r>
      <w:r>
        <w:rPr>
          <w:rFonts w:ascii="arial" w:eastAsia="arial" w:hAnsi="arial" w:cs="arial"/>
          <w:color w:val="000000"/>
          <w:sz w:val="20"/>
          <w:lang w:val="en-US" w:eastAsia="en-US" w:bidi="ar-SA"/>
        </w:rPr>
        <w:t xml:space="preserve"> case [1995] 1 Lloyd's Rep 272 at 275 that it is not enough that an award or reasons might have a commercially persuasive impact on the third party to whom they are disclosed, nor that their disclosure would be "merely helpful, as distinct from necessary, for the protection of such rights", I would not detach the word "reasonably" from the word "necessary", as the passage just quoted appears to do. </w:t>
      </w:r>
      <w:r>
        <w:rPr>
          <w:rFonts w:ascii="arial" w:eastAsia="arial" w:hAnsi="arial" w:cs="arial"/>
          <w:color w:val="000000"/>
          <w:sz w:val="20"/>
          <w:u w:val="single"/>
          <w:lang w:val="en-US" w:eastAsia="en-US" w:bidi="ar-SA"/>
        </w:rPr>
        <w:t>When the concept of "reasonable necessity" comes into play in relation to the enforcement or protection of a party's legal rights, it seems to me to require a degree of flexibility in the court's approach. For instance, in reaching its decision, the court should not require the parties seeking disclosure to prove necessity regardless of difficulty or expense. It should approach the matter in the round, taking account of the nature and purpose of the proceedings for which the material is required, the powers and procedures of the tribunal in which the proceedings are being conducted, the issues to which the evidence or information sought is directed and the practicality and expense of obtaining such evidence or information elsewhere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While it may eventually be necessary for the courts of this province to comprehensively address the contradictory positions taken by the English Court of Appeal in </w:t>
      </w:r>
      <w:r>
        <w:rPr>
          <w:rFonts w:ascii="arial" w:eastAsia="arial" w:hAnsi="arial" w:cs="arial"/>
          <w:b/>
          <w:i/>
          <w:color w:val="000000"/>
          <w:sz w:val="20"/>
          <w:lang w:val="en-US" w:eastAsia="en-US" w:bidi="ar-SA"/>
        </w:rPr>
        <w:t>Ali Shipping</w:t>
      </w:r>
      <w:r>
        <w:rPr>
          <w:rFonts w:ascii="arial" w:eastAsia="arial" w:hAnsi="arial" w:cs="arial"/>
          <w:color w:val="000000"/>
          <w:sz w:val="20"/>
          <w:lang w:val="en-US" w:eastAsia="en-US" w:bidi="ar-SA"/>
        </w:rPr>
        <w:t xml:space="preserve"> and the Australian High Court in </w:t>
      </w:r>
      <w:r>
        <w:rPr>
          <w:rFonts w:ascii="arial" w:eastAsia="arial" w:hAnsi="arial" w:cs="arial"/>
          <w:b/>
          <w:i/>
          <w:color w:val="000000"/>
          <w:sz w:val="20"/>
          <w:lang w:val="en-US" w:eastAsia="en-US" w:bidi="ar-SA"/>
        </w:rPr>
        <w:t>Esso Australia</w:t>
      </w:r>
      <w:r>
        <w:rPr>
          <w:rFonts w:ascii="arial" w:eastAsia="arial" w:hAnsi="arial" w:cs="arial"/>
          <w:color w:val="000000"/>
          <w:sz w:val="20"/>
          <w:lang w:val="en-US" w:eastAsia="en-US" w:bidi="ar-SA"/>
        </w:rPr>
        <w:t>, it is not necessary that I do so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reach that conclusion because:</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have already determined that, for reasons unrelated to the present confidentiality arguments, the Arbitration Award and the transcript of the Arbitration are not admissible as evidence against Boelman on Hi-Seas' Rule 18A summary trial application.</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consequence of those rulings, the impugned "evidence" of the Arbitration Award and the Arbitration transcripts is now only of concern in relation to Boelman's application to summarily dismiss Hi-Seas' claims against him under Rule 18(6).</w:t>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in my view both reasonable and necessary (in the sense used by the English Court of Appeal in </w:t>
      </w:r>
      <w:r>
        <w:rPr>
          <w:rFonts w:ascii="arial" w:eastAsia="arial" w:hAnsi="arial" w:cs="arial"/>
          <w:b/>
          <w:i/>
          <w:color w:val="000000"/>
          <w:sz w:val="20"/>
          <w:lang w:val="en-US" w:eastAsia="en-US" w:bidi="ar-SA"/>
        </w:rPr>
        <w:t>Ali Shipping</w:t>
      </w:r>
      <w:r>
        <w:rPr>
          <w:rFonts w:ascii="arial" w:eastAsia="arial" w:hAnsi="arial" w:cs="arial"/>
          <w:color w:val="000000"/>
          <w:sz w:val="20"/>
          <w:lang w:val="en-US" w:eastAsia="en-US" w:bidi="ar-SA"/>
        </w:rPr>
        <w:t>) to consider both the Arbitration Award and the portions of the transcript of the Arbitration relied upon by Hi-Seas to fully explore the issues that are raised by Boelman's Rule 18(6) summary dismissal application because:</w:t>
      </w:r>
    </w:p>
    <w:p>
      <w:pPr>
        <w:numPr>
          <w:numId w:val="5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cost of adducing the impugned evidence in summary dismissal proceedings brought by Boelman would be excessive;</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 the efficiency of the summary dismissal</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proceeding would be severely compromised; and</w:t>
      </w:r>
      <w:r>
        <w:rPr>
          <w:rFonts w:ascii="arial" w:eastAsia="arial" w:hAnsi="arial" w:cs="arial"/>
          <w:sz w:val="20"/>
          <w:lang w:val="en-US" w:eastAsia="en-US" w:bidi="ar-SA"/>
        </w:rPr>
        <w:cr/>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most importantly, the transcript evidence relied upon by Hi-Seas puts its case alleging personal liability of Boelman on the highest possible evidentiary plane, a factor which is, in my view, essential to the assessment of the legal and factual issues raised by Boelman in his application for summary dismissal under Rule 18.</w:t>
      </w:r>
    </w:p>
    <w:p>
      <w:pPr>
        <w:numPr>
          <w:numId w:val="5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those very narrow circumstances, it is not necessary for me to adopt the broad approach against confidentiality taken by the Australian High Court in </w:t>
      </w:r>
      <w:r>
        <w:rPr>
          <w:rFonts w:ascii="arial" w:eastAsia="arial" w:hAnsi="arial" w:cs="arial"/>
          <w:b/>
          <w:i/>
          <w:color w:val="000000"/>
          <w:sz w:val="20"/>
          <w:lang w:val="en-US" w:eastAsia="en-US" w:bidi="ar-SA"/>
        </w:rPr>
        <w:t>Esso Australia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will accordingly consider both the Arbitration Award and the transcript of the Arbitration in my determination of Boelman's Rule 18(6) summary dismissal application. I will not, however, consider Georgison's inadmissible summarizing of the finding of the Arbitration Panel or his analysis of and conclusions as to its findings, some of which I have set forth in paragraph 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Issue #3: Should some or all of Hi-Seas' allegations against Boelman be dismissed under Rule 18(6) because there is no merit to all or some of the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test to be applied under Rule 18(6) is stringent and the burden upon Boelman is an onerous one. He must establish that the claims advanced by Hi-Seas present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and are therefore bound to fail: </w:t>
      </w:r>
      <w:r>
        <w:rPr>
          <w:rFonts w:ascii="arial" w:eastAsia="arial" w:hAnsi="arial" w:cs="arial"/>
          <w:b/>
          <w:i/>
          <w:color w:val="000000"/>
          <w:sz w:val="20"/>
          <w:lang w:val="en-US" w:eastAsia="en-US" w:bidi="ar-SA"/>
        </w:rPr>
        <w:t>Serup v. School District No. 57</w:t>
      </w:r>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(1989), 54 B.C.L.R. (2d) 258</w:t>
        </w:r>
      </w:hyperlink>
      <w:r>
        <w:rPr>
          <w:rFonts w:ascii="arial" w:eastAsia="arial" w:hAnsi="arial" w:cs="arial"/>
          <w:color w:val="000000"/>
          <w:sz w:val="20"/>
          <w:lang w:val="en-US" w:eastAsia="en-US" w:bidi="ar-SA"/>
        </w:rPr>
        <w:t xml:space="preserve">, </w:t>
      </w:r>
      <w:hyperlink r:id="rId735" w:history="1">
        <w:r>
          <w:rPr>
            <w:rFonts w:ascii="arial" w:eastAsia="arial" w:hAnsi="arial" w:cs="arial"/>
            <w:i/>
            <w:color w:val="0077CC"/>
            <w:sz w:val="20"/>
            <w:u w:val="single"/>
            <w:shd w:val="clear" w:color="auto" w:fill="FFFFFF"/>
            <w:lang w:val="en-US" w:eastAsia="en-US" w:bidi="ar-SA"/>
          </w:rPr>
          <w:t>57 D.L.R. (4th) 261</w:t>
        </w:r>
      </w:hyperlink>
      <w:r>
        <w:rPr>
          <w:rFonts w:ascii="arial" w:eastAsia="arial" w:hAnsi="arial" w:cs="arial"/>
          <w:color w:val="000000"/>
          <w:sz w:val="20"/>
          <w:lang w:val="en-US" w:eastAsia="en-US" w:bidi="ar-SA"/>
        </w:rPr>
        <w:t xml:space="preserve"> (C.A.). Contested issues of fact cannot be weighed and inferences from the facts must be viewed in the manner most favourable to Hi-Seas: </w:t>
      </w:r>
      <w:r>
        <w:rPr>
          <w:rFonts w:ascii="arial" w:eastAsia="arial" w:hAnsi="arial" w:cs="arial"/>
          <w:b/>
          <w:i/>
          <w:color w:val="000000"/>
          <w:sz w:val="20"/>
          <w:lang w:val="en-US" w:eastAsia="en-US" w:bidi="ar-SA"/>
        </w:rPr>
        <w:t>Carnahan v. Coates</w:t>
      </w:r>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(1990), 47 B.C.L.R. (2d) 127</w:t>
        </w:r>
      </w:hyperlink>
      <w:r>
        <w:rPr>
          <w:rFonts w:ascii="arial" w:eastAsia="arial" w:hAnsi="arial" w:cs="arial"/>
          <w:color w:val="000000"/>
          <w:sz w:val="20"/>
          <w:lang w:val="en-US" w:eastAsia="en-US" w:bidi="ar-SA"/>
        </w:rPr>
        <w:t xml:space="preserve">, </w:t>
      </w:r>
      <w:hyperlink r:id="rId736" w:history="1">
        <w:r>
          <w:rPr>
            <w:rFonts w:ascii="arial" w:eastAsia="arial" w:hAnsi="arial" w:cs="arial"/>
            <w:i/>
            <w:color w:val="0077CC"/>
            <w:sz w:val="20"/>
            <w:u w:val="single"/>
            <w:shd w:val="clear" w:color="auto" w:fill="FFFFFF"/>
            <w:lang w:val="en-US" w:eastAsia="en-US" w:bidi="ar-SA"/>
          </w:rPr>
          <w:t>71 D.L.R. (4th) 464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Paragraphs 11 to 15 of its statement of claim (quoted in paragraph 44 of these reasons), as well as the arguments advanced by counsel on this application, make it obvious that all of Hi-Seas' allegations of personal liability against Boelman arise from the Arbitration Panel's determination that High Seas suffered damages due to Trinav's breaches of fiduciary obligations owed as a result of an agency relationship concerning the management of the Vessel. From that determination, and the evidence before the Arbitration Panel concerning Boelman's role in directing the affairs and actions of Trinav, Hi-Seas alleges that Boelman is also liable for those breaches of fiduciary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Paragraph 16 of the statement of claim delineates the alleged legal basis for that personal liability. As noted above, it pleads: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 Boelman knowingly assisted Trinav in breach of trust and fiduciary duties, knowingly received monies obtained in breaches of trust and fiduciary duties, dishonestly induced a fiduciary to breach a trust and received trust property and dealt with that property in a manner that he knew to be inconsistent with the trust.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argument, counsel for Hi-Seas characterized that pleading as encompassing allegations of:</w:t>
      </w:r>
      <w:r>
        <w:rPr>
          <w:rFonts w:ascii="arial" w:eastAsia="arial" w:hAnsi="arial" w:cs="arial"/>
          <w:sz w:val="20"/>
          <w:lang w:val="en-US" w:eastAsia="en-US" w:bidi="ar-SA"/>
        </w:rPr>
        <w:cr/>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participation by Boelman as an alter ego of Trinav in breaches of fiduciary duties owed by Trinav to Hi-Seas arising from its agency role concerning the Vessel and the Charterparty so that the "corporate veil" should be pierced to avoid injustice;</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commission by Boelman of equitable fraud by knowingly participating in breaches by Trinav of fiduciary duties it owed to Hi-Seas; and</w:t>
      </w:r>
    </w:p>
    <w:p>
      <w:pPr>
        <w:numPr>
          <w:numId w:val="5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Boelman inducing, participating in, and assisting, breaches of fiduciary duties and breaches of trust by Trinav in failing to account to Hi-Seas for monies owed to it by Trimex under the Charterparty.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will now summarize the arguments advanced by Hi-Seas and by Boelman in support of their respective positions on this Rule 18(6) application.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Hi-Seas'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Concerning its allegations that Boelman breached fiduciary duties owed to Hi-Seas as an "alter ego" of Trinav so that the "corporate veil" should be pierced to avoid injustice, Hi-Seas submitted that:</w:t>
      </w:r>
      <w:r>
        <w:rPr>
          <w:rFonts w:ascii="arial" w:eastAsia="arial" w:hAnsi="arial" w:cs="arial"/>
          <w:sz w:val="20"/>
          <w:lang w:val="en-US" w:eastAsia="en-US" w:bidi="ar-SA"/>
        </w:rPr>
        <w:cr/>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fiduciary relationships are no longer confined to the classic trustee-beneficiary relationship. An agency relationship gives rise to fiduciary duties and the underlying requirement of any agency or fiduciary relationship remains that of complete trust and utmost loyalty: </w:t>
      </w:r>
      <w:r>
        <w:rPr>
          <w:rFonts w:ascii="arial" w:eastAsia="arial" w:hAnsi="arial" w:cs="arial"/>
          <w:b/>
          <w:i/>
          <w:color w:val="000000"/>
          <w:sz w:val="20"/>
          <w:lang w:val="en-US" w:eastAsia="en-US" w:bidi="ar-SA"/>
        </w:rPr>
        <w:t>Hodgkinson v. Sims et al</w:t>
      </w:r>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[1994] 3 S.C.R. 377</w:t>
        </w:r>
      </w:hyperlink>
      <w:r>
        <w:rPr>
          <w:rFonts w:ascii="arial" w:eastAsia="arial" w:hAnsi="arial" w:cs="arial"/>
          <w:color w:val="000000"/>
          <w:sz w:val="20"/>
          <w:lang w:val="en-US" w:eastAsia="en-US" w:bidi="ar-SA"/>
        </w:rPr>
        <w:t xml:space="preserve">, </w:t>
      </w:r>
      <w:hyperlink r:id="rId358" w:history="1">
        <w:r>
          <w:rPr>
            <w:rFonts w:ascii="arial" w:eastAsia="arial" w:hAnsi="arial" w:cs="arial"/>
            <w:i/>
            <w:color w:val="0077CC"/>
            <w:sz w:val="20"/>
            <w:u w:val="single"/>
            <w:shd w:val="clear" w:color="auto" w:fill="FFFFFF"/>
            <w:lang w:val="en-US" w:eastAsia="en-US" w:bidi="ar-SA"/>
          </w:rPr>
          <w:t>97 B.C.L.R. (2d) 1</w:t>
        </w:r>
      </w:hyperlink>
      <w:r>
        <w:rPr>
          <w:rFonts w:ascii="arial" w:eastAsia="arial" w:hAnsi="arial" w:cs="arial"/>
          <w:color w:val="000000"/>
          <w:sz w:val="20"/>
          <w:lang w:val="en-US" w:eastAsia="en-US" w:bidi="ar-SA"/>
        </w:rPr>
        <w: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assuming management of the Vessel, Trinav entered into an agency and fiduciary relationship with Hi-Seas by which, in the submissions of its counsel, "Hi-Seas was at the mercy of Trinav in respect of the management of the Vessel and the collection of Hire payments [from Trimex under the Charterparty]";</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Trinav, through its "operating mind" Boelman, was obliged to act in the best interests of Hi-Seas and could receive no collateral benefits;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Boelman, as the operating mind of Trinav, breached his obligations to Hi-Seas by not collecting payment of monies owing by Trimex and also by failing to pay over all monies, and further, as the alter ego of Trimex, benefited from the non-payment of monies due to Hi-Seas;</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the alter ego of Trinav, any benefit accruing to Boelman "in any capacity" would be a deemed benefit to Trinav so that it would be unjust to allow Boelman to reap such benefit when he directed the breaches of fiduciary duty by Trinav. In those circumstances the corporate veil should be pierced: </w:t>
      </w:r>
      <w:r>
        <w:rPr>
          <w:rFonts w:ascii="arial" w:eastAsia="arial" w:hAnsi="arial" w:cs="arial"/>
          <w:b/>
          <w:i/>
          <w:color w:val="000000"/>
          <w:sz w:val="20"/>
          <w:lang w:val="en-US" w:eastAsia="en-US" w:bidi="ar-SA"/>
        </w:rPr>
        <w:t>Clarkson v. Zhelka</w:t>
      </w:r>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[1967] 2 O.R. 565</w:t>
        </w:r>
      </w:hyperlink>
      <w:r>
        <w:rPr>
          <w:rFonts w:ascii="arial" w:eastAsia="arial" w:hAnsi="arial" w:cs="arial"/>
          <w:color w:val="000000"/>
          <w:sz w:val="20"/>
          <w:lang w:val="en-US" w:eastAsia="en-US" w:bidi="ar-SA"/>
        </w:rPr>
        <w:t xml:space="preserve">, </w:t>
      </w:r>
      <w:hyperlink r:id="rId737" w:history="1">
        <w:r>
          <w:rPr>
            <w:rFonts w:ascii="arial" w:eastAsia="arial" w:hAnsi="arial" w:cs="arial"/>
            <w:i/>
            <w:color w:val="0077CC"/>
            <w:sz w:val="20"/>
            <w:u w:val="single"/>
            <w:shd w:val="clear" w:color="auto" w:fill="FFFFFF"/>
            <w:lang w:val="en-US" w:eastAsia="en-US" w:bidi="ar-SA"/>
          </w:rPr>
          <w:t>64 D.L.R. (2d) 457</w:t>
        </w:r>
      </w:hyperlink>
      <w:r>
        <w:rPr>
          <w:rFonts w:ascii="arial" w:eastAsia="arial" w:hAnsi="arial" w:cs="arial"/>
          <w:color w:val="000000"/>
          <w:sz w:val="20"/>
          <w:lang w:val="en-US" w:eastAsia="en-US" w:bidi="ar-SA"/>
        </w:rPr>
        <w:t xml:space="preserve"> (H.C.) [</w:t>
      </w:r>
      <w:r>
        <w:rPr>
          <w:rFonts w:ascii="arial" w:eastAsia="arial" w:hAnsi="arial" w:cs="arial"/>
          <w:b/>
          <w:i/>
          <w:color w:val="000000"/>
          <w:sz w:val="20"/>
          <w:lang w:val="en-US" w:eastAsia="en-US" w:bidi="ar-SA"/>
        </w:rPr>
        <w:t>Clarkson</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Paine Edmonds v. Fornighton</w:t>
      </w:r>
      <w:r>
        <w:rPr>
          <w:rFonts w:ascii="arial" w:eastAsia="arial" w:hAnsi="arial" w:cs="arial"/>
          <w:color w:val="000000"/>
          <w:sz w:val="20"/>
          <w:lang w:val="en-US" w:eastAsia="en-US" w:bidi="ar-SA"/>
        </w:rPr>
        <w:t xml:space="preserve">, </w:t>
      </w:r>
      <w:hyperlink r:id="rId738" w:history="1">
        <w:r>
          <w:rPr>
            <w:rFonts w:ascii="arial" w:eastAsia="arial" w:hAnsi="arial" w:cs="arial"/>
            <w:i/>
            <w:color w:val="0077CC"/>
            <w:sz w:val="20"/>
            <w:u w:val="single"/>
            <w:shd w:val="clear" w:color="auto" w:fill="FFFFFF"/>
            <w:lang w:val="en-US" w:eastAsia="en-US" w:bidi="ar-SA"/>
          </w:rPr>
          <w:t>[1995] B.C.J. No. 911</w:t>
        </w:r>
      </w:hyperlink>
      <w:r>
        <w:rPr>
          <w:rFonts w:ascii="arial" w:eastAsia="arial" w:hAnsi="arial" w:cs="arial"/>
          <w:color w:val="000000"/>
          <w:sz w:val="20"/>
          <w:lang w:val="en-US" w:eastAsia="en-US" w:bidi="ar-SA"/>
        </w:rPr>
        <w:t xml:space="preserve"> (Prov. Ct.) [</w:t>
      </w:r>
      <w:r>
        <w:rPr>
          <w:rFonts w:ascii="arial" w:eastAsia="arial" w:hAnsi="arial" w:cs="arial"/>
          <w:b/>
          <w:i/>
          <w:color w:val="000000"/>
          <w:sz w:val="20"/>
          <w:lang w:val="en-US" w:eastAsia="en-US" w:bidi="ar-SA"/>
        </w:rPr>
        <w:t>Paine Edmonds</w:t>
      </w:r>
      <w:r>
        <w:rPr>
          <w:rFonts w:ascii="arial" w:eastAsia="arial" w:hAnsi="arial" w:cs="arial"/>
          <w:color w:val="000000"/>
          <w:sz w:val="20"/>
          <w:lang w:val="en-US" w:eastAsia="en-US" w:bidi="ar-SA"/>
        </w:rPr>
        <w:t>];</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Boelman let his personal interests interfere with his agency and fiduciary obligations to Hi-Seas by not fully disclosing that Trimex had not paid monies owing under the Charterparty which denied Hi-Seas the right to terminate the Charterparty and re-take possession of the Vessel;</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an agent and fiduciary, Trinav's failure to maintain proper accounts must lead to the most unfavourable version of events being presumed against both it and Boelman: </w:t>
      </w:r>
      <w:r>
        <w:rPr>
          <w:rFonts w:ascii="arial" w:eastAsia="arial" w:hAnsi="arial" w:cs="arial"/>
          <w:b/>
          <w:i/>
          <w:color w:val="000000"/>
          <w:sz w:val="20"/>
          <w:lang w:val="en-US" w:eastAsia="en-US" w:bidi="ar-SA"/>
        </w:rPr>
        <w:t>Yasuda Fire Insurance v. Orion Marine Insurance</w:t>
      </w:r>
      <w:r>
        <w:rPr>
          <w:rFonts w:ascii="arial" w:eastAsia="arial" w:hAnsi="arial" w:cs="arial"/>
          <w:color w:val="000000"/>
          <w:sz w:val="20"/>
          <w:lang w:val="en-US" w:eastAsia="en-US" w:bidi="ar-SA"/>
        </w:rPr>
        <w:t>, [1995] 3 All E.R. 211 (Q.B.); and</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his direction of the affairs of Trinav, Boelman is also liable to Hi-Seas for Trinav's failure to maintain proper accounts so that Boelman is personally obligated to pay the award made by the Arbitration Panel against Trinav.</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Concerning its allegations that Boelman committed equitable fraud by knowingly participating in Trinav's breaches of fiduciary duties owed to it, Hi-Seas submitted that:</w:t>
      </w:r>
      <w:r>
        <w:rPr>
          <w:rFonts w:ascii="arial" w:eastAsia="arial" w:hAnsi="arial" w:cs="arial"/>
          <w:sz w:val="20"/>
          <w:lang w:val="en-US" w:eastAsia="en-US" w:bidi="ar-SA"/>
        </w:rPr>
        <w:cr/>
      </w:r>
    </w:p>
    <w:p>
      <w:pPr>
        <w:numPr>
          <w:numId w:val="6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Boelman's breaches of fiduciary duties owed to Hi-Seas as Trinav's alter ego also amount to equitable fraud which vitiates any contractual terms which might otherwise limit Trinav's or Boelman's liability to Hi-Seas. In making that argument it relies upon </w:t>
      </w:r>
      <w:r>
        <w:rPr>
          <w:rFonts w:ascii="arial" w:eastAsia="arial" w:hAnsi="arial" w:cs="arial"/>
          <w:b/>
          <w:i/>
          <w:color w:val="000000"/>
          <w:sz w:val="20"/>
          <w:lang w:val="en-US" w:eastAsia="en-US" w:bidi="ar-SA"/>
        </w:rPr>
        <w:t>Hart v. O'Connor</w:t>
      </w:r>
      <w:r>
        <w:rPr>
          <w:rFonts w:ascii="arial" w:eastAsia="arial" w:hAnsi="arial" w:cs="arial"/>
          <w:color w:val="000000"/>
          <w:sz w:val="20"/>
          <w:lang w:val="en-US" w:eastAsia="en-US" w:bidi="ar-SA"/>
        </w:rPr>
        <w:t xml:space="preserve">, [1914-15] All E.R. 45, [1985] A.C. 1000 (H.L.) and </w:t>
      </w:r>
      <w:r>
        <w:rPr>
          <w:rFonts w:ascii="arial" w:eastAsia="arial" w:hAnsi="arial" w:cs="arial"/>
          <w:b/>
          <w:i/>
          <w:color w:val="000000"/>
          <w:sz w:val="20"/>
          <w:lang w:val="en-US" w:eastAsia="en-US" w:bidi="ar-SA"/>
        </w:rPr>
        <w:t>Nocton v. Lord Ashburton</w:t>
      </w:r>
      <w:r>
        <w:rPr>
          <w:rFonts w:ascii="arial" w:eastAsia="arial" w:hAnsi="arial" w:cs="arial"/>
          <w:color w:val="000000"/>
          <w:sz w:val="20"/>
          <w:lang w:val="en-US" w:eastAsia="en-US" w:bidi="ar-SA"/>
        </w:rPr>
        <w:t>, [1914] A.C. 932 (H.L.);</w:t>
      </w:r>
    </w:p>
    <w:p>
      <w:pPr>
        <w:numPr>
          <w:numId w:val="6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decision in </w:t>
      </w:r>
      <w:r>
        <w:rPr>
          <w:rFonts w:ascii="arial" w:eastAsia="arial" w:hAnsi="arial" w:cs="arial"/>
          <w:b/>
          <w:i/>
          <w:color w:val="000000"/>
          <w:sz w:val="20"/>
          <w:lang w:val="en-US" w:eastAsia="en-US" w:bidi="ar-SA"/>
        </w:rPr>
        <w:t>Island Realty Investments Ltd. v. Douglas</w:t>
      </w:r>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(1985), 19 E.T.R. 56</w:t>
        </w:r>
      </w:hyperlink>
      <w:r>
        <w:rPr>
          <w:rFonts w:ascii="arial" w:eastAsia="arial" w:hAnsi="arial" w:cs="arial"/>
          <w:color w:val="000000"/>
          <w:sz w:val="20"/>
          <w:lang w:val="en-US" w:eastAsia="en-US" w:bidi="ar-SA"/>
        </w:rPr>
        <w:t xml:space="preserve">, </w:t>
      </w:r>
      <w:hyperlink r:id="rId739" w:history="1">
        <w:r>
          <w:rPr>
            <w:rFonts w:ascii="arial" w:eastAsia="arial" w:hAnsi="arial" w:cs="arial"/>
            <w:i/>
            <w:color w:val="0077CC"/>
            <w:sz w:val="20"/>
            <w:u w:val="single"/>
            <w:shd w:val="clear" w:color="auto" w:fill="FFFFFF"/>
            <w:lang w:val="en-US" w:eastAsia="en-US" w:bidi="ar-SA"/>
          </w:rPr>
          <w:t>[1985] B.C.J. No. 1118</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Island Realty Investments</w:t>
      </w:r>
      <w:r>
        <w:rPr>
          <w:rFonts w:ascii="arial" w:eastAsia="arial" w:hAnsi="arial" w:cs="arial"/>
          <w:color w:val="000000"/>
          <w:sz w:val="20"/>
          <w:lang w:val="en-US" w:eastAsia="en-US" w:bidi="ar-SA"/>
        </w:rPr>
        <w:t xml:space="preserve">] (in which Stewart J. held a corporate director liable as a trustee </w:t>
      </w:r>
      <w:r>
        <w:rPr>
          <w:rFonts w:ascii="arial" w:eastAsia="arial" w:hAnsi="arial" w:cs="arial"/>
          <w:i/>
          <w:color w:val="000000"/>
          <w:sz w:val="20"/>
          <w:lang w:val="en-US" w:eastAsia="en-US" w:bidi="ar-SA"/>
        </w:rPr>
        <w:t>de son tort</w:t>
      </w:r>
      <w:r>
        <w:rPr>
          <w:rFonts w:ascii="arial" w:eastAsia="arial" w:hAnsi="arial" w:cs="arial"/>
          <w:color w:val="000000"/>
          <w:sz w:val="20"/>
          <w:lang w:val="en-US" w:eastAsia="en-US" w:bidi="ar-SA"/>
        </w:rPr>
        <w:t xml:space="preserve"> for participation in a breach of trust even where there was no direct participation in the breach by her), has determined that to establish equitable fraud all that is required is knowledge of or participation in a breach of fiduciary duty; and</w:t>
      </w:r>
    </w:p>
    <w:p>
      <w:pPr>
        <w:numPr>
          <w:numId w:val="60"/>
        </w:numPr>
        <w:tabs>
          <w:tab w:val="clear" w:pos="1120"/>
          <w:tab w:val="num" w:pos="2560"/>
        </w:tabs>
        <w:spacing w:before="120" w:line="260" w:lineRule="atLeast"/>
        <w:ind w:left="256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unfair dealing in matters of contract may amount to equitable fraud. In making that argument Hi-Seas relies upon the following statement from the decision of Binnie J. in </w:t>
      </w:r>
      <w:r>
        <w:rPr>
          <w:rFonts w:ascii="arial" w:eastAsia="arial" w:hAnsi="arial" w:cs="arial"/>
          <w:b/>
          <w:i/>
          <w:color w:val="000000"/>
          <w:sz w:val="20"/>
          <w:lang w:val="en-US" w:eastAsia="en-US" w:bidi="ar-SA"/>
        </w:rPr>
        <w:t>Performance Industries Ltd. v. Sylvan Lake Golf and Tennis Club Ltd</w:t>
      </w:r>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[2002] 1 S.C.R. 678</w:t>
        </w:r>
      </w:hyperlink>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2002 SCC 19</w:t>
        </w:r>
      </w:hyperlink>
      <w:r>
        <w:rPr>
          <w:rFonts w:ascii="arial" w:eastAsia="arial" w:hAnsi="arial" w:cs="arial"/>
          <w:color w:val="000000"/>
          <w:sz w:val="20"/>
          <w:lang w:val="en-US" w:eastAsia="en-US" w:bidi="ar-SA"/>
        </w:rPr>
        <w:t xml:space="preserve">, </w:t>
      </w:r>
      <w:hyperlink r:id="rId740" w:history="1">
        <w:r>
          <w:rPr>
            <w:rFonts w:ascii="arial" w:eastAsia="arial" w:hAnsi="arial" w:cs="arial"/>
            <w:i/>
            <w:color w:val="0077CC"/>
            <w:sz w:val="20"/>
            <w:u w:val="single"/>
            <w:shd w:val="clear" w:color="auto" w:fill="FFFFFF"/>
            <w:lang w:val="en-US" w:eastAsia="en-US" w:bidi="ar-SA"/>
          </w:rPr>
          <w:t>209 D.L.R. (4th) 318</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Performance Industries</w:t>
      </w:r>
      <w:r>
        <w:rPr>
          <w:rFonts w:ascii="arial" w:eastAsia="arial" w:hAnsi="arial" w:cs="arial"/>
          <w:color w:val="000000"/>
          <w:sz w:val="20"/>
          <w:lang w:val="en-US" w:eastAsia="en-US" w:bidi="ar-SA"/>
        </w:rPr>
        <w:t>] at paragraph 39:</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amounts to "fraud or equivalent of fraud" is, of course, a crucial question. In </w:t>
      </w:r>
      <w:r>
        <w:rPr>
          <w:rFonts w:ascii="arial" w:eastAsia="arial" w:hAnsi="arial" w:cs="arial"/>
          <w:i/>
          <w:color w:val="000000"/>
          <w:sz w:val="20"/>
          <w:lang w:val="en-US" w:eastAsia="en-US" w:bidi="ar-SA"/>
        </w:rPr>
        <w:t>First City Capital Ltd. v. British Columbia Corp.</w:t>
      </w:r>
      <w:r>
        <w:rPr>
          <w:rFonts w:ascii="arial" w:eastAsia="arial" w:hAnsi="arial" w:cs="arial"/>
          <w:color w:val="000000"/>
          <w:sz w:val="20"/>
          <w:lang w:val="en-US" w:eastAsia="en-US" w:bidi="ar-SA"/>
        </w:rPr>
        <w:t xml:space="preserve"> </w:t>
      </w:r>
      <w:hyperlink r:id="rId741" w:history="1">
        <w:r>
          <w:rPr>
            <w:rFonts w:ascii="arial" w:eastAsia="arial" w:hAnsi="arial" w:cs="arial"/>
            <w:i/>
            <w:color w:val="0077CC"/>
            <w:sz w:val="20"/>
            <w:u w:val="single"/>
            <w:shd w:val="clear" w:color="auto" w:fill="FFFFFF"/>
            <w:lang w:val="en-US" w:eastAsia="en-US" w:bidi="ar-SA"/>
          </w:rPr>
          <w:t>(1989), 43 B.L.R. 29</w:t>
        </w:r>
      </w:hyperlink>
      <w:r>
        <w:rPr>
          <w:rFonts w:ascii="arial" w:eastAsia="arial" w:hAnsi="arial" w:cs="arial"/>
          <w:color w:val="000000"/>
          <w:sz w:val="20"/>
          <w:lang w:val="en-US" w:eastAsia="en-US" w:bidi="ar-SA"/>
        </w:rPr>
        <w:t xml:space="preserve"> (B.C.S.C.), McLachlin C.J.S.C. (as she then was) observed that "in this context fraud or the equivalent of fraud' refers not to the tort of deceit or strict fraud in the legal sense, but rather to the broader category of equitable fraud or constructive fraud. ... Fraud in this wider sense refers to transactions falling short of deceit but where the Court is of the opinion that it is unconscientious for a person to avail himself of the advantage obtained" (p. 37). Fraud in the "wider sense" of a ground for equitable relief "is so infinite in its varieties that the Courts have not attempted to define it", but "all kinds of unfair dealing and unconscionable conduct in matters of contract come within its ken": </w:t>
      </w:r>
      <w:r>
        <w:rPr>
          <w:rFonts w:ascii="arial" w:eastAsia="arial" w:hAnsi="arial" w:cs="arial"/>
          <w:i/>
          <w:color w:val="000000"/>
          <w:sz w:val="20"/>
          <w:lang w:val="en-US" w:eastAsia="en-US" w:bidi="ar-SA"/>
        </w:rPr>
        <w:t>McMaster University v. Wilchar Construction Ltd.</w:t>
      </w:r>
      <w:r>
        <w:rPr>
          <w:rFonts w:ascii="arial" w:eastAsia="arial" w:hAnsi="arial" w:cs="arial"/>
          <w:color w:val="000000"/>
          <w:sz w:val="20"/>
          <w:lang w:val="en-US" w:eastAsia="en-US" w:bidi="ar-SA"/>
        </w:rPr>
        <w:t xml:space="preserve"> </w:t>
      </w:r>
      <w:hyperlink r:id="rId742" w:history="1">
        <w:r>
          <w:rPr>
            <w:rFonts w:ascii="arial" w:eastAsia="arial" w:hAnsi="arial" w:cs="arial"/>
            <w:i/>
            <w:color w:val="0077CC"/>
            <w:sz w:val="20"/>
            <w:u w:val="single"/>
            <w:shd w:val="clear" w:color="auto" w:fill="FFFFFF"/>
            <w:lang w:val="en-US" w:eastAsia="en-US" w:bidi="ar-SA"/>
          </w:rPr>
          <w:t>(1971), 22 D.L.R. (3d) 9</w:t>
        </w:r>
      </w:hyperlink>
      <w:r>
        <w:rPr>
          <w:rFonts w:ascii="arial" w:eastAsia="arial" w:hAnsi="arial" w:cs="arial"/>
          <w:color w:val="000000"/>
          <w:sz w:val="20"/>
          <w:lang w:val="en-US" w:eastAsia="en-US" w:bidi="ar-SA"/>
        </w:rPr>
        <w:t xml:space="preserve"> (Ont. H.C.), at p. 19. See also </w:t>
      </w:r>
      <w:r>
        <w:rPr>
          <w:rFonts w:ascii="arial" w:eastAsia="arial" w:hAnsi="arial" w:cs="arial"/>
          <w:i/>
          <w:color w:val="000000"/>
          <w:sz w:val="20"/>
          <w:lang w:val="en-US" w:eastAsia="en-US" w:bidi="ar-SA"/>
        </w:rPr>
        <w:t>Montreal Trust Co. v. Maley</w:t>
      </w:r>
      <w:r>
        <w:rPr>
          <w:rFonts w:ascii="arial" w:eastAsia="arial" w:hAnsi="arial" w:cs="arial"/>
          <w:color w:val="000000"/>
          <w:sz w:val="20"/>
          <w:lang w:val="en-US" w:eastAsia="en-US" w:bidi="ar-SA"/>
        </w:rPr>
        <w:t xml:space="preserve"> </w:t>
      </w:r>
      <w:hyperlink r:id="rId743" w:history="1">
        <w:r>
          <w:rPr>
            <w:rFonts w:ascii="arial" w:eastAsia="arial" w:hAnsi="arial" w:cs="arial"/>
            <w:i/>
            <w:color w:val="0077CC"/>
            <w:sz w:val="20"/>
            <w:u w:val="single"/>
            <w:shd w:val="clear" w:color="auto" w:fill="FFFFFF"/>
            <w:lang w:val="en-US" w:eastAsia="en-US" w:bidi="ar-SA"/>
          </w:rPr>
          <w:t>(1992), 99 D.L.R. (4th) 257</w:t>
        </w:r>
      </w:hyperlink>
      <w:r>
        <w:rPr>
          <w:rFonts w:ascii="arial" w:eastAsia="arial" w:hAnsi="arial" w:cs="arial"/>
          <w:color w:val="000000"/>
          <w:sz w:val="20"/>
          <w:lang w:val="en-US" w:eastAsia="en-US" w:bidi="ar-SA"/>
        </w:rPr>
        <w:t xml:space="preserve"> (Sask. C.A.),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Wakeling J.A.</w:t>
      </w:r>
      <w:r>
        <w:rPr>
          <w:rFonts w:ascii="arial" w:eastAsia="arial" w:hAnsi="arial" w:cs="arial"/>
          <w:i/>
          <w:color w:val="000000"/>
          <w:sz w:val="20"/>
          <w:lang w:val="en-US" w:eastAsia="en-US" w:bidi="ar-SA"/>
        </w:rPr>
        <w:t>.; Alampi v. Swartz</w:t>
      </w:r>
      <w:r>
        <w:rPr>
          <w:rFonts w:ascii="arial" w:eastAsia="arial" w:hAnsi="arial" w:cs="arial"/>
          <w:color w:val="000000"/>
          <w:sz w:val="20"/>
          <w:lang w:val="en-US" w:eastAsia="en-US" w:bidi="ar-SA"/>
        </w:rPr>
        <w:t xml:space="preserve"> </w:t>
      </w:r>
      <w:hyperlink r:id="rId744" w:history="1">
        <w:r>
          <w:rPr>
            <w:rFonts w:ascii="arial" w:eastAsia="arial" w:hAnsi="arial" w:cs="arial"/>
            <w:i/>
            <w:color w:val="0077CC"/>
            <w:sz w:val="20"/>
            <w:u w:val="single"/>
            <w:shd w:val="clear" w:color="auto" w:fill="FFFFFF"/>
            <w:lang w:val="en-US" w:eastAsia="en-US" w:bidi="ar-SA"/>
          </w:rPr>
          <w:t>(1964), 43 D.L.R. (2d) 11</w:t>
        </w:r>
      </w:hyperlink>
      <w:r>
        <w:rPr>
          <w:rFonts w:ascii="arial" w:eastAsia="arial" w:hAnsi="arial" w:cs="arial"/>
          <w:color w:val="000000"/>
          <w:sz w:val="20"/>
          <w:lang w:val="en-US" w:eastAsia="en-US" w:bidi="ar-SA"/>
        </w:rPr>
        <w:t xml:space="preserve"> (Ont. C.A.); </w:t>
      </w:r>
      <w:r>
        <w:rPr>
          <w:rFonts w:ascii="arial" w:eastAsia="arial" w:hAnsi="arial" w:cs="arial"/>
          <w:i/>
          <w:color w:val="000000"/>
          <w:sz w:val="20"/>
          <w:lang w:val="en-US" w:eastAsia="en-US" w:bidi="ar-SA"/>
        </w:rPr>
        <w:t>Stepps Investments Ltd. v. Security Capital Corp.</w:t>
      </w:r>
      <w:r>
        <w:rPr>
          <w:rFonts w:ascii="arial" w:eastAsia="arial" w:hAnsi="arial" w:cs="arial"/>
          <w:color w:val="000000"/>
          <w:sz w:val="20"/>
          <w:lang w:val="en-US" w:eastAsia="en-US" w:bidi="ar-SA"/>
        </w:rPr>
        <w:t xml:space="preserve"> </w:t>
      </w:r>
      <w:hyperlink r:id="rId745" w:history="1">
        <w:r>
          <w:rPr>
            <w:rFonts w:ascii="arial" w:eastAsia="arial" w:hAnsi="arial" w:cs="arial"/>
            <w:i/>
            <w:color w:val="0077CC"/>
            <w:sz w:val="20"/>
            <w:u w:val="single"/>
            <w:shd w:val="clear" w:color="auto" w:fill="FFFFFF"/>
            <w:lang w:val="en-US" w:eastAsia="en-US" w:bidi="ar-SA"/>
          </w:rPr>
          <w:t>(1976), 73 D.L.R. (3d) 351</w:t>
        </w:r>
      </w:hyperlink>
      <w:r>
        <w:rPr>
          <w:rFonts w:ascii="arial" w:eastAsia="arial" w:hAnsi="arial" w:cs="arial"/>
          <w:color w:val="000000"/>
          <w:sz w:val="20"/>
          <w:lang w:val="en-US" w:eastAsia="en-US" w:bidi="ar-SA"/>
        </w:rPr>
        <w:t xml:space="preserve"> (Ont. H.C.),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Grange J. (as he then was), at pp. 362-63; and Waddams,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342.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Concerning its submissions that Boelman is personally liable to Hi-Seas for having induced, participated in, and assisted breaches of fiduciary duties or breaches of trust by Trinav in failing to account for monies owing to it by Trimex under the Charterparty, Hi-Seas submitted that:</w:t>
      </w:r>
      <w:r>
        <w:rPr>
          <w:rFonts w:ascii="arial" w:eastAsia="arial" w:hAnsi="arial" w:cs="arial"/>
          <w:sz w:val="20"/>
          <w:lang w:val="en-US" w:eastAsia="en-US" w:bidi="ar-SA"/>
        </w:rPr>
        <w:cr/>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Arbitration Panel determined that Trinav was Hi-Seas' agent and breached its fiduciary duties as an agent in failing to: fully disclose all financial dealings concerning the Vessel; properly care for and deal with the Vessel as if it were its own property; and failing to properly account for monies due from Trimex to Hi-Seas under the Charterparty;</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breaches of fiduciary duties constitute breaches of trust by Trinav;</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alternatively, the decisions of our Court of Appeal in </w:t>
      </w:r>
      <w:r>
        <w:rPr>
          <w:rFonts w:ascii="arial" w:eastAsia="arial" w:hAnsi="arial" w:cs="arial"/>
          <w:b/>
          <w:i/>
          <w:color w:val="000000"/>
          <w:sz w:val="20"/>
          <w:lang w:val="en-US" w:eastAsia="en-US" w:bidi="ar-SA"/>
        </w:rPr>
        <w:t>Monarch Entertainment Corporation v. Strother</w:t>
      </w:r>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(2005), 38 B.C.L.R. (4th) 159</w:t>
        </w:r>
      </w:hyperlink>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2005 BCCA 35</w:t>
        </w:r>
      </w:hyperlink>
      <w:r>
        <w:rPr>
          <w:rFonts w:ascii="arial" w:eastAsia="arial" w:hAnsi="arial" w:cs="arial"/>
          <w:color w:val="000000"/>
          <w:sz w:val="20"/>
          <w:lang w:val="en-US" w:eastAsia="en-US" w:bidi="ar-SA"/>
        </w:rPr>
        <w:t xml:space="preserve">, </w:t>
      </w:r>
      <w:hyperlink r:id="rId746" w:history="1">
        <w:r>
          <w:rPr>
            <w:rFonts w:ascii="arial" w:eastAsia="arial" w:hAnsi="arial" w:cs="arial"/>
            <w:i/>
            <w:color w:val="0077CC"/>
            <w:sz w:val="20"/>
            <w:u w:val="single"/>
            <w:shd w:val="clear" w:color="auto" w:fill="FFFFFF"/>
            <w:lang w:val="en-US" w:eastAsia="en-US" w:bidi="ar-SA"/>
          </w:rPr>
          <w:t>28 C.C.L.T. (3d) 159</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Strother</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Alers-Hankey v. Solomon</w:t>
      </w:r>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(2002), 166 B.C.A.C. 237</w:t>
        </w:r>
      </w:hyperlink>
      <w:r>
        <w:rPr>
          <w:rFonts w:ascii="arial" w:eastAsia="arial" w:hAnsi="arial" w:cs="arial"/>
          <w:color w:val="000000"/>
          <w:sz w:val="20"/>
          <w:lang w:val="en-US" w:eastAsia="en-US" w:bidi="ar-SA"/>
        </w:rPr>
        <w:t xml:space="preserve">, </w:t>
      </w:r>
      <w:hyperlink r:id="rId747" w:history="1">
        <w:r>
          <w:rPr>
            <w:rFonts w:ascii="arial" w:eastAsia="arial" w:hAnsi="arial" w:cs="arial"/>
            <w:i/>
            <w:color w:val="0077CC"/>
            <w:sz w:val="20"/>
            <w:u w:val="single"/>
            <w:shd w:val="clear" w:color="auto" w:fill="FFFFFF"/>
            <w:lang w:val="en-US" w:eastAsia="en-US" w:bidi="ar-SA"/>
          </w:rPr>
          <w:t>2002 BCCA 227</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Alers-Hankey</w:t>
      </w:r>
      <w:r>
        <w:rPr>
          <w:rFonts w:ascii="arial" w:eastAsia="arial" w:hAnsi="arial" w:cs="arial"/>
          <w:color w:val="000000"/>
          <w:sz w:val="20"/>
          <w:lang w:val="en-US" w:eastAsia="en-US" w:bidi="ar-SA"/>
        </w:rPr>
        <w:t>] establish that the legal principles applicable to participation in a breach of trust are equally applicable to a breach of fiduciary duty;</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even if Boelman was a stranger to the agency, fiduciary and trust relationship between Trinav and Hi-Seas (as opposed to being liable to account to Hi-Seas as an alter ego or by reason of equitable fraud), the decisions of the Supreme Court of Canada in </w:t>
      </w:r>
      <w:r>
        <w:rPr>
          <w:rFonts w:ascii="arial" w:eastAsia="arial" w:hAnsi="arial" w:cs="arial"/>
          <w:b/>
          <w:i/>
          <w:color w:val="000000"/>
          <w:sz w:val="20"/>
          <w:lang w:val="en-US" w:eastAsia="en-US" w:bidi="ar-SA"/>
        </w:rPr>
        <w:t>Air Canada v. M &amp; L Travel Ltd.</w:t>
      </w:r>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[1993] 3 S.C.R. 787</w:t>
        </w:r>
      </w:hyperlink>
      <w:r>
        <w:rPr>
          <w:rFonts w:ascii="arial" w:eastAsia="arial" w:hAnsi="arial" w:cs="arial"/>
          <w:color w:val="000000"/>
          <w:sz w:val="20"/>
          <w:lang w:val="en-US" w:eastAsia="en-US" w:bidi="ar-SA"/>
        </w:rPr>
        <w:t xml:space="preserve">, </w:t>
      </w:r>
      <w:hyperlink r:id="rId748" w:history="1">
        <w:r>
          <w:rPr>
            <w:rFonts w:ascii="arial" w:eastAsia="arial" w:hAnsi="arial" w:cs="arial"/>
            <w:i/>
            <w:color w:val="0077CC"/>
            <w:sz w:val="20"/>
            <w:u w:val="single"/>
            <w:shd w:val="clear" w:color="auto" w:fill="FFFFFF"/>
            <w:lang w:val="en-US" w:eastAsia="en-US" w:bidi="ar-SA"/>
          </w:rPr>
          <w:t>108 D.L.R. (4th) 592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M &amp; L Travel</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Citadel General Insurance Co. v. Lloyd's Bank Canada</w:t>
      </w:r>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[1997] 3 S.C.R. 805</w:t>
        </w:r>
      </w:hyperlink>
      <w:r>
        <w:rPr>
          <w:rFonts w:ascii="arial" w:eastAsia="arial" w:hAnsi="arial" w:cs="arial"/>
          <w:color w:val="000000"/>
          <w:sz w:val="20"/>
          <w:lang w:val="en-US" w:eastAsia="en-US" w:bidi="ar-SA"/>
        </w:rPr>
        <w:t xml:space="preserve">, </w:t>
      </w:r>
      <w:hyperlink r:id="rId749" w:history="1">
        <w:r>
          <w:rPr>
            <w:rFonts w:ascii="arial" w:eastAsia="arial" w:hAnsi="arial" w:cs="arial"/>
            <w:i/>
            <w:color w:val="0077CC"/>
            <w:sz w:val="20"/>
            <w:u w:val="single"/>
            <w:shd w:val="clear" w:color="auto" w:fill="FFFFFF"/>
            <w:lang w:val="en-US" w:eastAsia="en-US" w:bidi="ar-SA"/>
          </w:rPr>
          <w:t>152 D.L.R. (4th) 411</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Citadel Insurance</w:t>
      </w:r>
      <w:r>
        <w:rPr>
          <w:rFonts w:ascii="arial" w:eastAsia="arial" w:hAnsi="arial" w:cs="arial"/>
          <w:color w:val="000000"/>
          <w:sz w:val="20"/>
          <w:lang w:val="en-US" w:eastAsia="en-US" w:bidi="ar-SA"/>
        </w:rPr>
        <w:t xml:space="preserve">] and of the Ontario Court of Appeal in </w:t>
      </w:r>
      <w:r>
        <w:rPr>
          <w:rFonts w:ascii="arial" w:eastAsia="arial" w:hAnsi="arial" w:cs="arial"/>
          <w:b/>
          <w:i/>
          <w:color w:val="000000"/>
          <w:sz w:val="20"/>
          <w:lang w:val="en-US" w:eastAsia="en-US" w:bidi="ar-SA"/>
        </w:rPr>
        <w:t>Commercial Union Life Assurance Company of Canada v. John Ingle Insurance Group Inc. et al.</w:t>
      </w:r>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(2002), 61 O.R. (3d) 296</w:t>
        </w:r>
      </w:hyperlink>
      <w:r>
        <w:rPr>
          <w:rFonts w:ascii="arial" w:eastAsia="arial" w:hAnsi="arial" w:cs="arial"/>
          <w:color w:val="000000"/>
          <w:sz w:val="20"/>
          <w:lang w:val="en-US" w:eastAsia="en-US" w:bidi="ar-SA"/>
        </w:rPr>
        <w:t xml:space="preserve">, </w:t>
      </w:r>
      <w:hyperlink r:id="rId750" w:history="1">
        <w:r>
          <w:rPr>
            <w:rFonts w:ascii="arial" w:eastAsia="arial" w:hAnsi="arial" w:cs="arial"/>
            <w:i/>
            <w:color w:val="0077CC"/>
            <w:sz w:val="20"/>
            <w:u w:val="single"/>
            <w:shd w:val="clear" w:color="auto" w:fill="FFFFFF"/>
            <w:lang w:val="en-US" w:eastAsia="en-US" w:bidi="ar-SA"/>
          </w:rPr>
          <w:t>217 D.L.R. (4th) 178</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John Ingle Insurance</w:t>
      </w:r>
      <w:r>
        <w:rPr>
          <w:rFonts w:ascii="arial" w:eastAsia="arial" w:hAnsi="arial" w:cs="arial"/>
          <w:color w:val="000000"/>
          <w:sz w:val="20"/>
          <w:lang w:val="en-US" w:eastAsia="en-US" w:bidi="ar-SA"/>
        </w:rPr>
        <w:t>] establish that he is still liable as the director of Trinav to fully account to Hi-Seas for losses suffered by it as a consequence of Trinav's breaches of fiduciary duty and breaches of trust;</w:t>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such liability arises from either having himself participated in or having knowingly assisted Trinav in its breaches of trust and fiduciary duty from which he personally benefited in the same way that the directors of M &amp; L Travel were liable to Air Canada in </w:t>
      </w:r>
      <w:r>
        <w:rPr>
          <w:rFonts w:ascii="arial" w:eastAsia="arial" w:hAnsi="arial" w:cs="arial"/>
          <w:b/>
          <w:i/>
          <w:color w:val="000000"/>
          <w:sz w:val="20"/>
          <w:lang w:val="en-US" w:eastAsia="en-US" w:bidi="ar-SA"/>
        </w:rPr>
        <w:t>M &amp; L Travel</w:t>
      </w:r>
      <w:r>
        <w:rPr>
          <w:rFonts w:ascii="arial" w:eastAsia="arial" w:hAnsi="arial" w:cs="arial"/>
          <w:color w:val="000000"/>
          <w:sz w:val="20"/>
          <w:lang w:val="en-US" w:eastAsia="en-US" w:bidi="ar-SA"/>
        </w:rPr>
        <w:t xml:space="preserve"> for failing to properly account for monies collected through the sales of Air Canada tickets. That is so, because, as stated by Iacobucci J. (at 827):</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that the appellant [a director of M &amp; L Travel] participated or assisted in the breach of trust. As was the case in </w:t>
      </w:r>
      <w:r>
        <w:rPr>
          <w:rFonts w:ascii="arial" w:eastAsia="arial" w:hAnsi="arial" w:cs="arial"/>
          <w:i/>
          <w:color w:val="000000"/>
          <w:sz w:val="20"/>
          <w:lang w:val="en-US" w:eastAsia="en-US" w:bidi="ar-SA"/>
        </w:rPr>
        <w:t>Horsman Bros</w:t>
      </w:r>
      <w:r>
        <w:rPr>
          <w:rFonts w:ascii="arial" w:eastAsia="arial" w:hAnsi="arial" w:cs="arial"/>
          <w:color w:val="000000"/>
          <w:sz w:val="20"/>
          <w:lang w:val="en-US" w:eastAsia="en-US" w:bidi="ar-SA"/>
        </w:rPr>
        <w:t xml:space="preserve">., </w:t>
      </w:r>
      <w:hyperlink r:id="rId751" w:history="1">
        <w:r>
          <w:rPr>
            <w:rFonts w:ascii="arial" w:eastAsia="arial" w:hAnsi="arial" w:cs="arial"/>
            <w:i/>
            <w:color w:val="0077CC"/>
            <w:sz w:val="20"/>
            <w:u w:val="single"/>
            <w:shd w:val="clear" w:color="auto" w:fill="FFFFFF"/>
            <w:lang w:val="en-US" w:eastAsia="en-US" w:bidi="ar-SA"/>
          </w:rPr>
          <w:t>[1976] B.C.J. No. 1198</w:t>
        </w:r>
      </w:hyperlink>
      <w:r>
        <w:rPr>
          <w:rFonts w:ascii="arial" w:eastAsia="arial" w:hAnsi="arial" w:cs="arial"/>
          <w:color w:val="000000"/>
          <w:sz w:val="20"/>
          <w:lang w:val="en-US" w:eastAsia="en-US" w:bidi="ar-SA"/>
        </w:rPr>
        <w:t>, the appellant dealt with the funds in question: in particular, he stopped payment on all cheques, and then opened a trust account and attempted to withdraw the stop payment orders and to transfer the funds into the new trust account in order to pay the respondent. The breach of trust was directly caused by the conduct of the defendant directors. As Griffiths J.A. observed, at p. 204: "[t]he movement of these directors, acting solely in their own interest to stop payment on cheques, not only prevented payment on cheques issued to Air Canada, but precipitated the seizure by the bank of the only funds available in the unprotected general account." In such circumstances, the directors are personally liable for the breach of trust as constructive trustees provided that the requisite knowledge on the part of the directors is proved.</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With respect to the knowledge requirement, this will not generally be a difficult hurdle to overcome in cases involving directors of closely held corporations. Such directors, if active, usually have knowledge of all of the actions of the corporate trustee. ...</w:t>
      </w:r>
    </w:p>
    <w:p>
      <w:pPr>
        <w:numPr>
          <w:numId w:val="6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evidence of Boelman at the Arbitration establishes that as the sole director and shareholder of Trinav, he was its controlling mind and thus the requirement of proving his knowledge of and direction of Trinav's breaches of fiduciary duty and breaches of trust is easily overcome.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Concerning any submissions by Boelman that a finding of personal liability against him is precluded by clauses 4.1 and 4.2 of the Vessel Management Agreement (which are set out in full in paragraph 20 of this judgment), Hi-Seas relies upon the proposition that such clauses are repugnant to the concept of a deliberate breach of trust or breach of fiduciary duty and thus unenforceable. In making that submission he refers to a discussion of limitation clauses in trustee relationships by the decision of the English Court of Appeal in </w:t>
      </w:r>
      <w:r>
        <w:rPr>
          <w:rFonts w:ascii="arial" w:eastAsia="arial" w:hAnsi="arial" w:cs="arial"/>
          <w:b/>
          <w:i/>
          <w:color w:val="000000"/>
          <w:sz w:val="20"/>
          <w:lang w:val="en-US" w:eastAsia="en-US" w:bidi="ar-SA"/>
        </w:rPr>
        <w:t>Armitage v. Nurse</w:t>
      </w:r>
      <w:r>
        <w:rPr>
          <w:rFonts w:ascii="arial" w:eastAsia="arial" w:hAnsi="arial" w:cs="arial"/>
          <w:color w:val="000000"/>
          <w:sz w:val="20"/>
          <w:lang w:val="en-US" w:eastAsia="en-US" w:bidi="ar-SA"/>
        </w:rPr>
        <w:t>, [1998] Ch.D. 241 (C.A.) [</w:t>
      </w:r>
      <w:r>
        <w:rPr>
          <w:rFonts w:ascii="arial" w:eastAsia="arial" w:hAnsi="arial" w:cs="arial"/>
          <w:b/>
          <w:i/>
          <w:color w:val="000000"/>
          <w:sz w:val="20"/>
          <w:lang w:val="en-US" w:eastAsia="en-US" w:bidi="ar-SA"/>
        </w:rPr>
        <w:t>Armitage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Finally, concerning the legal test for the dismissal of its claims against Boelman under Rule 18(6), Hi-Seas submits that I should follow the observations of the Supreme Court of Canada in </w:t>
      </w:r>
      <w:r>
        <w:rPr>
          <w:rFonts w:ascii="arial" w:eastAsia="arial" w:hAnsi="arial" w:cs="arial"/>
          <w:b/>
          <w:i/>
          <w:color w:val="000000"/>
          <w:sz w:val="20"/>
          <w:lang w:val="en-US" w:eastAsia="en-US" w:bidi="ar-SA"/>
        </w:rPr>
        <w:t>Hunt v. Carey Canada Inc</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[1990] 2 S.C.R. 959</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49 B.C.L.R. (2d) 273</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by allowing this matter to proceed to trial.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concerning an application to strike a statement of claim under Rule 19(24), Wilson J. stated (at 990-991)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fact that a pleading reveals "an arguable, difficult or important point of law" cannot justify striking out part of the statement of claim. Indeed, I would go so far as to suggest that where a statement of claim reveals a difficult and important point of law, it may well be critical that the action be allowed to proceed. Only in this way can we be sure that the common law in general, and the law of torts in particular, will continue to evolve to meet the legal challenges that arise in our modern industrial society.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Counsel for Hi-Seas also relied upon the fact that the Arbitration Panel held Trinav liable for breach of agency and breaches of fiduciary duty as compelling proof that the pleadings and evidence in this case give rise to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issues that are not bound to fail.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Boelman's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The primary argument advanced by Mr. Cowper on behalf of Boelman is that even if Trinav is liable to Hi-Seas for breaches of fiduciary duty or breaches of trust as determined by the Arbitration (which Boelman does not accept), Hi-Seas' attempts to impose personal liability upon Boelman for the actions of Trinav by way of the various legal arguments advanced are all bound to fail, even when analyzed in light of the facts most favourable to Hi-Seas.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Boelman further submits that this action is bound to fail by reason of the terms of the Vessel Management Agreement which was entered into by both Hi-Seas and Trinav with the benefit of independent legal advice in very specific uncontested circumstances including: the numerous acknowledged defaults by Hi-Seas under the Charterparty; the costs suffered by Trimex as a result of those defaults; the exposure of Trimex to potential liability to third parties arising from those defaults; and the steps taken by Trimex to ameliorate the effect of those defaults.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xml:space="preserve">  Concerning Hi-Seas' allegations founded upon propositions of alter ego, equitable fraud, and other arguments that would require the Court to "pierce the corporate veil" for Hi-Seas to be successful in establishing that he is personally liable for the acts of Trinav, Boelman submits that such claims are bound to fail by reason of the application of the principles enunciated by the Court of Appeal in </w:t>
      </w:r>
      <w:r>
        <w:rPr>
          <w:rFonts w:ascii="arial" w:eastAsia="arial" w:hAnsi="arial" w:cs="arial"/>
          <w:b/>
          <w:i/>
          <w:color w:val="000000"/>
          <w:sz w:val="20"/>
          <w:lang w:val="en-US" w:eastAsia="en-US" w:bidi="ar-SA"/>
        </w:rPr>
        <w:t>B.G. Preeco 1 (Pac. Const.) Ltd. v. Bon Street Hold. Ltd</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(1989), 37 B.C.L.R (2d) 258</w:t>
        </w:r>
      </w:hyperlink>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60 D.L.R. (4th) 30</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B.G. Preeco</w:t>
      </w:r>
      <w:r>
        <w:rPr>
          <w:rFonts w:ascii="arial" w:eastAsia="arial" w:hAnsi="arial" w:cs="arial"/>
          <w:color w:val="000000"/>
          <w:sz w:val="20"/>
          <w:lang w:val="en-US" w:eastAsia="en-US" w:bidi="ar-SA"/>
        </w:rPr>
        <w:t xml:space="preserve">], as considered and applied by Brenner C.J.S.C. in </w:t>
      </w:r>
      <w:r>
        <w:rPr>
          <w:rFonts w:ascii="arial" w:eastAsia="arial" w:hAnsi="arial" w:cs="arial"/>
          <w:b/>
          <w:i/>
          <w:color w:val="000000"/>
          <w:sz w:val="20"/>
          <w:lang w:val="en-US" w:eastAsia="en-US" w:bidi="ar-SA"/>
        </w:rPr>
        <w:t>Re Down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(2000), 80 B.C.L.R. (3d) 28</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2000 BCSC 1148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xml:space="preserve">  In the trial decision in </w:t>
      </w:r>
      <w:r>
        <w:rPr>
          <w:rFonts w:ascii="arial" w:eastAsia="arial" w:hAnsi="arial" w:cs="arial"/>
          <w:b/>
          <w:i/>
          <w:color w:val="000000"/>
          <w:sz w:val="20"/>
          <w:lang w:val="en-US" w:eastAsia="en-US" w:bidi="ar-SA"/>
        </w:rPr>
        <w:t>B.G. Preeco</w:t>
      </w:r>
      <w:r>
        <w:rPr>
          <w:rFonts w:ascii="arial" w:eastAsia="arial" w:hAnsi="arial" w:cs="arial"/>
          <w:color w:val="000000"/>
          <w:sz w:val="20"/>
          <w:lang w:val="en-US" w:eastAsia="en-US" w:bidi="ar-SA"/>
        </w:rPr>
        <w:t xml:space="preserve">, which is reported at </w:t>
      </w:r>
      <w:r>
        <w:rPr>
          <w:rFonts w:ascii="arial" w:eastAsia="arial" w:hAnsi="arial" w:cs="arial"/>
          <w:i/>
          <w:color w:val="000000"/>
          <w:sz w:val="20"/>
          <w:lang w:val="en-US" w:eastAsia="en-US" w:bidi="ar-SA"/>
        </w:rPr>
        <w:t>[1988] B.C.J. No. 1641</w:t>
      </w:r>
      <w:r>
        <w:rPr>
          <w:rFonts w:ascii="arial" w:eastAsia="arial" w:hAnsi="arial" w:cs="arial"/>
          <w:color w:val="000000"/>
          <w:sz w:val="20"/>
          <w:lang w:val="en-US" w:eastAsia="en-US" w:bidi="ar-SA"/>
        </w:rPr>
        <w:t xml:space="preserve"> (S.C.), Paris J. considered arguments very similar to those now advanced by Hi-Seas against Boelman. The case involved claims against two corporate defendants and two individual defendants (the directors of the corporate defendants) for damages suffered as a consequence of the failure of a real estate transaction. Damages were awarded by Paris J. against one corporation and the individual defendants based upon fraudulent misrepresentation. However, in considering the plaintiff's arguments concerning the individual defendant's use of the corporate defendants as a "device or sham", Paris J. stated (at 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Plaintiff's counsel also made a submission expressed in rather general and sweeping terms that the 57 company was a mere "device and sham" and the court should "pierce the corporate veil" to hold the individual defendants liable </w:t>
      </w:r>
      <w:r>
        <w:rPr>
          <w:rFonts w:ascii="arial" w:eastAsia="arial" w:hAnsi="arial" w:cs="arial"/>
          <w:color w:val="000000"/>
          <w:sz w:val="20"/>
          <w:u w:val="single"/>
          <w:lang w:val="en-US" w:eastAsia="en-US" w:bidi="ar-SA"/>
        </w:rPr>
        <w:t>on the agreement</w:t>
      </w:r>
      <w:r>
        <w:rPr>
          <w:rFonts w:ascii="arial" w:eastAsia="arial" w:hAnsi="arial" w:cs="arial"/>
          <w:color w:val="000000"/>
          <w:sz w:val="20"/>
          <w:lang w:val="en-US" w:eastAsia="en-US" w:bidi="ar-SA"/>
        </w:rPr>
        <w:t xml:space="preserve">. However, the 57 company was a properly incorporated legal entity whose principles intended to operate through it for specific purposes which I have described. It had no significant assets - it was a "shell" company - but of course that per se does not mean it did not have the power to contract to purchase real estate. Indeed, I was told that that was not uncommon in the real estate industry. Furthermore, the </w:t>
      </w:r>
      <w:r>
        <w:rPr>
          <w:rFonts w:ascii="arial" w:eastAsia="arial" w:hAnsi="arial" w:cs="arial"/>
          <w:color w:val="000000"/>
          <w:sz w:val="20"/>
          <w:u w:val="single"/>
          <w:lang w:val="en-US" w:eastAsia="en-US" w:bidi="ar-SA"/>
        </w:rPr>
        <w:t>fact that the principals of the company may have intended even at the time of undertaking the obligation on behalf of the company to take advantage of the limited liability of the company if it suited their purposes does not per se make the company a sham, i.e. does not expose its principals to liability for the company's obligations.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xml:space="preserve">  On appeal, after considering that passage, the Court of Appeal extensively reviewed the circumstances in which it may be appropriate to "fix liability on the principals" of corporations. In so doing, Seaton J.A. rejected the proposition that the corporate veil should be lifted where it would be "unfair" to do otherwise since such an approach could not co-exist with the doctrine laid down in </w:t>
      </w:r>
      <w:r>
        <w:rPr>
          <w:rFonts w:ascii="arial" w:eastAsia="arial" w:hAnsi="arial" w:cs="arial"/>
          <w:b/>
          <w:i/>
          <w:color w:val="000000"/>
          <w:sz w:val="20"/>
          <w:lang w:val="en-US" w:eastAsia="en-US" w:bidi="ar-SA"/>
        </w:rPr>
        <w:t>Salomon v. Salomon &amp; Co. Ltd</w:t>
      </w:r>
      <w:r>
        <w:rPr>
          <w:rFonts w:ascii="arial" w:eastAsia="arial" w:hAnsi="arial" w:cs="arial"/>
          <w:color w:val="000000"/>
          <w:sz w:val="20"/>
          <w:lang w:val="en-US" w:eastAsia="en-US" w:bidi="ar-SA"/>
        </w:rPr>
        <w:t xml:space="preserve">., [1895-99] All E.R. 33, </w:t>
      </w:r>
      <w:hyperlink r:id="rId753" w:history="1">
        <w:r>
          <w:rPr>
            <w:rFonts w:ascii="arial" w:eastAsia="arial" w:hAnsi="arial" w:cs="arial"/>
            <w:i/>
            <w:color w:val="0077CC"/>
            <w:sz w:val="20"/>
            <w:u w:val="single"/>
            <w:shd w:val="clear" w:color="auto" w:fill="FFFFFF"/>
            <w:lang w:val="en-US" w:eastAsia="en-US" w:bidi="ar-SA"/>
          </w:rPr>
          <w:t>[1897] A.C. 22</w:t>
        </w:r>
      </w:hyperlink>
      <w:r>
        <w:rPr>
          <w:rFonts w:ascii="arial" w:eastAsia="arial" w:hAnsi="arial" w:cs="arial"/>
          <w:color w:val="000000"/>
          <w:sz w:val="20"/>
          <w:lang w:val="en-US" w:eastAsia="en-US" w:bidi="ar-SA"/>
        </w:rPr>
        <w:t xml:space="preserve"> (H.L.).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Seaton J.A. then went on to consider specific instances in which it may be appropriate to pierce the corporate veil, on the ground of "fraud or improper conduct" and observed, at 268: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cases in which the corporate veil is pierced on the ground of "fraud or improper conduct" deal with instances where a corporation is used to effect a purpose or commit an act which the shareholder could not effect or commit.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Re Down,</w:t>
      </w:r>
      <w:r>
        <w:rPr>
          <w:rFonts w:ascii="arial" w:eastAsia="arial" w:hAnsi="arial" w:cs="arial"/>
          <w:color w:val="000000"/>
          <w:sz w:val="20"/>
          <w:lang w:val="en-US" w:eastAsia="en-US" w:bidi="ar-SA"/>
        </w:rPr>
        <w:t xml:space="preserve">Brenner C.J.S.C. considered the effect of the decision in </w:t>
      </w:r>
      <w:r>
        <w:rPr>
          <w:rFonts w:ascii="arial" w:eastAsia="arial" w:hAnsi="arial" w:cs="arial"/>
          <w:b/>
          <w:i/>
          <w:color w:val="000000"/>
          <w:sz w:val="20"/>
          <w:lang w:val="en-US" w:eastAsia="en-US" w:bidi="ar-SA"/>
        </w:rPr>
        <w:t>B.G. Preeco</w:t>
      </w:r>
      <w:r>
        <w:rPr>
          <w:rFonts w:ascii="arial" w:eastAsia="arial" w:hAnsi="arial" w:cs="arial"/>
          <w:color w:val="000000"/>
          <w:sz w:val="20"/>
          <w:lang w:val="en-US" w:eastAsia="en-US" w:bidi="ar-SA"/>
        </w:rPr>
        <w:t>on a claim that Down was personally liable for the debts of companies controlled by him. He stated (at paragraph 111 to 116):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[111] The leading authority in B.C. is </w:t>
      </w:r>
      <w:r>
        <w:rPr>
          <w:rFonts w:ascii="arial" w:eastAsia="arial" w:hAnsi="arial" w:cs="arial"/>
          <w:i/>
          <w:color w:val="000000"/>
          <w:sz w:val="20"/>
          <w:lang w:val="en-US" w:eastAsia="en-US" w:bidi="ar-SA"/>
        </w:rPr>
        <w:t>B.G. Preeco 1 (Pac. Coast) Ltd. v. Bon Street Hold. Ltd.</w:t>
      </w:r>
      <w:r>
        <w:rPr>
          <w:rFonts w:ascii="arial" w:eastAsia="arial" w:hAnsi="arial" w:cs="arial"/>
          <w:color w:val="000000"/>
          <w:sz w:val="20"/>
          <w:lang w:val="en-US" w:eastAsia="en-US" w:bidi="ar-SA"/>
        </w:rPr>
        <w:t xml:space="preserve"> </w:t>
      </w:r>
      <w:hyperlink r:id="rId752" w:history="1">
        <w:r>
          <w:rPr>
            <w:rFonts w:ascii="arial" w:eastAsia="arial" w:hAnsi="arial" w:cs="arial"/>
            <w:i/>
            <w:color w:val="0077CC"/>
            <w:sz w:val="20"/>
            <w:u w:val="single"/>
            <w:shd w:val="clear" w:color="auto" w:fill="FFFFFF"/>
            <w:lang w:val="en-US" w:eastAsia="en-US" w:bidi="ar-SA"/>
          </w:rPr>
          <w:t>(1989), 37 B.C.L.R. (2d) 258</w:t>
        </w:r>
      </w:hyperlink>
      <w:r>
        <w:rPr>
          <w:rFonts w:ascii="arial" w:eastAsia="arial" w:hAnsi="arial" w:cs="arial"/>
          <w:color w:val="000000"/>
          <w:sz w:val="20"/>
          <w:lang w:val="en-US" w:eastAsia="en-US" w:bidi="ar-SA"/>
        </w:rPr>
        <w:t xml:space="preserve"> (B.C.C.A.). In that case the Court of Appeal considered and rejected the proposition that "company law does not protect principals of a company who acted fraudulently or dishonestly, and that in such cases the corporate veil should be lifted ...". While the Court accepted that the principals of the company fraudulently caused the plaintiff to believe that one defendant company had assets which in fact were held by another defendant company, it refused to lift the corporate veils of the defendant companies.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[112] </w:t>
      </w:r>
      <w:r>
        <w:rPr>
          <w:rFonts w:ascii="arial" w:eastAsia="arial" w:hAnsi="arial" w:cs="arial"/>
          <w:color w:val="000000"/>
          <w:sz w:val="20"/>
          <w:u w:val="single"/>
          <w:lang w:val="en-US" w:eastAsia="en-US" w:bidi="ar-SA"/>
        </w:rPr>
        <w:t>The Court held that the proper legal remedy was to respect the legal autonomy of the corporate entities and to find liability in fraud against only the particular individuals and the particular company which had actually committed fraud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[113] Therefore, under the rule in </w:t>
      </w:r>
      <w:r>
        <w:rPr>
          <w:rFonts w:ascii="arial" w:eastAsia="arial" w:hAnsi="arial" w:cs="arial"/>
          <w:i/>
          <w:color w:val="000000"/>
          <w:sz w:val="20"/>
          <w:lang w:val="en-US" w:eastAsia="en-US" w:bidi="ar-SA"/>
        </w:rPr>
        <w:t>B.G. Preeco</w:t>
      </w:r>
      <w:r>
        <w:rPr>
          <w:rFonts w:ascii="arial" w:eastAsia="arial" w:hAnsi="arial" w:cs="arial"/>
          <w:color w:val="000000"/>
          <w:sz w:val="20"/>
          <w:lang w:val="en-US" w:eastAsia="en-US" w:bidi="ar-SA"/>
        </w:rPr>
        <w:t xml:space="preserve">, to the extent that the petitioners can show fraud or other dishonest conduct on the part of Down and/or the companies, such conduct would not lift the corporate veils and allow claims in debt of the companies Down used to be extended to Down personally. </w:t>
      </w:r>
      <w:r>
        <w:rPr>
          <w:rFonts w:ascii="arial" w:eastAsia="arial" w:hAnsi="arial" w:cs="arial"/>
          <w:color w:val="000000"/>
          <w:sz w:val="20"/>
          <w:u w:val="single"/>
          <w:lang w:val="en-US" w:eastAsia="en-US" w:bidi="ar-SA"/>
        </w:rPr>
        <w:t>The claims against Down would be limited to claims against him for fraud he personally might have committed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[114] </w:t>
      </w:r>
      <w:r>
        <w:rPr>
          <w:rFonts w:ascii="arial" w:eastAsia="arial" w:hAnsi="arial" w:cs="arial"/>
          <w:color w:val="000000"/>
          <w:sz w:val="20"/>
          <w:u w:val="single"/>
          <w:lang w:val="en-US" w:eastAsia="en-US" w:bidi="ar-SA"/>
        </w:rPr>
        <w:t>Even if fraud were a basis for lifting the corporate veil, there are no allegations that any fraud was perpetrated by Down or his companies against the supplier companies</w:t>
      </w:r>
      <w:r>
        <w:rPr>
          <w:rFonts w:ascii="arial" w:eastAsia="arial" w:hAnsi="arial" w:cs="arial"/>
          <w:color w:val="000000"/>
          <w:sz w:val="20"/>
          <w:lang w:val="en-US" w:eastAsia="en-US" w:bidi="ar-SA"/>
        </w:rPr>
        <w:t>. The contention is that they are trade creditors that have gone unpaid by the Down enterprise; there is no evidence that they have any claims in fraud against the enterprise.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[115] The petitioners also argue that the Down companies were mere "puppets" or "facades" because the debtors showed no regard for their independence. However, this argument was also advanced and rejected in </w:t>
      </w:r>
      <w:r>
        <w:rPr>
          <w:rFonts w:ascii="arial" w:eastAsia="arial" w:hAnsi="arial" w:cs="arial"/>
          <w:i/>
          <w:color w:val="000000"/>
          <w:sz w:val="20"/>
          <w:lang w:val="en-US" w:eastAsia="en-US" w:bidi="ar-SA"/>
        </w:rPr>
        <w:t>B.G. Preeco</w:t>
      </w:r>
      <w:r>
        <w:rPr>
          <w:rFonts w:ascii="arial" w:eastAsia="arial" w:hAnsi="arial" w:cs="arial"/>
          <w:color w:val="000000"/>
          <w:sz w:val="20"/>
          <w:lang w:val="en-US" w:eastAsia="en-US" w:bidi="ar-SA"/>
        </w:rPr>
        <w:t>. There, despite evidence of the principal's significant disrespect for corporate structure and enterprise (p. 261), the Court refused to pierce the corporate veil on the basis of arguments based on "device" (p. 268), "agent" or "puppet" (p. 267), or "group enterprise theory" (p. 268).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[116] </w:t>
      </w:r>
      <w:r>
        <w:rPr>
          <w:rFonts w:ascii="arial" w:eastAsia="arial" w:hAnsi="arial" w:cs="arial"/>
          <w:color w:val="000000"/>
          <w:sz w:val="20"/>
          <w:u w:val="single"/>
          <w:lang w:val="en-US" w:eastAsia="en-US" w:bidi="ar-SA"/>
        </w:rPr>
        <w:t>The Court limited the applicability of the piercing of the corporate veil to instances where a corporation is used to effect a purpose or commit an act which the shareholder himself could not effect or commit (p. 268)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Boelman submits that since Hi-Seas does not allege actual fraud but rather "equitable fraud" and "improper conduct" by way of breach of trust, breach of fiduciary duty or inducing breach of trust or fiduciary duty arising from the actions of Trinav, it must establish that Boelman used Trinav to effect a purpose that he could not effect or commit. He submits that Hi-Seas cannot overcome that bar to any finding of personal liability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Boelman further relies upon the undisputed facts that: it was a regular part of Boelman's business practice to operate through corporations; Trinav was incorporated before it entered into the Vessel Management Agreement with Hi-Seas; the Vessel was required for a common enterprise between Boelman and other shareholders of Trimex, the corporate structure involving Trinav and Trimex was put in place to obtain the benefits of limited liability and tax benefits and to comply with Mexican cabotage rules; and, most importantly, that corporate structure was made clear to Hi-Seas principals as well as to its lawyers who provided advice to Hi-Seas concerning the Vessel Management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xml:space="preserve">  Boelman submits that in all of those circumstances, and given that the statement of claim does not allege actual fraud by him, and given further that all of his actions that Hi-Seas alleges were improper, wrongful, equitably fraudulent, or tortuous were undertaken by him solely as a director of Trinav and under the terms of the Vessel Management Agreement, any personal liability for those acts is precluded by application of the rule in </w:t>
      </w:r>
      <w:r>
        <w:rPr>
          <w:rFonts w:ascii="arial" w:eastAsia="arial" w:hAnsi="arial" w:cs="arial"/>
          <w:b/>
          <w:i/>
          <w:color w:val="000000"/>
          <w:sz w:val="20"/>
          <w:lang w:val="en-US" w:eastAsia="en-US" w:bidi="ar-SA"/>
        </w:rPr>
        <w:t>B.G. Preeco.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Boelman also submits that the decision of the Provincial Court in </w:t>
      </w:r>
      <w:r>
        <w:rPr>
          <w:rFonts w:ascii="arial" w:eastAsia="arial" w:hAnsi="arial" w:cs="arial"/>
          <w:b/>
          <w:i/>
          <w:color w:val="000000"/>
          <w:sz w:val="20"/>
          <w:lang w:val="en-US" w:eastAsia="en-US" w:bidi="ar-SA"/>
        </w:rPr>
        <w:t>Paine Edmonds</w:t>
      </w:r>
      <w:r>
        <w:rPr>
          <w:rFonts w:ascii="arial" w:eastAsia="arial" w:hAnsi="arial" w:cs="arial"/>
          <w:color w:val="000000"/>
          <w:sz w:val="20"/>
          <w:lang w:val="en-US" w:eastAsia="en-US" w:bidi="ar-SA"/>
        </w:rPr>
        <w:t xml:space="preserve"> (which did not consider </w:t>
      </w:r>
      <w:r>
        <w:rPr>
          <w:rFonts w:ascii="arial" w:eastAsia="arial" w:hAnsi="arial" w:cs="arial"/>
          <w:b/>
          <w:i/>
          <w:color w:val="000000"/>
          <w:sz w:val="20"/>
          <w:lang w:val="en-US" w:eastAsia="en-US" w:bidi="ar-SA"/>
        </w:rPr>
        <w:t>B.G. Preeco</w:t>
      </w:r>
      <w:r>
        <w:rPr>
          <w:rFonts w:ascii="arial" w:eastAsia="arial" w:hAnsi="arial" w:cs="arial"/>
          <w:color w:val="000000"/>
          <w:sz w:val="20"/>
          <w:lang w:val="en-US" w:eastAsia="en-US" w:bidi="ar-SA"/>
        </w:rPr>
        <w:t xml:space="preserve">), and of the Ontario High Court in </w:t>
      </w:r>
      <w:r>
        <w:rPr>
          <w:rFonts w:ascii="arial" w:eastAsia="arial" w:hAnsi="arial" w:cs="arial"/>
          <w:b/>
          <w:i/>
          <w:color w:val="000000"/>
          <w:sz w:val="20"/>
          <w:lang w:val="en-US" w:eastAsia="en-US" w:bidi="ar-SA"/>
        </w:rPr>
        <w:t>Clarkson</w:t>
      </w:r>
      <w:r>
        <w:rPr>
          <w:rFonts w:ascii="arial" w:eastAsia="arial" w:hAnsi="arial" w:cs="arial"/>
          <w:color w:val="000000"/>
          <w:sz w:val="20"/>
          <w:lang w:val="en-US" w:eastAsia="en-US" w:bidi="ar-SA"/>
        </w:rPr>
        <w:t xml:space="preserve"> which it followed, overstate the circumstances in which the corporate veil may be lifted and are inconsistent with </w:t>
      </w:r>
      <w:r>
        <w:rPr>
          <w:rFonts w:ascii="arial" w:eastAsia="arial" w:hAnsi="arial" w:cs="arial"/>
          <w:b/>
          <w:i/>
          <w:color w:val="000000"/>
          <w:sz w:val="20"/>
          <w:lang w:val="en-US" w:eastAsia="en-US" w:bidi="ar-SA"/>
        </w:rPr>
        <w:t>B.G.</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Preeco</w:t>
      </w:r>
      <w:r>
        <w:rPr>
          <w:rFonts w:ascii="arial" w:eastAsia="arial" w:hAnsi="arial" w:cs="arial"/>
          <w:color w:val="000000"/>
          <w:sz w:val="20"/>
          <w:lang w:val="en-US" w:eastAsia="en-US" w:bidi="ar-SA"/>
        </w:rPr>
        <w:t xml:space="preserve"> which is binding upon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Concerning Hi-Seas' allegations that Boelman is liable to it for inducing, participating in, and assisting breaches of fiduciary duties and breaches of trust by Trinav in failing to account to Hi-Seas for monies owing to it by Trimex under the Charterparty, Mr. Cowper submits that:</w:t>
      </w:r>
      <w:r>
        <w:rPr>
          <w:rFonts w:ascii="arial" w:eastAsia="arial" w:hAnsi="arial" w:cs="arial"/>
          <w:sz w:val="20"/>
          <w:lang w:val="en-US" w:eastAsia="en-US" w:bidi="ar-SA"/>
        </w:rPr>
        <w:cr/>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rule in </w:t>
      </w:r>
      <w:r>
        <w:rPr>
          <w:rFonts w:ascii="arial" w:eastAsia="arial" w:hAnsi="arial" w:cs="arial"/>
          <w:b/>
          <w:i/>
          <w:color w:val="000000"/>
          <w:sz w:val="20"/>
          <w:lang w:val="en-US" w:eastAsia="en-US" w:bidi="ar-SA"/>
        </w:rPr>
        <w:t>B.G.</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Preeco</w:t>
      </w:r>
      <w:r>
        <w:rPr>
          <w:rFonts w:ascii="arial" w:eastAsia="arial" w:hAnsi="arial" w:cs="arial"/>
          <w:color w:val="000000"/>
          <w:sz w:val="20"/>
          <w:lang w:val="en-US" w:eastAsia="en-US" w:bidi="ar-SA"/>
        </w:rPr>
        <w:t xml:space="preserve"> denies recovery for these alleged wrongs since any actions taken or effected by Boelman were taken solely in his roles as a director and shareholder of Trinav;</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it may be arguable that Trinav became in some respects an agent of Hi-Seas under the Vessel Management Agreement, its obligations in any such capacity were limited by its terms;</w:t>
      </w:r>
    </w:p>
    <w:p>
      <w:pPr>
        <w:numPr>
          <w:numId w:val="6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concerning those limitations and the determination by the Arbitration Panel that as an agent Trinav breached its duties by failing to: fully disclose all financial dealings concerning the Vessel; and properly care for and deal with the Vessel as if it were its own property; and properly account for monies due from Trimex to Hi-Seas under the Charterparty, Boelman relies on Clause 2.0 of the Vessel Management Agreement and specifically upon clauses 2.9; 2.10 and 2.11 which (as noted in paragraph 19 of these reasons)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398"/>
        <w:gridCol w:w="240"/>
        <w:gridCol w:w="6776"/>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2.9</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 Owner hereby acknowledges and agrees that the Manager shall not, </w:t>
            </w:r>
            <w:r>
              <w:rPr>
                <w:rFonts w:ascii="arial" w:eastAsia="arial" w:hAnsi="arial" w:cs="arial"/>
                <w:color w:val="000000"/>
                <w:sz w:val="18"/>
                <w:u w:val="single"/>
                <w:lang w:val="en-US" w:eastAsia="en-US" w:bidi="ar-SA"/>
              </w:rPr>
              <w:t>at any time and under any circumstances and notwithstanding any other provision of this Agreement, be responsible or liable for demanding payment of or collecting the Hire Funds from Trimex</w:t>
            </w:r>
            <w:r>
              <w:rPr>
                <w:rFonts w:ascii="arial" w:eastAsia="arial" w:hAnsi="arial" w:cs="arial"/>
                <w:color w:val="000000"/>
                <w:sz w:val="18"/>
                <w:lang w:val="en-US" w:eastAsia="en-US" w:bidi="ar-SA"/>
              </w:rPr>
              <w: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2.10</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Owner hereby authorizes the Manager, in its absolute discretion, to use the Hire Funds, on behalf of the Owner, to pay for expenses incurred by the Manager on behalf of the Owner as a result of or in connection with the provision of Management Services (the "Management Expenses").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2.11</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Where, at any time during the term of this Agreement, the Hire Funds are insufficient to pay for all Management Expenses incurred by the Manager: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 hereby undertakes and agrees to reimburse any outstanding amount to the Manager, upon first request; and</w:t>
      </w:r>
    </w:p>
    <w:p>
      <w:pPr>
        <w:numPr>
          <w:numId w:val="6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Manager shall be entitled, where the Manager, </w:t>
      </w:r>
      <w:r>
        <w:rPr>
          <w:rFonts w:ascii="arial" w:eastAsia="arial" w:hAnsi="arial" w:cs="arial"/>
          <w:color w:val="000000"/>
          <w:sz w:val="20"/>
          <w:u w:val="single"/>
          <w:lang w:val="en-US" w:eastAsia="en-US" w:bidi="ar-SA"/>
        </w:rPr>
        <w:t>in its absolute discretion, chooses not to make any or some requests for payment under Section 2.11(a) of this Agreement or has not received payment despite the making of such request, to pay itself, from any future Hire Funds paid out to the Manager, for any unreimbursed Management Expenses</w:t>
      </w:r>
      <w:r>
        <w:rPr>
          <w:rFonts w:ascii="arial" w:eastAsia="arial" w:hAnsi="arial" w:cs="arial"/>
          <w:color w:val="000000"/>
          <w:sz w:val="20"/>
          <w:lang w:val="en-US" w:eastAsia="en-US" w:bidi="ar-SA"/>
        </w:rPr>
        <w:t xml:space="preserve"> incurred by the Manager but not yet reimbursed to the Manager by the Owner.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to the extent that the Arbitration Panel focused upon Trinav's failure to collect or remit funds under the Charterparty or properly account to Hi-Seas, Mr. Cowper submits that its reasoning is flawed and should not be followed because the characterization of Trinav's "agency" obligations under the Vessel Management Agreement not only ignores terms that were negotiated with the assistance of legal counsel between two separate legal entities, but also fails to consider whether the accounting information provided by Trinav at the Arbitration in defence of its claims and in support of its counterclaim could constitute an appropriate accounting by analyzing the information provided after acknowledging the receipt of the information;</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although the recent decisions of the Court of Appeal in </w:t>
      </w:r>
      <w:r>
        <w:rPr>
          <w:rFonts w:ascii="arial" w:eastAsia="arial" w:hAnsi="arial" w:cs="arial"/>
          <w:b/>
          <w:i/>
          <w:color w:val="000000"/>
          <w:sz w:val="20"/>
          <w:lang w:val="en-US" w:eastAsia="en-US" w:bidi="ar-SA"/>
        </w:rPr>
        <w:t>Alers- Hankey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Strother</w:t>
      </w:r>
      <w:r>
        <w:rPr>
          <w:rFonts w:ascii="arial" w:eastAsia="arial" w:hAnsi="arial" w:cs="arial"/>
          <w:color w:val="000000"/>
          <w:sz w:val="20"/>
          <w:lang w:val="en-US" w:eastAsia="en-US" w:bidi="ar-SA"/>
        </w:rPr>
        <w:t xml:space="preserve"> do analogize from legal principles that impose liability upon strangers to a trust for express breaches of trust as also being potentially applicable to a breach of fiduciary duty, both cases were decided on partnership principles and in fact situations which bear no resemblance to the commercial arrangements between Hi-Seas and Trinav under the Vessel Management Agreement;</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M &amp; L Travel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Citadel Insurance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John Ingle Insurance</w:t>
      </w:r>
      <w:r>
        <w:rPr>
          <w:rFonts w:ascii="arial" w:eastAsia="arial" w:hAnsi="arial" w:cs="arial"/>
          <w:color w:val="000000"/>
          <w:sz w:val="20"/>
          <w:lang w:val="en-US" w:eastAsia="en-US" w:bidi="ar-SA"/>
        </w:rPr>
        <w:t xml:space="preserve"> upon which Hi-Seas relies upon in support of its argument that even if Boelman was a stranger to the agency, fiduciary and trust relationship between Trinav and Hi-Seas (as opposed to being liable to account to Hi-Seas as an alter ego or by reason of equitable fraud), all dealt with circumstances where corporate directors knowingly and dishonestly participated as strangers in breaches of trust involving funds that were clearly established as trust funds that were held by way of constructive trust and in respect of which their corporations had no legitimate interest; and</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this case not only was no constructive trust fund established, Trinav had an acknowledged corporate interest in the funds payable by Trimex to Hi-Seas as well as the contractual right to apply such funds to debts owed by Hi-Seas to either or both of Trimex or Trinav by way of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addition to those submissions, Boelman relies upon clause 4.1 of the Vessel Management Agreement by which Hi-Seas specifically agreed that he, as a director and officer of Trinav, would be under: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liability whatsoever to the Owner, </w:t>
      </w:r>
      <w:r>
        <w:rPr>
          <w:rFonts w:ascii="arial" w:eastAsia="arial" w:hAnsi="arial" w:cs="arial"/>
          <w:color w:val="000000"/>
          <w:sz w:val="20"/>
          <w:u w:val="single"/>
          <w:lang w:val="en-US" w:eastAsia="en-US" w:bidi="ar-SA"/>
        </w:rPr>
        <w:t xml:space="preserve">whether in tort, </w:t>
      </w:r>
      <w:r>
        <w:rPr>
          <w:rFonts w:ascii="arial" w:eastAsia="arial" w:hAnsi="arial" w:cs="arial"/>
          <w:b/>
          <w:i/>
          <w:color w:val="000000"/>
          <w:sz w:val="20"/>
          <w:u w:val="single"/>
          <w:lang w:val="en-US" w:eastAsia="en-US" w:bidi="ar-SA"/>
        </w:rPr>
        <w:t>negligence</w:t>
      </w:r>
      <w:r>
        <w:rPr>
          <w:rFonts w:ascii="arial" w:eastAsia="arial" w:hAnsi="arial" w:cs="arial"/>
          <w:color w:val="000000"/>
          <w:sz w:val="20"/>
          <w:u w:val="single"/>
          <w:lang w:val="en-US" w:eastAsia="en-US" w:bidi="ar-SA"/>
        </w:rPr>
        <w:t>, contract or otherwise</w:t>
      </w:r>
      <w:r>
        <w:rPr>
          <w:rFonts w:ascii="arial" w:eastAsia="arial" w:hAnsi="arial" w:cs="arial"/>
          <w:color w:val="000000"/>
          <w:sz w:val="20"/>
          <w:lang w:val="en-US" w:eastAsia="en-US" w:bidi="ar-SA"/>
        </w:rPr>
        <w:t xml:space="preserve">, for any loss, damage, delay or expense of whatsoever nature, whether direct or indirect (including but not limited to loss of profit arising out of or in connection with detention of or delay to the Vessel) and </w:t>
      </w:r>
      <w:r>
        <w:rPr>
          <w:rFonts w:ascii="arial" w:eastAsia="arial" w:hAnsi="arial" w:cs="arial"/>
          <w:color w:val="000000"/>
          <w:sz w:val="20"/>
          <w:u w:val="single"/>
          <w:lang w:val="en-US" w:eastAsia="en-US" w:bidi="ar-SA"/>
        </w:rPr>
        <w:t>howsoever arising in the course of the performance of the Management Services</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xml:space="preserve">  Boelman also submits that the decision of the English Court of Appeal in </w:t>
      </w:r>
      <w:r>
        <w:rPr>
          <w:rFonts w:ascii="arial" w:eastAsia="arial" w:hAnsi="arial" w:cs="arial"/>
          <w:b/>
          <w:i/>
          <w:color w:val="000000"/>
          <w:sz w:val="20"/>
          <w:lang w:val="en-US" w:eastAsia="en-US" w:bidi="ar-SA"/>
        </w:rPr>
        <w:t>Armitage</w:t>
      </w:r>
      <w:r>
        <w:rPr>
          <w:rFonts w:ascii="arial" w:eastAsia="arial" w:hAnsi="arial" w:cs="arial"/>
          <w:color w:val="000000"/>
          <w:sz w:val="20"/>
          <w:lang w:val="en-US" w:eastAsia="en-US" w:bidi="ar-SA"/>
        </w:rPr>
        <w:t xml:space="preserve"> concerning exemption clauses upon which Hi-Seas relies is of no assistance or application in this case because the discussion of the unenforceability of clauses limiting the liability of trustees in that case was concerned with the duties of trustees, not with the potential liability of officers or directors of corporate trustees.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Counsel for Hi-Seas has acknowledged that for it to be successful on any of its claims against Boelman in this litigation, I must accept the following analysis:</w:t>
      </w:r>
      <w:r>
        <w:rPr>
          <w:rFonts w:ascii="arial" w:eastAsia="arial" w:hAnsi="arial" w:cs="arial"/>
          <w:sz w:val="20"/>
          <w:lang w:val="en-US" w:eastAsia="en-US" w:bidi="ar-SA"/>
        </w:rPr>
        <w:cr/>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Vessel Management Agreement created an agency relationship between Trinav and Hi-Seas because Trinav took total control of Hi-Seas property including most importantly, the right to collect monies owing to it from Trimex under the Charterparty;</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agency relationship gave rise to trust and fiduciary obligations on the part of Trinav in addition to the obligations imposed under the Vessel Management Agreement;</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those fiduciary obligations could not be limited by the Vessel Management Agreement;</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because Boelman knew of the agency and trust relationship between Hi-Seas and Trinav, he was obligated to ensure that Trinav adhered to its terms by not breaching any fiduciary duties owed to Hi-Seas, and, most importantly, was precluded from obtaining any direct or indirect personal benefit as a consequence of any breach of trust or fiduciary duty by Trinav; and</w:t>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any clauses limiting Boelman's personal liability to Hi-Seas for participation in any breach of trust or breach of fiduciary duty are unenforceable because his actions were caused by his wilful and thus dishonest acts in directing breaches of trust by Trinav and receiving benefits from those breaches.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have concluded that that analysis is both legally and factually incapable of establishing personal liability of Boelman to Hi-Seas as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 am accordingly satisfied that the claims advanced by Hi-Seas present no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issues and are therefore bound to fail. My reasons for those conclusions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I agree that it is arguable that the relationship between Hi-Seas and Trinav has some attributes that could give rise to the application of agency principles in determining disputes between the parties. It does not, however, follow that the terms of the Vessel Management Agreement that define the obligations of the parties can be wholly overridden by application of equitable agency principles. To that extent, I disagree with the Arbitration Panel's conclusions which not only elevate general equitable agency principles over contractually negotiated terms, but also do not consider whether those terms inform the scope of any trust obligations that might arise under a contract that was entered into without undue influence no matter how one-sided its terms might appear.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My disagreement with the analysis undertaken by the Arbitration Panel is not, however, fundamental to my decision in this matter. That is so because the Arbitration Panel specifically did not address any liability that might attach to Boelman for Trinav's breaches of any agency duties that might be owed to Hi-Seas.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xml:space="preserve">  In my view, the fundamental basis upon which Hi-Seas' various claims against Boelman must fail is the flawed analysis that if the relationship between Hi-Seas and Trinav is founded upon agency principles (and particularly fiduciary duties to inform and account as determined by the Arbitration Panel), the consequent obligations also create personal liability for an officer or director of a corporate agent who directs the affairs of the trustee. To that extent, Hi-Seas' analysis and submissions entirely disregard the rule in </w:t>
      </w:r>
      <w:r>
        <w:rPr>
          <w:rFonts w:ascii="arial" w:eastAsia="arial" w:hAnsi="arial" w:cs="arial"/>
          <w:b/>
          <w:i/>
          <w:color w:val="000000"/>
          <w:sz w:val="20"/>
          <w:lang w:val="en-US" w:eastAsia="en-US" w:bidi="ar-SA"/>
        </w:rPr>
        <w:t>B.G. Preeco</w:t>
      </w:r>
      <w:r>
        <w:rPr>
          <w:rFonts w:ascii="arial" w:eastAsia="arial" w:hAnsi="arial" w:cs="arial"/>
          <w:color w:val="000000"/>
          <w:sz w:val="20"/>
          <w:lang w:val="en-US" w:eastAsia="en-US" w:bidi="ar-SA"/>
        </w:rPr>
        <w:t xml:space="preserve"> as applied in </w:t>
      </w:r>
      <w:r>
        <w:rPr>
          <w:rFonts w:ascii="arial" w:eastAsia="arial" w:hAnsi="arial" w:cs="arial"/>
          <w:b/>
          <w:i/>
          <w:color w:val="000000"/>
          <w:sz w:val="20"/>
          <w:lang w:val="en-US" w:eastAsia="en-US" w:bidi="ar-SA"/>
        </w:rPr>
        <w:t>Re Down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Hi-Seas has not pleaded actual fraud and has also not pleaded that any of the actions taken by Boelman of which it now complains were taken to effect a purpose or commit an act which he as an officer, director or shareholder could not effect or commit. It has also adduced no evidence that could in any way support a finding that such was the case or that could establish actual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I am also of the view that the totality of the evidence adduced on this application, including Boelman's testimony before the Arbitration Panel, cannot support a finding that Boelman's actions as a director of Hi-Seas amounted to equitable fraud. I reach that conclusion because:</w:t>
      </w:r>
      <w:r>
        <w:rPr>
          <w:rFonts w:ascii="arial" w:eastAsia="arial" w:hAnsi="arial" w:cs="arial"/>
          <w:sz w:val="20"/>
          <w:lang w:val="en-US" w:eastAsia="en-US" w:bidi="ar-SA"/>
        </w:rPr>
        <w:cr/>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argument advanced by Hi-Seas is that Boelman breached fiduciary duties owed to Hi-Seas as Trinav's alter ego. It submits that such breaches also amount to equitable fraud which vitiates any contractual terms which might otherwise limit Trinav's or Boelman's liability to Hi-Seas;</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have already determined that any actions undertaken by Boelman in directing the affairs of Trinav were taken solely in his role as an officer, director, or shareholder. In those circumstances </w:t>
      </w:r>
      <w:r>
        <w:rPr>
          <w:rFonts w:ascii="arial" w:eastAsia="arial" w:hAnsi="arial" w:cs="arial"/>
          <w:b/>
          <w:i/>
          <w:color w:val="000000"/>
          <w:sz w:val="20"/>
          <w:lang w:val="en-US" w:eastAsia="en-US" w:bidi="ar-SA"/>
        </w:rPr>
        <w:t>B.G. Preeco</w:t>
      </w:r>
      <w:r>
        <w:rPr>
          <w:rFonts w:ascii="arial" w:eastAsia="arial" w:hAnsi="arial" w:cs="arial"/>
          <w:color w:val="000000"/>
          <w:sz w:val="20"/>
          <w:lang w:val="en-US" w:eastAsia="en-US" w:bidi="ar-SA"/>
        </w:rPr>
        <w:t xml:space="preserve"> precludes a determination that his actions amounted to an actionable breach of fiduciary duty;</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Stewart J.'s decision in </w:t>
      </w:r>
      <w:r>
        <w:rPr>
          <w:rFonts w:ascii="arial" w:eastAsia="arial" w:hAnsi="arial" w:cs="arial"/>
          <w:b/>
          <w:i/>
          <w:color w:val="000000"/>
          <w:sz w:val="20"/>
          <w:lang w:val="en-US" w:eastAsia="en-US" w:bidi="ar-SA"/>
        </w:rPr>
        <w:t>Island Realty Investments</w:t>
      </w:r>
      <w:r>
        <w:rPr>
          <w:rFonts w:ascii="arial" w:eastAsia="arial" w:hAnsi="arial" w:cs="arial"/>
          <w:color w:val="000000"/>
          <w:sz w:val="20"/>
          <w:lang w:val="en-US" w:eastAsia="en-US" w:bidi="ar-SA"/>
        </w:rPr>
        <w:t xml:space="preserve"> was concerned with imputation of knowledge to a director of a company that had participated in a breach of trust resulting in a determination that the director could not escape liability as a constructive trustee. Unlike the case of Trinav under the Vessel Management Agreement, the company in </w:t>
      </w:r>
      <w:r>
        <w:rPr>
          <w:rFonts w:ascii="arial" w:eastAsia="arial" w:hAnsi="arial" w:cs="arial"/>
          <w:b/>
          <w:i/>
          <w:color w:val="000000"/>
          <w:sz w:val="20"/>
          <w:lang w:val="en-US" w:eastAsia="en-US" w:bidi="ar-SA"/>
        </w:rPr>
        <w:t>Island Realty Investments</w:t>
      </w:r>
      <w:r>
        <w:rPr>
          <w:rFonts w:ascii="arial" w:eastAsia="arial" w:hAnsi="arial" w:cs="arial"/>
          <w:color w:val="000000"/>
          <w:sz w:val="20"/>
          <w:lang w:val="en-US" w:eastAsia="en-US" w:bidi="ar-SA"/>
        </w:rPr>
        <w:t xml:space="preserve"> had no contractual right to discharge the investment mortgage that was the subject of its breach of trust; and</w:t>
      </w:r>
    </w:p>
    <w:p>
      <w:pPr>
        <w:numPr>
          <w:numId w:val="6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while </w:t>
      </w:r>
      <w:r>
        <w:rPr>
          <w:rFonts w:ascii="arial" w:eastAsia="arial" w:hAnsi="arial" w:cs="arial"/>
          <w:b/>
          <w:i/>
          <w:color w:val="000000"/>
          <w:sz w:val="20"/>
          <w:lang w:val="en-US" w:eastAsia="en-US" w:bidi="ar-SA"/>
        </w:rPr>
        <w:t>Performance Industries</w:t>
      </w:r>
      <w:r>
        <w:rPr>
          <w:rFonts w:ascii="arial" w:eastAsia="arial" w:hAnsi="arial" w:cs="arial"/>
          <w:color w:val="000000"/>
          <w:sz w:val="20"/>
          <w:lang w:val="en-US" w:eastAsia="en-US" w:bidi="ar-SA"/>
        </w:rPr>
        <w:t xml:space="preserve"> does support the proposition that unfair dealing in matters of contract may amount to equitable fraud, neither that decision, nor any other authority to which I was referred, dealt with circumstances such as these where the conduct complained of was sanctioned by the underlying contract, or, more importantly for the purposes of this case, attributed personal liability to a director or officer of a corporation who directed such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Concerning Hi-Seas' submissions related to cases such as </w:t>
      </w:r>
      <w:r>
        <w:rPr>
          <w:rFonts w:ascii="arial" w:eastAsia="arial" w:hAnsi="arial" w:cs="arial"/>
          <w:b/>
          <w:i/>
          <w:color w:val="000000"/>
          <w:sz w:val="20"/>
          <w:lang w:val="en-US" w:eastAsia="en-US" w:bidi="ar-SA"/>
        </w:rPr>
        <w:t>M &amp; L Travel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Citadel Insurance</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John Ingle Insurance</w:t>
      </w:r>
      <w:r>
        <w:rPr>
          <w:rFonts w:ascii="arial" w:eastAsia="arial" w:hAnsi="arial" w:cs="arial"/>
          <w:color w:val="000000"/>
          <w:sz w:val="20"/>
          <w:lang w:val="en-US" w:eastAsia="en-US" w:bidi="ar-SA"/>
        </w:rPr>
        <w:t xml:space="preserve"> which it relies upon in support of its argument that Boelman is liable to it as a stranger to the agency, fiduciary and trust relationship between Trinav and Hi-Seas, I agree with Mr. Cowper's analysis. Those cases all dealt with circumstances where corporate directors knowingly and dishonestly participated as strangers in breaches of trust involving funds that were clearly established as trust funds held by way of constructive trust in which their corporations had no legitimate interest. Those cases do not assist Hi-Seas in this case because no constructive trust fund was ever established. Further, Trinav had an acknowledged corporate interest in the funds payable by Trimex to Hi-Seas as well as the contractual right to apply such funds to debts owed by Hi-Seas to either or both of Trimex or Trinav by way of set-off.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also agree with Mr. Cowper's submission that while the recent decisions of the Court of Appeal in </w:t>
      </w:r>
      <w:r>
        <w:rPr>
          <w:rFonts w:ascii="arial" w:eastAsia="arial" w:hAnsi="arial" w:cs="arial"/>
          <w:b/>
          <w:i/>
          <w:color w:val="000000"/>
          <w:sz w:val="20"/>
          <w:lang w:val="en-US" w:eastAsia="en-US" w:bidi="ar-SA"/>
        </w:rPr>
        <w:t>Alers-Hankey</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Strother</w:t>
      </w:r>
      <w:r>
        <w:rPr>
          <w:rFonts w:ascii="arial" w:eastAsia="arial" w:hAnsi="arial" w:cs="arial"/>
          <w:color w:val="000000"/>
          <w:sz w:val="20"/>
          <w:lang w:val="en-US" w:eastAsia="en-US" w:bidi="ar-SA"/>
        </w:rPr>
        <w:t xml:space="preserve"> do support the proposition that a stranger to a breach of fiduciary duty may be potentially liable to the party to whom that fiduciary obligation is owed, both cases were decided on true partnership principles which bear no resemblance to the arrangements between Hi-Seas and Trinav under the Vessel Management Agreement. I would also add that those cases were not required to consider the issues that arise under the rule in </w:t>
      </w:r>
      <w:r>
        <w:rPr>
          <w:rFonts w:ascii="arial" w:eastAsia="arial" w:hAnsi="arial" w:cs="arial"/>
          <w:b/>
          <w:i/>
          <w:color w:val="000000"/>
          <w:sz w:val="20"/>
          <w:lang w:val="en-US" w:eastAsia="en-US" w:bidi="ar-SA"/>
        </w:rPr>
        <w:t>B. G. Preeco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In addition to all of the foregoing, I am satisfied that Boelman is entitled to rely on both clauses 4.1 and 4.2 of the Vessel Management Agreement to preclude liability for all of the claims advanced against him by Hi-Seas.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To my knowledge there is no authority that is binding upon me that supports the proposition that clauses 4.1 and 4.2 of the Vessel Management Agreement are not enforceable against Hi-Seas in the circumstances of a freely negotiated contract entered into with the benefit of independent legal advice.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The decision of the English Court of Appeal in </w:t>
      </w:r>
      <w:r>
        <w:rPr>
          <w:rFonts w:ascii="arial" w:eastAsia="arial" w:hAnsi="arial" w:cs="arial"/>
          <w:b/>
          <w:i/>
          <w:color w:val="000000"/>
          <w:sz w:val="20"/>
          <w:lang w:val="en-US" w:eastAsia="en-US" w:bidi="ar-SA"/>
        </w:rPr>
        <w:t>Armitage</w:t>
      </w:r>
      <w:r>
        <w:rPr>
          <w:rFonts w:ascii="arial" w:eastAsia="arial" w:hAnsi="arial" w:cs="arial"/>
          <w:color w:val="000000"/>
          <w:sz w:val="20"/>
          <w:lang w:val="en-US" w:eastAsia="en-US" w:bidi="ar-SA"/>
        </w:rPr>
        <w:t xml:space="preserve"> upon which Hi-Seas relies was concerned with the enforceability of clauses limiting the liability of trustees for wilful or dishonest breaches of trust by a trustee. There was also no discussion of the enforceability of clauses limiting the potential liability of the officers and directors of corporations for the actions of 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In dismissing the plaintiff's claims I have also determined that while the test for the dismissal of claims under Rule 19(24) considered by the Supreme Court of Canada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is similar to that under Rule 18(6), the former is primarily concerned with determining whether the pleadings as considered, or with possible necessary amendments, reveal an arguable cause of action. Rule 18(6) is concerned with whether the plaintiff is able to adduce evidence which is capable of raising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 as to whether a cause of action as pleaded has the potential for success.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xml:space="preserve">  In this case the plaintiff's pleadings are closed and the evidence adduced on this application (which evidence the plaintiff itself submitted was sufficient to establish liability against Boelman under Rule 18A), has been considered by me in the best light possible for the plaintiff and found wanting. In those circumstances the concerns addressed under Rule 19(24) in </w:t>
      </w:r>
      <w:r>
        <w:rPr>
          <w:rFonts w:ascii="arial" w:eastAsia="arial" w:hAnsi="arial" w:cs="arial"/>
          <w:b/>
          <w:i/>
          <w:color w:val="000000"/>
          <w:sz w:val="20"/>
          <w:lang w:val="en-US" w:eastAsia="en-US" w:bidi="ar-SA"/>
        </w:rPr>
        <w:t>Hunt</w:t>
      </w:r>
      <w:r>
        <w:rPr>
          <w:rFonts w:ascii="arial" w:eastAsia="arial" w:hAnsi="arial" w:cs="arial"/>
          <w:color w:val="000000"/>
          <w:sz w:val="20"/>
          <w:lang w:val="en-US" w:eastAsia="en-US" w:bidi="ar-SA"/>
        </w:rPr>
        <w:t xml:space="preserve"> do not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In reaching that conclusion, I have considered Hi-Seas' submission that the fact that the Arbitration Panel held Trinav liable for breach of agency and breaches of fiduciary duty is compelling proof that the pleadings and evidence in this case give rise to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triable issues that are not bound to fail. That submission is of no assistance to the plaintiff because the Arbitration Panel did not consider any of the issues concerning Boelman's potential personal liability for the actions of Trinav that are the subject of Hi-Seas' claims in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All of the plaintiff's claims against the defendant are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DAVIES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4" style="position:absolute;z-index:25187635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54"/>
          <w:headerReference w:type="default" r:id="rId755"/>
          <w:footerReference w:type="even" r:id="rId756"/>
          <w:footerReference w:type="default" r:id="rId757"/>
          <w:headerReference w:type="first" r:id="rId758"/>
          <w:footerReference w:type="first" r:id="rId75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60" w:history="1">
        <w:r>
          <w:rPr>
            <w:rFonts w:ascii="arial" w:eastAsia="arial" w:hAnsi="arial" w:cs="arial"/>
            <w:b/>
            <w:bCs/>
            <w:i/>
            <w:color w:val="0077CC"/>
            <w:kern w:val="32"/>
            <w:sz w:val="28"/>
            <w:szCs w:val="32"/>
            <w:u w:val="single"/>
            <w:shd w:val="clear" w:color="auto" w:fill="FFFFFF"/>
            <w:lang w:val="en-US" w:eastAsia="en-US" w:bidi="ar-SA"/>
          </w:rPr>
          <w:t>Weber v. deBrouwer, [2012] B.C.J. No. 1468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Greyell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5,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July 13, 2012.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S080143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[2012] B.C.J. No. 1468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2012 BCSC 1039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Glen Weber, Plaintiff, and Michael deBrouwer,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(114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25" style="position:absolute;z-index:2516787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1" w:name="Keywords_19"/>
      <w:bookmarkEnd w:id="131"/>
      <w:r>
        <w:rPr>
          <w:rFonts w:ascii="arial" w:eastAsia="arial" w:hAnsi="arial" w:cs="arial"/>
          <w:b/>
          <w:color w:val="000000"/>
          <w:sz w:val="20"/>
          <w:lang w:val="en-US" w:eastAsia="en-US" w:bidi="ar-SA"/>
        </w:rPr>
        <w:t>Damages — Physical and psychological injuries — Physical injuries — Body injuries — Chest — Back and spine — Neck — Soft tissue — Head injuries — Skull fractures — Mouth — Nose — Speech — Impaired speech — Teeth — Brain damage — Concussion — Arm injuries — Hand — Leg injuries — Knee — Psychological injuries — Phobias — Post-traumatic stress disorder (PTSD) — Considerations impacting on award — Degree of impairment — Temporary total or partial disability — Age of claimant — Mitigation — Assessment of damages for assault allowed in part — Defendant assaulted plaintiff causing concussion, fractured nose, facial fractures, dental injuries, chest and rib injuries, and injuries to knee, hand, back and neck — Plaintiff continued to suffer psychologically causing him to move and change professions — Non-pecuniary damages were ordered in the amount of $150,000 — Past loss of earnings was $150,000 — $200,000 for loss of future earnings capacity — Loss of pension benefits was $50,000 — Special damages of $11,688 — Aggravated and/or punitive damages not warranted — Award discounted by 30 per cent for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For personal injuries — Calculation — Contingencies — Mitigating factors — Considerations — Duration of loss — Employment status — Extent of incapacity — Loss of earning capacity — Retroactive loss of income — Special damages — Pre-trial pecuniary loss — Past loss of income — Expenses and expenditures — Medical — Therapy or rehabilitation — Non-pecuniary loss — Pain and suffering — Affecting social relationships — Exemplary or punitive damages — Punishment and deterrence — Aggravated damages — Assessment of damages for assault allowed in part — Defendant assaulted plaintiff causing concussion, fractured nose, facial fractures, dental injuries, chest and rib injuries, and injuries to knee, hand, back and neck — Plaintiff continued to suffer psychologically causing him to move and change professions — Non-pecuniary damages were ordered in the amount of $150,000 — Past loss of earnings was $150,000 — $200,000 for loss of future earnings capacity — Loss of pension benefits was $50,000 — Special damages of $11,688 — Aggravated and/or punitive damages not warranted — Award discounted by 30 per cent for failure to mitigate.</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Assessment of damages — Measure of damages — Limiting factors — Duty to mitigate — All reasonable steps — Assessment of damages for assault allowed in part — Defendant assaulted plaintiff causing concussion, fractured nose, facial fractures, dental injuries, chest and rib injuries, and injuries to knee, hand, back and neck — Plaintiff continued to suffer psychologically causing him to move and change professions — Non-pecuniary damages were ordered in the amount of $150,000 — Past loss of earnings was $150,000 — $200,000 for loss of future earnings capacity — Loss of pension benefits was $50,000 — Special damages of $11,688 — Aggravated and/or punitive damages not warranted — Award discounted by 30 per cent for failure to mitigate.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2" w:name="Case Summary_19"/>
            <w:bookmarkEnd w:id="13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Assessment of damages for assault. The plaintiff was the defendant's former supervisor in his capacity as a superintendent of public works. As a result of conflict between the plaintiff and employees under his supervision, including the defendant, the plaintiff's health suffered and he resigned in May 2007. In July 2007, the plaintiff was assaulted by the defendant while walking near his home. He suffered a concussion, fractured nose, several facial fractures, dental injuries, chest and rib injuries, and injuries to his knee, hand, back and neck. While the plaintiff's physical injuries ultimately healed, he continued to suffer nightmares, difficulty concentrating, a speech impairment and on-going anxiety. He was diagnosed with mild traumatic brain injury in June 2009 by a neurologist and with PTSD in mild remission and mild traumatic brain injury by a psychiatrist in October 2010. The plaintiff argued that the assault caused him to move, made it difficult to obtain employment, resulted in less remunerative self-employment, caused him difficulty dealing with conflict situations and resulted in avoidance of social activities. The plaintiff sought non-pecuniary damages, special damages, loss of past and future earnings, and aggravated and punitive damages. The defendant admitted to the assault, but argued the assault and resultant damages were not as serious as the plaintiff alleged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33" w:name="Holdings of Court_16"/>
            <w:bookmarkEnd w:id="133"/>
            <w:r>
              <w:rPr>
                <w:rFonts w:ascii="arial" w:eastAsia="arial" w:hAnsi="arial" w:cs="arial"/>
                <w:color w:val="000000"/>
                <w:sz w:val="20"/>
                <w:lang w:val="en-US" w:eastAsia="en-US" w:bidi="ar-SA"/>
              </w:rPr>
              <w:t>HELD: Assessment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version of the severity of the assault, supported by medical evidence, was accepted. Non-pecuniary damages were ordered in the amount of $150,000 based on the severity of original injuries and the lasting psychological effects on the plaintiff. The plaintiff's past loss of earnings was determined to be $150,000, reflecting the difference between what the plaintiff would have earned in a supervisory position in public works and what he earned as a self-employed person. There was a real and substantial possibility the plaintiff would continue to suffer loss of income as a result of the injuries because of his inability to deal with interpersonal confrontations. As such, $200,000 for loss of future earnings capacity was appropriate. The plaintiff was awarded $50,000 for loss of pension benefits that he would have received had he continued to be employed in public works. Special damages were awarded in the amount of $11,688 for costs incurred directly by the plaintiff and recoverable/reimbursable payments. Neither aggravated nor punitive damages were warranted. The defendant's criminal conviction served the purposes normally associated with such awards and the order was substantial enough to cover the intangible elements of an aggravated damages award. The plaintiff did not follow a number of physicians' recommendations, including the use of medication, psychological treatment and a reduction in alcohol consumption. As a result of this failure to mitigate damages, the award was reduced by 30 per cent from $561,688 to $393,181.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34" w:name="Legislation Cited_12"/>
      <w:bookmarkEnd w:id="13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26" style="position:absolute;z-index:2517299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Health Care Costs Recovery Act,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35" w:name="Counsel_19"/>
      <w:bookmarkEnd w:id="13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27" style="position:absolute;z-index:25178112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Christopher York.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Appearing on his own behalf: Michael deBrouwer.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36" w:name="Judgment_19"/>
      <w:bookmarkEnd w:id="136"/>
      <w:r>
        <w:pict>
          <v:line id="_x0000_s1128" style="position:absolute;z-index:25183232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37" w:name="B.M. GREYELL J."/>
            <w:bookmarkEnd w:id="137"/>
            <w:r>
              <w:rPr>
                <w:rFonts w:ascii="arial" w:eastAsia="arial" w:hAnsi="arial" w:cs="arial"/>
                <w:b/>
                <w:color w:val="000000"/>
                <w:sz w:val="30"/>
                <w:lang w:val="en-US" w:eastAsia="en-US" w:bidi="ar-SA"/>
              </w:rPr>
              <w:t>B.M. GREYELL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morning of July 28, 2007, following a morning walk with his wife around their neighbourhood in Harrison Hot Springs, Mr. Weber was brutally assaulted by the defendant, Mr. deBrouwer.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Weber claims non-pecuniary damages, punitive damages, loss of past and future wages, damages for lost pension benefits, and special damages arising from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commenced this action on January 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deBrouwer was convicted of assault causing bodily harm on July 29,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deBrouwer filed a Statement of Defence denying the assault. Mr. Justice Stewart ordered Mr. deBrouwer's Statement of Defence struck out as an abuse of process. The defendant filed a new Statement of Defence admitting he assaulted Mr. Weber, but denying Mr. Weber was seriously injured by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The hearing before me proceeded by way of an assessment of damages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Mr. deBrouwer filed no material in response to the application but appeared and addressed the issue of the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Following a lengthy career in public works in Radium Hot Springs, which started in 1981 at the age of 24 and saw him move into progressively more responsible positions, Mr. Weber applied for and was hired as the Superintendent of Public Works in the Village of Harrison Hot Springs ("Harrison"). He started in the position on May 24,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Weber took the job at Harrison as he wanted to advance his career by taking on a supervisory position with greater responsibilities.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His new responsibilities included planning, coordinating, and supervising the day-to-day operations on Harrison's public infrastructure, buildings, and parks in accordance with municipal policies and practices. He was also responsible for supervising all Public Works staff. He reported to the Chief Administrative Officer ("CAO").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deBrouwer was employed in Harrison's Operations Department. Mr. Weber was his supervisor.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Weber brought a new management style to the direction of his staff. There soon developed a tension between him and other members of the public works staff whom Mr. Weber supervised, including Mr. deBrouwer. Mr. deBrouwer showed intransigence and an unwillingness to follow instructions given to him as to the manner in which he was to perform his 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Weber encountered problems with the defendant's work performance and his attitude. He suspended the defendant several times, sometimes on the instruction of the CAO. The CAO also instructed Mr. Weber to assign the defendant to different work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union representing Mr. deBrouwer successfully grieved several of the suspensions.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Relations between the two worsened. They had several heated discussions over work assignments. There were instances when Mr. deBrouwer would follow Mr. Weber or would drive past his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Weber testified his health began to decline as a result of the stress of dealing with the defendant and others on his staff. He twice sought to resign his position, but was talked out of resigning by Harrison's CAO. He went on medical leave twice as a result of the stress of dealing with "the lack of respect and work performance" of individuals employed in the public works crew. The second time he took such leave was in the middle of February 2007.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May 2007, two months prior to the date of the assault, Mr. Weber submitted his resignation for the third time and Harrison accepted it. He resigned because of the stress, as well as Harrison's apparent unwillingness to hire a foreman to deal with issues concerning the direction of the work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 resigned effective May 22, 2007, took accumulated vacation and then went on employment insurance benefits. As a result of his resignation, his participation in the municipal pension plan was terminated.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Following his resignation, Mr. Weber contemplated starting his own business doing home repairs. After the assault he and his wife made the decision to leave Harrison.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the morning of July 28, 2007, Mr. Weber and his wife were out for a morning walk. After finishing walking a loop of their neighbourhood, Mrs. Weber decided to return home. Mr. Weber continued walking.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his affidavit of April 6, 2011 he described what then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After he walked a short distance further he saw Mr. deBrouwer's vehicle stopped at a nearby intersection. The defendant got out of his vehicle and approached Mr. Weber and asked him how he was doing. Mr. Weber replied "okay" and turned to walk around the defendant. Mr. Weber testified Mr. deBrouwer jumped in front of him to stop him from walking and asked him to take his glasses off. Mr. Weber refused, turned away and again tried to walk around Mr. deBrouwer.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Mr. Weber said Mr. deBrouwer then hit him on the right side of his face along his jaw. When Mr. Weber responded "don't Mike, don't, or I will charge you" Mr. deBrouwer struck him again, knocking him to the ground. He then punched Mr. Weber a number of times on his head and face and kicked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Mrs. Weber described what she observed in her affidavit filed on the same date as that filed by Mr. Weber.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Mrs. Weber was sitting at her computer desk in front of a window that looked onto the street. She first saw Mr. deBrouwer jogging on the street in front of their residence. She then saw him run "as fast as he could" and heard a "scuffling" noise. When she looked up again she could see Mr. deBrouwer pull Mr. Weber's shirt off him, push him to the ground, and kick him. She said the defendant then started "pounding" on Mr. Weber's face.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Mrs. Weber ran from her residence to assist Mr. Weber, calling for help as she went. When she reached him, she deposed the defendant had his left arm around Mr. Weber's head while punching him in the face with his right fist. She heard Mr. deBrouwer say "This is for what you are doing to my family." Mrs. Weber demanded the defendant leave. She said Mr. deBrouwer lunged at her. She told him "don't even think about it" and again told him to leave. She said Mr. deBrouwer then ran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police and an ambulance were called and Mr. Weber was taken to Chilliwack Hospital. He was bleeding, his jaw hurt, and his teeth "did not feel right." He had a cut on the ridge of his nose, a scrape on his right knee, a cut on his pinky finger and felt dizzy. His face was badly bruised.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the emergency department Mr. Weber told the physicians he could not close his mouth properly. He was x-rayed, but no fractures were found. He was diagnosed with a concussion and discharged.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Several days later Mr. Weber returned to the hospital because of continuing complaints. He had another x-ray. He also had a CT scan of his head because of increasing dizziness. The x-ray showed he had a fractured nose; the CT scan showed several facial fractures, including a fracture of the right maxillary sinus and right cheek bone.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 Weber continued to have difficulty with his balance for some number of months, requiring the use of a cane. He had difficulty finding the right words when speaking and in forming sentences.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October 2008, Mr. Weber had nasal surgery to correct a distorted nasal septum damaged by the assault. His physical injuries gradually cleared up. His mental health issues have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a result of continuing anxiety and fear of the defendant, Mr. Weber has had ongoing thoughts and nightmares about the assault. Because of his fear of the defendant Mr. Weber and his wife moved their possessions from Harrison quietly and in the middle of the night. They moved first to Victoria and then to the interior of the province. The nightmares have decreased over time with the assistance of a counsellor provided by Crime Victim Assistance Program; Mr. Weber is, however, still very much impacted by the psychological issues caused by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March 2009, as a result of difficulty concentrating and finding and pronouncing words, Mr. Weber consulted Ms. Jennifer Moll. Ms. Moll is a speech pathologist employed by Interior Health Authority Acquired Brain Injury Services. He ultimately took six sessions of speech therapy during 2009, which assisted in resolving most of his speech difficulties.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Weber saw a counsellor, Ms. DeVan in the spring of 2009 who treated him on a number of occasions for anxiety attacks and post traumatic stress disorder. He was discharged from such treatment in April,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Also in March 2009, Mr. Weber was assessed by Dr. Martzke, a neuropsychologist. Dr. Martzke recommended Mr. Weber continue counselling and avoid multi-tasking. He advised that Mr. Weber consider self-employment.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June 2009, Mr. Weber saw Dr. Berry, a neurologist, who diagnosed him with mild traumatic brain injury caused by the assault and recommended he see a psychiatrist. Mr. Weber then saw psychiatrist Dr. Derryck Smith in October, 2010. Dr. Smith diagnosed him with post traumatic stress disorder in mild remission and a mild traumatic brain injury. Dr. Smith was of the opinion both of these diagnoses were the result of the assault. He recommended continued therapy and a trial of anti-depressants.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Mr. Weber is not currently receiving any treatment other than visiting his family physician occasionally. He is not taking anti-depressant or other medication relating to the injuries he sustained.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Weber's work history subsequent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have earlier outlined Mr. Weber's work history prior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Starting in July 2007, Mr. Weber applied to a number of municipalities for positions in the public works area. He was offered several positions.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On October 17, 2007, he started working as public works foreman in the Village of Montrose, British Columbia. The position was subject to a probationary period of 90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Weber was terminated from the position at the end of his probationary period on January 10, 2008, for reasons relating to his "[f]ailure to demonstrate an aptitude to assume the responsibility to supervise employees" and for his "[f]ailure to assume overall responsibility" of the Public Works Department. He was earning $63,000 a year plus benefits under a union collective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Weber then went on employment insurance benefits for a period of time, but continued to search for employment. Between January 11, 2008, and April 1, 2008, he sent out 17 applications for employment to various municipalities.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Following his assessment by Dr. Martzke, and based on Dr. Martzke's advice he should look for self-employment, Mr. Weber stopped looking for active employment. He and his wife purchased an eight-room hotel in south-eastern British Columbia. The hotel has not been as profitable as they had hoped.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Mr. Weber as a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Weber was 54 years of age at the date of the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He quit school when he was 16 years old, completing grade 10. After working several years he returned to school to finish his grade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He has been married to his wife, Elaine, for 30 years. The couple have two grown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Mr. Weber has been in generally good health throughout his life. Prior to the assault he had no difficulty physically. He did not have dizzy spells, loss of balance, or difficulty concentrating. While he found his job with Harrison stressful because of the difficult labour relations environment, he had never been treated by a psychologist or psychiatrist. Nor had he had insomnia, nightmares, or anxiety attacks prior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Mr. Weber now has difficulty dealing with conflict or situations which he finds stressful. He avoids dealing with guests at the hotel, even to the extent of explaining "the ground rules" when guests check in. If a situation arises concerning guest behavior, his wife handles the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Weber still has anxiety and intrusive thoughts about the defendant. The Webers do not put their name in the telephone book or otherwise broadcast their presence in the small community where they currently live. Mr. Weber says he lives in fear of a further attack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Prior to the assault Mr. Weber and his wife were socially active. They went out dancing and for dinner with friends. They walked together often. Mr. Weber says he no longer participates in these activities because of his "social phobia" and worries he will be approached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Medical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 have earlier reviewed some of the medical evidence but will now address some of the evidence in more detail.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Donald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Dr. Cameron, a neurologist, saw Mr. Weber on September 28, 2010, for a neurological assessment at the request of Mr. Weber's counsel. His medical-legal report dated January 4, 2011, was introduced in evidence at the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Cameron opined Mr. Weber suffered a mild traumatic brain injury as a consequence of the assault of July 28, 2007. Mr. Weber indicated to Dr. Cameron that his cognitive problems had largely resolved and that he felt "90% back to normal." Dr. Cameron noted that the amount of alcohol Mr. Weber was consuming at the time (three to four drinks per day) was excessive and was likely "a significant ongoing contributing factor to Mr. Weber's mild cognitive complaints", along with his "ongoing psychological dysfunction in the form of anxiety" arising from post traumatic stress disorder. He noted Mr. Weber's decreased interest in socialization, increased mood swings, ongoing intermittent nightmares, decreased self esteem, and ongoing anxiety attacks.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Dr. Cameron recommended Mr. Weber continue to receive psychological counselling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Jeff Martzke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Dr. Martzke is a registered psychologist. Mr. Weber was referred to him for an assessment by his treating physician, Dr. Kailia. Dr. Martzke's neuropsychological assessment, dated March 19, 2009, was filed as an exhibit in the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Martzke opined that Mr. Weber sustained a mild traumatic brain injury in the assault. He noted that the cognitive effects of the injury included weakness in verbal expression, speed of thinking, and verbal working memory. He also opined that Mr. Weber had persistent symptoms of partially resolved PTSD. He stated Mr. Weber would benefit "from not having to work quickly and avoiding having to multitask." Dr. Martzke recommended Mr. Weber continue with counselling to assist in the resolution of his PTSD and advised that self employment was a "good option" as he and his wife were able to share tasks suited to their individual strengths.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Dr. Derryck Smith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Dr. Smith, a clinical professor of psychiatry in the Department of Psychiatry at the University of British Columbia, conducted a psychiatric assessment of the plaintiff on October 21,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As stated earlier, Dr. Smith agreed Mr. Weber had suffered a mild traumatic brain injury as a direct result of the assault. He stated that while individuals who sustain such brain injury usually go on to complete recovery, Mr. Weber still had "mild weaknesses with processing speed and his working memory." He noted that Mr. Weber's word-finding difficulties had improved after six treatments of speech and language therapy. He also concluded Mr. Weber suffered from PTSD and recommended 12 to 20 additional sessions of therapy by a psychologist "sooner rather than later." However, he also noted that "as long as Mr. Weber and his wife are living in fear of another attack from Mr. de Brouwer ... his symptoms are unlikely to remit even with the best treatment." Dr. Smith recommended a trial treatment of an anti-depressant.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Dr. Smith noted that Mr. Weber is "no longer able to work in a capacity where he has to supervise other employees because of heightened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He concluded with the following prognosis: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assault has shaken Mr. Weber's self-confidence in himself. It is reported by both him and his wife that he is now a more timid man. He cannot deal with confrontations of any type. It is expected that even if his symptoms of PTSD resolve he will remain permanently impaired by symptoms of anxiety, particularly in dealing with interpersonal confrontations.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Mr. Weber has not taken the psychotherapy treatments recommended by Dr. Smith and is currently not receiving treatment other than attending his family physician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defendant, Mr. deBrouwer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deBrouwer appeared in person at the hearing and represented himself. As stated he did not file any materials in response to the materials filed by the plaintiff in support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deBrouwer argued the assault was not as serious as alleged and he pointed out what were alleged to be various inconsistencies in the affidavits of Mr. Weber and his wife as to the nature of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In addition, Mr. deBrouwer argued Mr. Weber had resigned employment with Harrison because of difficulties with a number of employees -- that is, that Mr. deBrouwer's conduct had not been the cause </w:t>
      </w:r>
      <w:r>
        <w:rPr>
          <w:rFonts w:ascii="arial" w:eastAsia="arial" w:hAnsi="arial" w:cs="arial"/>
          <w:i/>
          <w:color w:val="000000"/>
          <w:sz w:val="20"/>
          <w:lang w:val="en-US" w:eastAsia="en-US" w:bidi="ar-SA"/>
        </w:rPr>
        <w:t>per se</w:t>
      </w:r>
      <w:r>
        <w:rPr>
          <w:rFonts w:ascii="arial" w:eastAsia="arial" w:hAnsi="arial" w:cs="arial"/>
          <w:color w:val="000000"/>
          <w:sz w:val="20"/>
          <w:lang w:val="en-US" w:eastAsia="en-US" w:bidi="ar-SA"/>
        </w:rPr>
        <w:t xml:space="preserve"> of such resignation.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do not accept Mr. deBrouwer's position concerning the seriousness of the assault. The evidence establishes Mr. Weber was seriously injured by the assault. The results of the damage inflicted by Mr. deBrouwer's blows are evident from the evidence of both Mr. and Mrs. Weber and from the medical reports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Appropriateness of Deciding this Action Under Rule 9-7 -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Mr. deBrouwer filed no material in response to the application. He did, however, admit to the assault in his Statement of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 find that this is an appropriate case for determination pursuant to Rule 9-7 of the </w:t>
      </w:r>
      <w:r>
        <w:rPr>
          <w:rFonts w:ascii="arial" w:eastAsia="arial" w:hAnsi="arial" w:cs="arial"/>
          <w:i/>
          <w:color w:val="000000"/>
          <w:sz w:val="20"/>
          <w:lang w:val="en-US" w:eastAsia="en-US" w:bidi="ar-SA"/>
        </w:rPr>
        <w:t>Rules of Court.</w:t>
      </w:r>
      <w:r>
        <w:rPr>
          <w:rFonts w:ascii="arial" w:eastAsia="arial" w:hAnsi="arial" w:cs="arial"/>
          <w:color w:val="000000"/>
          <w:sz w:val="20"/>
          <w:lang w:val="en-US" w:eastAsia="en-US" w:bidi="ar-SA"/>
        </w:rPr>
        <w:t xml:space="preserve"> There is no conflicting evidence before the court which would require a trial. The issue is one of an assessment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plaintiff seeks an award of non-pecuniary damages, special damages, damages for loss of past and future earnings, punitive damages against Mr. deBrouwer. I will consider these heads of damage separately. Mr. Weber also asks for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It is clear the plaintiff was seriously injured by the unprovoked and brutal physical assault on him by the defendant, Mr. deBrouwer on July 28, 2007. I accept the opinions of the various physicians which have been filed in support of this application as setting out accurate diagnoses and prognoses of Mr. Weber's injuries and the effect those injuries have had and are having on his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The principles underlying an award of non-pecuniary damages are set out by Madam Justice Kirkpatrick in the often cited case of </w:t>
      </w:r>
      <w:r>
        <w:rPr>
          <w:rFonts w:ascii="arial" w:eastAsia="arial" w:hAnsi="arial" w:cs="arial"/>
          <w:i/>
          <w:color w:val="000000"/>
          <w:sz w:val="20"/>
          <w:lang w:val="en-US" w:eastAsia="en-US" w:bidi="ar-SA"/>
        </w:rPr>
        <w:t>Stapley v. Hejslet</w:t>
      </w:r>
      <w:r>
        <w:rPr>
          <w:rFonts w:ascii="arial" w:eastAsia="arial" w:hAnsi="arial" w:cs="arial"/>
          <w:color w:val="000000"/>
          <w:sz w:val="20"/>
          <w:lang w:val="en-US" w:eastAsia="en-US" w:bidi="ar-SA"/>
        </w:rPr>
        <w:t xml:space="preserve">, </w:t>
      </w:r>
      <w:hyperlink r:id="rId238" w:history="1">
        <w:r>
          <w:rPr>
            <w:rFonts w:ascii="arial" w:eastAsia="arial" w:hAnsi="arial" w:cs="arial"/>
            <w:i/>
            <w:color w:val="0077CC"/>
            <w:sz w:val="20"/>
            <w:u w:val="single"/>
            <w:shd w:val="clear" w:color="auto" w:fill="FFFFFF"/>
            <w:lang w:val="en-US" w:eastAsia="en-US" w:bidi="ar-SA"/>
          </w:rPr>
          <w:t>2006 BCCA 34</w:t>
        </w:r>
      </w:hyperlink>
      <w:r>
        <w:rPr>
          <w:rFonts w:ascii="arial" w:eastAsia="arial" w:hAnsi="arial" w:cs="arial"/>
          <w:color w:val="000000"/>
          <w:sz w:val="20"/>
          <w:lang w:val="en-US" w:eastAsia="en-US" w:bidi="ar-SA"/>
        </w:rPr>
        <w:t xml:space="preserve"> at para. 46. The considerations to be taken into account include the age of the plaintiff; nature of the injury, severity and duration of the pain; disability; emotional suffering; loss of impairment of life; impairment of family, marital and social relationships; impairment of physical and mental abilities; and loss of lifestyle.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above list is not an exhaustive one, but remains open depending upon the circumstances of each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While reference to other cases is useful as a guide to the court in assessing damages, non-pecuniary damages must be assessed in each case based on the unique circumstances of the case before the court: </w:t>
      </w:r>
      <w:r>
        <w:rPr>
          <w:rFonts w:ascii="arial" w:eastAsia="arial" w:hAnsi="arial" w:cs="arial"/>
          <w:i/>
          <w:color w:val="000000"/>
          <w:sz w:val="20"/>
          <w:lang w:val="en-US" w:eastAsia="en-US" w:bidi="ar-SA"/>
        </w:rPr>
        <w:t>Trites v. Penner</w:t>
      </w:r>
      <w:r>
        <w:rPr>
          <w:rFonts w:ascii="arial" w:eastAsia="arial" w:hAnsi="arial" w:cs="arial"/>
          <w:color w:val="000000"/>
          <w:sz w:val="20"/>
          <w:lang w:val="en-US" w:eastAsia="en-US" w:bidi="ar-SA"/>
        </w:rPr>
        <w:t xml:space="preserve">, </w:t>
      </w:r>
      <w:hyperlink r:id="rId232" w:history="1">
        <w:r>
          <w:rPr>
            <w:rFonts w:ascii="arial" w:eastAsia="arial" w:hAnsi="arial" w:cs="arial"/>
            <w:i/>
            <w:color w:val="0077CC"/>
            <w:sz w:val="20"/>
            <w:u w:val="single"/>
            <w:shd w:val="clear" w:color="auto" w:fill="FFFFFF"/>
            <w:lang w:val="en-US" w:eastAsia="en-US" w:bidi="ar-SA"/>
          </w:rPr>
          <w:t>2010 BCSC 882</w:t>
        </w:r>
      </w:hyperlink>
      <w:r>
        <w:rPr>
          <w:rFonts w:ascii="arial" w:eastAsia="arial" w:hAnsi="arial" w:cs="arial"/>
          <w:color w:val="000000"/>
          <w:sz w:val="20"/>
          <w:lang w:val="en-US" w:eastAsia="en-US" w:bidi="ar-SA"/>
        </w:rPr>
        <w:t xml:space="preserve"> at para. 189.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In this case, Mr. Weber was 49 years old at the time he was assaulted. The assault caused him significant injury and pain and suffering. He suffered facial injuries, including several fractures, dental injuries, bruising, rib and chest injuries, knee and hand injuries, soft tissue injuries to his back and neck, and a mild traumatic brain injury with ongoing cognitive and speech difficulties which took some time to resolve. Mr. Weber remains affected by depression, anxiety, and post traumatic stress disorder. He avoids confrontational situations.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Mr. Weber sought employment with another municipality when he thought he was able to return to work. He was terminated from employment with Montrose on January 10, 2008, at the end of his probation period because he was not able to effectively communicate with either the employees he was to supervise or with his superiors. I note Mr. Weber told Dr. Smith that he had been asked to undertake progressive discipline with an employee and that he began to experience anxiety attacks. Given his diagnoses it is not surprising Mr. Weber had issues supervising employees following the assault. I will return to this issue later when I consider the issue of past and future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Counsel for the plaintiff submits $200,000 would be an appropriate amount to award for Mr. Weber's pain and suffering. He relies on </w:t>
      </w:r>
      <w:r>
        <w:rPr>
          <w:rFonts w:ascii="arial" w:eastAsia="arial" w:hAnsi="arial" w:cs="arial"/>
          <w:i/>
          <w:color w:val="000000"/>
          <w:sz w:val="20"/>
          <w:lang w:val="en-US" w:eastAsia="en-US" w:bidi="ar-SA"/>
        </w:rPr>
        <w:t>Burdett v. Eidse</w:t>
      </w:r>
      <w:r>
        <w:rPr>
          <w:rFonts w:ascii="arial" w:eastAsia="arial" w:hAnsi="arial" w:cs="arial"/>
          <w:color w:val="000000"/>
          <w:sz w:val="20"/>
          <w:lang w:val="en-US" w:eastAsia="en-US" w:bidi="ar-SA"/>
        </w:rPr>
        <w:t xml:space="preserve">, </w:t>
      </w:r>
      <w:hyperlink r:id="rId761" w:history="1">
        <w:r>
          <w:rPr>
            <w:rFonts w:ascii="arial" w:eastAsia="arial" w:hAnsi="arial" w:cs="arial"/>
            <w:i/>
            <w:color w:val="0077CC"/>
            <w:sz w:val="20"/>
            <w:u w:val="single"/>
            <w:shd w:val="clear" w:color="auto" w:fill="FFFFFF"/>
            <w:lang w:val="en-US" w:eastAsia="en-US" w:bidi="ar-SA"/>
          </w:rPr>
          <w:t>2010 BCSC 219</w:t>
        </w:r>
      </w:hyperlink>
      <w:r>
        <w:rPr>
          <w:rFonts w:ascii="arial" w:eastAsia="arial" w:hAnsi="arial" w:cs="arial"/>
          <w:color w:val="000000"/>
          <w:sz w:val="20"/>
          <w:lang w:val="en-US" w:eastAsia="en-US" w:bidi="ar-SA"/>
        </w:rPr>
        <w:t xml:space="preserve">, var'd but not on this point, </w:t>
      </w:r>
      <w:hyperlink r:id="rId762" w:history="1">
        <w:r>
          <w:rPr>
            <w:rFonts w:ascii="arial" w:eastAsia="arial" w:hAnsi="arial" w:cs="arial"/>
            <w:i/>
            <w:color w:val="0077CC"/>
            <w:sz w:val="20"/>
            <w:u w:val="single"/>
            <w:shd w:val="clear" w:color="auto" w:fill="FFFFFF"/>
            <w:lang w:val="en-US" w:eastAsia="en-US" w:bidi="ar-SA"/>
          </w:rPr>
          <w:t>2011 BCCA 191</w:t>
        </w:r>
      </w:hyperlink>
      <w:r>
        <w:rPr>
          <w:rFonts w:ascii="arial" w:eastAsia="arial" w:hAnsi="arial" w:cs="arial"/>
          <w:color w:val="000000"/>
          <w:sz w:val="20"/>
          <w:lang w:val="en-US" w:eastAsia="en-US" w:bidi="ar-SA"/>
        </w:rPr>
        <w:t xml:space="preserve"> (award of $200,000 non-pecuniary damages for "significant" brain injury); </w:t>
      </w:r>
      <w:r>
        <w:rPr>
          <w:rFonts w:ascii="arial" w:eastAsia="arial" w:hAnsi="arial" w:cs="arial"/>
          <w:i/>
          <w:color w:val="000000"/>
          <w:sz w:val="20"/>
          <w:lang w:val="en-US" w:eastAsia="en-US" w:bidi="ar-SA"/>
        </w:rPr>
        <w:t>Moskaleva v. Laurie</w:t>
      </w:r>
      <w:r>
        <w:rPr>
          <w:rFonts w:ascii="arial" w:eastAsia="arial" w:hAnsi="arial" w:cs="arial"/>
          <w:color w:val="000000"/>
          <w:sz w:val="20"/>
          <w:lang w:val="en-US" w:eastAsia="en-US" w:bidi="ar-SA"/>
        </w:rPr>
        <w:t xml:space="preserve">, </w:t>
      </w:r>
      <w:hyperlink r:id="rId763" w:history="1">
        <w:r>
          <w:rPr>
            <w:rFonts w:ascii="arial" w:eastAsia="arial" w:hAnsi="arial" w:cs="arial"/>
            <w:i/>
            <w:color w:val="0077CC"/>
            <w:sz w:val="20"/>
            <w:u w:val="single"/>
            <w:shd w:val="clear" w:color="auto" w:fill="FFFFFF"/>
            <w:lang w:val="en-US" w:eastAsia="en-US" w:bidi="ar-SA"/>
          </w:rPr>
          <w:t>2009 BCCA 260</w:t>
        </w:r>
      </w:hyperlink>
      <w:r>
        <w:rPr>
          <w:rFonts w:ascii="arial" w:eastAsia="arial" w:hAnsi="arial" w:cs="arial"/>
          <w:color w:val="000000"/>
          <w:sz w:val="20"/>
          <w:lang w:val="en-US" w:eastAsia="en-US" w:bidi="ar-SA"/>
        </w:rPr>
        <w:t xml:space="preserve"> (jury award of $245,000 (considered to be "undoubtedly high" by the Court of Appeal but upheld: see paras. 131-133) for a mild traumatic brain injury which had "devastating, if not catastrophic, effect" on the plaintiff: at para. 90) and </w:t>
      </w:r>
      <w:r>
        <w:rPr>
          <w:rFonts w:ascii="arial" w:eastAsia="arial" w:hAnsi="arial" w:cs="arial"/>
          <w:i/>
          <w:color w:val="000000"/>
          <w:sz w:val="20"/>
          <w:lang w:val="en-US" w:eastAsia="en-US" w:bidi="ar-SA"/>
        </w:rPr>
        <w:t>Young v. Anderson</w:t>
      </w:r>
      <w:r>
        <w:rPr>
          <w:rFonts w:ascii="arial" w:eastAsia="arial" w:hAnsi="arial" w:cs="arial"/>
          <w:color w:val="000000"/>
          <w:sz w:val="20"/>
          <w:lang w:val="en-US" w:eastAsia="en-US" w:bidi="ar-SA"/>
        </w:rPr>
        <w:t xml:space="preserve">, </w:t>
      </w:r>
      <w:hyperlink r:id="rId764" w:history="1">
        <w:r>
          <w:rPr>
            <w:rFonts w:ascii="arial" w:eastAsia="arial" w:hAnsi="arial" w:cs="arial"/>
            <w:i/>
            <w:color w:val="0077CC"/>
            <w:sz w:val="20"/>
            <w:u w:val="single"/>
            <w:shd w:val="clear" w:color="auto" w:fill="FFFFFF"/>
            <w:lang w:val="en-US" w:eastAsia="en-US" w:bidi="ar-SA"/>
          </w:rPr>
          <w:t>2008 BCSC 1306</w:t>
        </w:r>
      </w:hyperlink>
      <w:r>
        <w:rPr>
          <w:rFonts w:ascii="arial" w:eastAsia="arial" w:hAnsi="arial" w:cs="arial"/>
          <w:color w:val="000000"/>
          <w:sz w:val="20"/>
          <w:lang w:val="en-US" w:eastAsia="en-US" w:bidi="ar-SA"/>
        </w:rPr>
        <w:t xml:space="preserve"> (award of $200,000 for mild traumatic brain injury, major depressive disorder, chronic pain in back and left leg, severe tinnitus which affected him daily, and a number of other ongoing complaints. The plaintiff in </w:t>
      </w:r>
      <w:r>
        <w:rPr>
          <w:rFonts w:ascii="arial" w:eastAsia="arial" w:hAnsi="arial" w:cs="arial"/>
          <w:i/>
          <w:color w:val="000000"/>
          <w:sz w:val="20"/>
          <w:lang w:val="en-US" w:eastAsia="en-US" w:bidi="ar-SA"/>
        </w:rPr>
        <w:t>Young</w:t>
      </w:r>
      <w:r>
        <w:rPr>
          <w:rFonts w:ascii="arial" w:eastAsia="arial" w:hAnsi="arial" w:cs="arial"/>
          <w:color w:val="000000"/>
          <w:sz w:val="20"/>
          <w:lang w:val="en-US" w:eastAsia="en-US" w:bidi="ar-SA"/>
        </w:rPr>
        <w:t xml:space="preserve"> was unemployable in his former career as a cameraman because of his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In the present case, Mr. Weber is now 54 years old. A number of his injuries, including his headaches, bruising and soft tissue injuries cleared up after several months. For a considerable time after the assault he was bothered with nightmares and had difficulty sleeping. He is left with a number of problems. He has difficulty with the alignment of his jaw; he still is clumsy and, while greatly improved, he has difficulty finding and pronouncing some words. Mr. Weber remains anxious and fearful of the defendant and avoids going places where the defendant might be. He avoids situations with guests at the motel where any type of conflict could arise, deferring to his wife to handle such matters. Dr. Smith says he will remain permanently impaired by symptoms of anxiety.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Mr. Weber's injuries and the residual effects of those injuries are significant, however, in my view, each of the cases cited by counsel for Mr. Weber involve circumstances where the injuries and residual effects to the plaintiffs were more significant. After a consideration of the factors outlined above in </w:t>
      </w:r>
      <w:r>
        <w:rPr>
          <w:rFonts w:ascii="arial" w:eastAsia="arial" w:hAnsi="arial" w:cs="arial"/>
          <w:i/>
          <w:color w:val="000000"/>
          <w:sz w:val="20"/>
          <w:lang w:val="en-US" w:eastAsia="en-US" w:bidi="ar-SA"/>
        </w:rPr>
        <w:t>Stapley</w:t>
      </w:r>
      <w:r>
        <w:rPr>
          <w:rFonts w:ascii="arial" w:eastAsia="arial" w:hAnsi="arial" w:cs="arial"/>
          <w:color w:val="000000"/>
          <w:sz w:val="20"/>
          <w:lang w:val="en-US" w:eastAsia="en-US" w:bidi="ar-SA"/>
        </w:rPr>
        <w:t>, I conclude $150,000 is an appropriate and fair amount to award for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Past and Future Wage Loss/ Loss of future Earning Capacity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Past Wage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Mr. Weber resigned from his position as Superintendent of Public Works in Harrison on May 22, 2007, prior to the assault. He noted in a letter to Harrison at the time he resigned that he had been off work on stress leave on three occasions during the preceding two years as a result of dealing with performance issues of "a few individuals" in the public works crew.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Mr. Weber had been earning a monthly salary of $6,302.08 or $75,625 annually when he resigned.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Mr. Weber had thought about starting his own home repair/renovation business in Harrison, however, subsequent to the assault he and his wife decided to move because of his fear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As stated earlier, in or about July 2007, Mr. Weber commenced applying to various municipalities for the position of a public works foreman or superintendent.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Sunshine Coast Regional District offered him a position which he declined as he was still recovering from his injuries. He was offered positions with the Village of Montrose and the District of Logan Lake. He accepted the former position and commenced working as public works foremen on a three month probation period on October 17, 2007. The Village terminated him at the end of his probation period because of difficulties Mr. Weber had in communicating with employees and the Village Council.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Mr. Weber then continued sending out applications for employment. He sent out some 17 applications between January 11 and April 1,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Weber accepted the advice of his psychologist, Dr. Martzke, that he should consider self-employment. Mr. Weber and his wife then purchased a small motel which is open three seasons of the year. According to calculations done by Mr. Douglas Hildebrand, a qualified economist, Mr. Weber's adjusted net income from the motel was $8,748 in 2008, $12,078 in 2009 and $7,487 in 2010. Mr. Hildebrand opined Mr. Weber's adjusted net income would likely remain at $10,256 thereafter if he continued to operate the motel.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In calculating Mr. Weber's past wage loss at $198,439 (the difference between earnings from his position as public works foreman with Montrose and one-half the earnings of the motel -- the other one-half being attributed to his wife) Mr. Hildebrand assumed Mr. Weber would have successfully passed his probation period and continued to work as public works foreman with Montrose.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Given that prior to the assault Mr. Weber found it difficult fulfilling his supervisory position with Harrison, I must consider whether Mr. Hildebrand's assumption is a proper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Mr. Weber had, as mentioned, taken several periods of stress leave as a result of his interaction with Harrison's public works crew. The evidence did not establish Mr. Weber's difficulty dealing with the crew was attributed to the defendant alone, although almost certainly the defendant contributed to Mr. Weber's stress. Furthermore, Mr. Weber did not leave his position because of the assault. He left his position because of the stress in supervising difficult people.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At the time of the assault, Mr. Weber was unemployed and receiving employment insurance benefits. I find it is likely Mr. Weber would have returned to some gainful employment either by working in his own business or by finding other employment in public works in another municipality, within a year of his resignation from Harrison absent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Mr. Weber must have considered himself fit to work after the assault when he applied for the supervisory public works positions with Montrose and Logan Lake. Mr. Weber puts his termination from Montrose down to problems in relating to the employees, which, in turn, "stem[s] from the trauma of the assault." He told Dr. Martzke he "felt panic" when he had to encounter another "undisciplined worker" and that is what precipitated his 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I accept it is likely, based on the medical evidence before the court, that the injuries resulting from the assault, in particular the post traumatic stress disorder, were the proximate cause of Mr. Weber's termination from Montrose. Dr. Cameron noted in his January 4, 2011, report "it is probable that the psychological problems [which resulted from the injuries incurred from the assault] were the main reason why he could not remain at this job."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I accept on the balance of probabilities that Mr. Weber would have remained employed by Montrose from October 17, 2007, to the date of trial and that his earnings in that position represent a fair measure of his claim for past lost earnings.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Weber earned $68,270 per annum while employed with Montrose. It is now in excess of four years since Mr. Weber lost his position. Mr. Hildebrand has calculated Mr. Weber's earnings would have been $74,917 per annum in 2011 dollar terms. Mr. Weber would also have earned income prior to his employment with Montrose.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In determining an amount of loss of earnings to date of trial I have also taken into account the employment insurance Mr. Weber received after his employment with Montrose was terminated and the revenue from the motel in 2008, 2009, and 2010. In doing so, I have somewhat reduced the amount of expenses claimed by Mr. and Ms. Weber in the motel's financial statements for "depreciation". This does not represent an actual expense item.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 have also added a contingency factor that Mr. Weber may not have continued in the position with Montrose given his difficulty dealing with stressful employee situations prior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Given all these considerations I award Mr. Weber $150,000 damages for his loss of earnings to the date of trial.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xml:space="preserve">  I summarized the law concerning loss of future earning capacity in </w:t>
      </w:r>
      <w:r>
        <w:rPr>
          <w:rFonts w:ascii="arial" w:eastAsia="arial" w:hAnsi="arial" w:cs="arial"/>
          <w:i/>
          <w:color w:val="000000"/>
          <w:sz w:val="20"/>
          <w:lang w:val="en-US" w:eastAsia="en-US" w:bidi="ar-SA"/>
        </w:rPr>
        <w:t>Simmavong v. Haddock</w:t>
      </w:r>
      <w:r>
        <w:rPr>
          <w:rFonts w:ascii="arial" w:eastAsia="arial" w:hAnsi="arial" w:cs="arial"/>
          <w:color w:val="000000"/>
          <w:sz w:val="20"/>
          <w:lang w:val="en-US" w:eastAsia="en-US" w:bidi="ar-SA"/>
        </w:rPr>
        <w:t xml:space="preserve">, </w:t>
      </w:r>
      <w:hyperlink r:id="rId765" w:history="1">
        <w:r>
          <w:rPr>
            <w:rFonts w:ascii="arial" w:eastAsia="arial" w:hAnsi="arial" w:cs="arial"/>
            <w:i/>
            <w:color w:val="0077CC"/>
            <w:sz w:val="20"/>
            <w:u w:val="single"/>
            <w:shd w:val="clear" w:color="auto" w:fill="FFFFFF"/>
            <w:lang w:val="en-US" w:eastAsia="en-US" w:bidi="ar-SA"/>
          </w:rPr>
          <w:t>2012 BCSC 473</w:t>
        </w:r>
      </w:hyperlink>
      <w:r>
        <w:rPr>
          <w:rFonts w:ascii="arial" w:eastAsia="arial" w:hAnsi="arial" w:cs="arial"/>
          <w:color w:val="000000"/>
          <w:sz w:val="20"/>
          <w:lang w:val="en-US" w:eastAsia="en-US" w:bidi="ar-SA"/>
        </w:rPr>
        <w:t xml:space="preserve"> at paras. 95-101: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[95] A claim for loss of future earning capacity raises two key questions:</w:t>
      </w:r>
    </w:p>
    <w:p>
      <w:pPr>
        <w:numPr>
          <w:numId w:val="4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has the plaintiff's earning capacity been impaired by his or her injuries; and, if so,</w:t>
      </w:r>
    </w:p>
    <w:p>
      <w:pPr>
        <w:numPr>
          <w:numId w:val="49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what compensation should be awarded for the resulting financial harm that will accrue over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[96] The assessment of loss must be based on the evidence and is a matter of judgment. It is not an application of a purely mathematical calculation. The appropriate means of assessment will vary from case to case: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Pallos v. Insurance Corp. of British Columbia</w:t>
      </w:r>
      <w:r>
        <w:rPr>
          <w:rFonts w:ascii="arial" w:eastAsia="arial" w:hAnsi="arial" w:cs="arial"/>
          <w:color w:val="000000"/>
          <w:sz w:val="20"/>
          <w:lang w:val="en-US" w:eastAsia="en-US" w:bidi="ar-SA"/>
        </w:rPr>
        <w:t xml:space="preserve"> </w:t>
      </w:r>
      <w:hyperlink r:id="rId766" w:history="1">
        <w:r>
          <w:rPr>
            <w:rFonts w:ascii="arial" w:eastAsia="arial" w:hAnsi="arial" w:cs="arial"/>
            <w:i/>
            <w:color w:val="0077CC"/>
            <w:sz w:val="20"/>
            <w:u w:val="single"/>
            <w:shd w:val="clear" w:color="auto" w:fill="FFFFFF"/>
            <w:lang w:val="en-US" w:eastAsia="en-US" w:bidi="ar-SA"/>
          </w:rPr>
          <w:t>(1995), 100 B.C.L.R. (2d) 260</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Pett v. Pett</w:t>
      </w:r>
      <w:r>
        <w:rPr>
          <w:rFonts w:ascii="arial" w:eastAsia="arial" w:hAnsi="arial" w:cs="arial"/>
          <w:color w:val="000000"/>
          <w:sz w:val="20"/>
          <w:lang w:val="en-US" w:eastAsia="en-US" w:bidi="ar-SA"/>
        </w:rPr>
        <w:t xml:space="preserve">, </w:t>
      </w:r>
      <w:hyperlink r:id="rId421" w:history="1">
        <w:r>
          <w:rPr>
            <w:rFonts w:ascii="arial" w:eastAsia="arial" w:hAnsi="arial" w:cs="arial"/>
            <w:i/>
            <w:color w:val="0077CC"/>
            <w:sz w:val="20"/>
            <w:u w:val="single"/>
            <w:shd w:val="clear" w:color="auto" w:fill="FFFFFF"/>
            <w:lang w:val="en-US" w:eastAsia="en-US" w:bidi="ar-SA"/>
          </w:rPr>
          <w:t>2009 BCCA 232</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w:t>
      </w:r>
      <w:hyperlink r:id="rId10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The essential task of the court is to compare the "likely future of the plaintiff if the accident had not happened and the plaintiff's likely future after the accident has happened": </w:t>
      </w:r>
      <w:r>
        <w:rPr>
          <w:rFonts w:ascii="arial" w:eastAsia="arial" w:hAnsi="arial" w:cs="arial"/>
          <w:i/>
          <w:color w:val="000000"/>
          <w:sz w:val="20"/>
          <w:lang w:val="en-US" w:eastAsia="en-US" w:bidi="ar-SA"/>
        </w:rPr>
        <w:t>Gregory v. Insurance Corporation of British Columbia</w:t>
      </w:r>
      <w:r>
        <w:rPr>
          <w:rFonts w:ascii="arial" w:eastAsia="arial" w:hAnsi="arial" w:cs="arial"/>
          <w:color w:val="000000"/>
          <w:sz w:val="20"/>
          <w:lang w:val="en-US" w:eastAsia="en-US" w:bidi="ar-SA"/>
        </w:rPr>
        <w:t xml:space="preserve">, </w:t>
      </w:r>
      <w:hyperlink r:id="rId228" w:history="1">
        <w:r>
          <w:rPr>
            <w:rFonts w:ascii="arial" w:eastAsia="arial" w:hAnsi="arial" w:cs="arial"/>
            <w:i/>
            <w:color w:val="0077CC"/>
            <w:sz w:val="20"/>
            <w:u w:val="single"/>
            <w:shd w:val="clear" w:color="auto" w:fill="FFFFFF"/>
            <w:lang w:val="en-US" w:eastAsia="en-US" w:bidi="ar-SA"/>
          </w:rPr>
          <w:t>2011 BCCA 144</w:t>
        </w:r>
      </w:hyperlink>
      <w:r>
        <w:rPr>
          <w:rFonts w:ascii="arial" w:eastAsia="arial" w:hAnsi="arial" w:cs="arial"/>
          <w:color w:val="000000"/>
          <w:sz w:val="20"/>
          <w:lang w:val="en-US" w:eastAsia="en-US" w:bidi="ar-SA"/>
        </w:rPr>
        <w:t xml:space="preserve"> at para. 32. I also note that "insofar as is possible, the plaintiff should be put in the position he or she would have been in if not for the injuries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Lines v. W &amp; D Logging Co. Ltd.</w:t>
      </w:r>
      <w:r>
        <w:rPr>
          <w:rFonts w:ascii="arial" w:eastAsia="arial" w:hAnsi="arial" w:cs="arial"/>
          <w:color w:val="000000"/>
          <w:sz w:val="20"/>
          <w:lang w:val="en-US" w:eastAsia="en-US" w:bidi="ar-SA"/>
        </w:rPr>
        <w:t xml:space="preserve">, </w:t>
      </w:r>
      <w:hyperlink r:id="rId255" w:history="1">
        <w:r>
          <w:rPr>
            <w:rFonts w:ascii="arial" w:eastAsia="arial" w:hAnsi="arial" w:cs="arial"/>
            <w:i/>
            <w:color w:val="0077CC"/>
            <w:sz w:val="20"/>
            <w:u w:val="single"/>
            <w:shd w:val="clear" w:color="auto" w:fill="FFFFFF"/>
            <w:lang w:val="en-US" w:eastAsia="en-US" w:bidi="ar-SA"/>
          </w:rPr>
          <w:t>2009 BCCA 106</w:t>
        </w:r>
      </w:hyperlink>
      <w:r>
        <w:rPr>
          <w:rFonts w:ascii="arial" w:eastAsia="arial" w:hAnsi="arial" w:cs="arial"/>
          <w:color w:val="000000"/>
          <w:sz w:val="20"/>
          <w:lang w:val="en-US" w:eastAsia="en-US" w:bidi="ar-SA"/>
        </w:rPr>
        <w:t xml:space="preserve"> at para. 185.</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[98] The principles that apply in assessing loss of future earning capacity were summarized by Low J.A. in </w:t>
      </w:r>
      <w:r>
        <w:rPr>
          <w:rFonts w:ascii="arial" w:eastAsia="arial" w:hAnsi="arial" w:cs="arial"/>
          <w:i/>
          <w:color w:val="000000"/>
          <w:sz w:val="20"/>
          <w:lang w:val="en-US" w:eastAsia="en-US" w:bidi="ar-SA"/>
        </w:rPr>
        <w:t>Reilly v. Lynn</w:t>
      </w:r>
      <w:r>
        <w:rPr>
          <w:rFonts w:ascii="arial" w:eastAsia="arial" w:hAnsi="arial" w:cs="arial"/>
          <w:color w:val="000000"/>
          <w:sz w:val="20"/>
          <w:lang w:val="en-US" w:eastAsia="en-US" w:bidi="ar-SA"/>
        </w:rPr>
        <w:t xml:space="preserve">, </w:t>
      </w:r>
      <w:hyperlink r:id="rId424" w:history="1">
        <w:r>
          <w:rPr>
            <w:rFonts w:ascii="arial" w:eastAsia="arial" w:hAnsi="arial" w:cs="arial"/>
            <w:i/>
            <w:color w:val="0077CC"/>
            <w:sz w:val="20"/>
            <w:u w:val="single"/>
            <w:shd w:val="clear" w:color="auto" w:fill="FFFFFF"/>
            <w:lang w:val="en-US" w:eastAsia="en-US" w:bidi="ar-SA"/>
          </w:rPr>
          <w:t>2003 BCCA 49</w:t>
        </w:r>
      </w:hyperlink>
      <w:r>
        <w:rPr>
          <w:rFonts w:ascii="arial" w:eastAsia="arial" w:hAnsi="arial" w:cs="arial"/>
          <w:color w:val="000000"/>
          <w:sz w:val="20"/>
          <w:lang w:val="en-US" w:eastAsia="en-US" w:bidi="ar-SA"/>
        </w:rPr>
        <w:t xml:space="preserve"> at para. 101: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relevant principles may be briefly summarized. The standard of proof in relation to future events is simple probability, not the balance of probabilities, and hypothetical events are to be given weight according to their relative likelihood: </w:t>
      </w:r>
      <w:r>
        <w:rPr>
          <w:rFonts w:ascii="arial" w:eastAsia="arial" w:hAnsi="arial" w:cs="arial"/>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at para. 27. A plaintiff is entitled to compensation for real and substantial possibilities of loss, which are to be quantified by estimating the chance of the loss occurring: </w:t>
      </w:r>
      <w:r>
        <w:rPr>
          <w:rFonts w:ascii="arial" w:eastAsia="arial" w:hAnsi="arial" w:cs="arial"/>
          <w:i/>
          <w:color w:val="000000"/>
          <w:sz w:val="20"/>
          <w:lang w:val="en-US" w:eastAsia="en-US" w:bidi="ar-SA"/>
        </w:rPr>
        <w:t>Athey v. Leonati, supra</w:t>
      </w:r>
      <w:r>
        <w:rPr>
          <w:rFonts w:ascii="arial" w:eastAsia="arial" w:hAnsi="arial" w:cs="arial"/>
          <w:color w:val="000000"/>
          <w:sz w:val="20"/>
          <w:lang w:val="en-US" w:eastAsia="en-US" w:bidi="ar-SA"/>
        </w:rPr>
        <w:t xml:space="preserve">, at para. 27,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at 135 (C.A.). The valuation of the loss of earning capacity may involve a comparison of what the plaintiff would probably have earned but for the accident with what he will probably earn in his injured condition: </w:t>
      </w:r>
      <w:r>
        <w:rPr>
          <w:rFonts w:ascii="arial" w:eastAsia="arial" w:hAnsi="arial" w:cs="arial"/>
          <w:i/>
          <w:color w:val="000000"/>
          <w:sz w:val="20"/>
          <w:lang w:val="en-US" w:eastAsia="en-US" w:bidi="ar-SA"/>
        </w:rPr>
        <w:t>Milina v. Bartsch</w:t>
      </w:r>
      <w:r>
        <w:rPr>
          <w:rFonts w:ascii="arial" w:eastAsia="arial" w:hAnsi="arial" w:cs="arial"/>
          <w:color w:val="000000"/>
          <w:sz w:val="20"/>
          <w:lang w:val="en-US" w:eastAsia="en-US" w:bidi="ar-SA"/>
        </w:rPr>
        <w:t xml:space="preserve"> </w:t>
      </w:r>
      <w:hyperlink r:id="rId425" w:history="1">
        <w:r>
          <w:rPr>
            <w:rFonts w:ascii="arial" w:eastAsia="arial" w:hAnsi="arial" w:cs="arial"/>
            <w:i/>
            <w:color w:val="0077CC"/>
            <w:sz w:val="20"/>
            <w:u w:val="single"/>
            <w:shd w:val="clear" w:color="auto" w:fill="FFFFFF"/>
            <w:lang w:val="en-US" w:eastAsia="en-US" w:bidi="ar-SA"/>
          </w:rPr>
          <w:t>(1985), 49 B.C.L.R. (2d) 33</w:t>
        </w:r>
      </w:hyperlink>
      <w:r>
        <w:rPr>
          <w:rFonts w:ascii="arial" w:eastAsia="arial" w:hAnsi="arial" w:cs="arial"/>
          <w:color w:val="000000"/>
          <w:sz w:val="20"/>
          <w:lang w:val="en-US" w:eastAsia="en-US" w:bidi="ar-SA"/>
        </w:rPr>
        <w:t xml:space="preserve"> at 93 (S.C.). However, that is not the end of the inquiry; the overall fairness and reasonableness of the award must be considered: </w:t>
      </w:r>
      <w:r>
        <w:rPr>
          <w:rFonts w:ascii="arial" w:eastAsia="arial" w:hAnsi="arial" w:cs="arial"/>
          <w:i/>
          <w:color w:val="000000"/>
          <w:sz w:val="20"/>
          <w:lang w:val="en-US" w:eastAsia="en-US" w:bidi="ar-SA"/>
        </w:rPr>
        <w:t>Rosvold v. Dunlop</w:t>
      </w:r>
      <w:r>
        <w:rPr>
          <w:rFonts w:ascii="arial" w:eastAsia="arial" w:hAnsi="arial" w:cs="arial"/>
          <w:color w:val="000000"/>
          <w:sz w:val="20"/>
          <w:lang w:val="en-US" w:eastAsia="en-US" w:bidi="ar-SA"/>
        </w:rPr>
        <w:t xml:space="preserve">, ... </w:t>
      </w:r>
      <w:hyperlink r:id="rId101" w:history="1">
        <w:r>
          <w:rPr>
            <w:rFonts w:ascii="arial" w:eastAsia="arial" w:hAnsi="arial" w:cs="arial"/>
            <w:i/>
            <w:color w:val="0077CC"/>
            <w:sz w:val="20"/>
            <w:u w:val="single"/>
            <w:shd w:val="clear" w:color="auto" w:fill="FFFFFF"/>
            <w:lang w:val="en-US" w:eastAsia="en-US" w:bidi="ar-SA"/>
          </w:rPr>
          <w:t>2001 BCCA 1</w:t>
        </w:r>
      </w:hyperlink>
      <w:r>
        <w:rPr>
          <w:rFonts w:ascii="arial" w:eastAsia="arial" w:hAnsi="arial" w:cs="arial"/>
          <w:color w:val="000000"/>
          <w:sz w:val="20"/>
          <w:lang w:val="en-US" w:eastAsia="en-US" w:bidi="ar-SA"/>
        </w:rPr>
        <w:t xml:space="preserve"> at para. 11; </w:t>
      </w:r>
      <w:r>
        <w:rPr>
          <w:rFonts w:ascii="arial" w:eastAsia="arial" w:hAnsi="arial" w:cs="arial"/>
          <w:i/>
          <w:color w:val="000000"/>
          <w:sz w:val="20"/>
          <w:lang w:val="en-US" w:eastAsia="en-US" w:bidi="ar-SA"/>
        </w:rPr>
        <w:t>Ryder v. Paquette</w:t>
      </w:r>
      <w:r>
        <w:rPr>
          <w:rFonts w:ascii="arial" w:eastAsia="arial" w:hAnsi="arial" w:cs="arial"/>
          <w:color w:val="000000"/>
          <w:sz w:val="20"/>
          <w:lang w:val="en-US" w:eastAsia="en-US" w:bidi="ar-SA"/>
        </w:rPr>
        <w:t xml:space="preserve">, </w:t>
      </w:r>
      <w:hyperlink r:id="rId459" w:history="1">
        <w:r>
          <w:rPr>
            <w:rFonts w:ascii="arial" w:eastAsia="arial" w:hAnsi="arial" w:cs="arial"/>
            <w:i/>
            <w:color w:val="0077CC"/>
            <w:sz w:val="20"/>
            <w:u w:val="single"/>
            <w:shd w:val="clear" w:color="auto" w:fill="FFFFFF"/>
            <w:lang w:val="en-US" w:eastAsia="en-US" w:bidi="ar-SA"/>
          </w:rPr>
          <w:t>[1995] B.C.J. No. 644</w:t>
        </w:r>
      </w:hyperlink>
      <w:r>
        <w:rPr>
          <w:rFonts w:ascii="arial" w:eastAsia="arial" w:hAnsi="arial" w:cs="arial"/>
          <w:color w:val="000000"/>
          <w:sz w:val="20"/>
          <w:lang w:val="en-US" w:eastAsia="en-US" w:bidi="ar-SA"/>
        </w:rPr>
        <w:t xml:space="preserve"> (C.A.) (Q.L.). Moreover, the task of the Court is to assess the losses, not to calculate them mathematically: </w:t>
      </w:r>
      <w:r>
        <w:rPr>
          <w:rFonts w:ascii="arial" w:eastAsia="arial" w:hAnsi="arial" w:cs="arial"/>
          <w:i/>
          <w:color w:val="000000"/>
          <w:sz w:val="20"/>
          <w:lang w:val="en-US" w:eastAsia="en-US" w:bidi="ar-SA"/>
        </w:rPr>
        <w:t>Mulholland (Guardian ad litem of) v. Riley Estate</w:t>
      </w:r>
      <w:r>
        <w:rPr>
          <w:rFonts w:ascii="arial" w:eastAsia="arial" w:hAnsi="arial" w:cs="arial"/>
          <w:color w:val="000000"/>
          <w:sz w:val="20"/>
          <w:lang w:val="en-US" w:eastAsia="en-US" w:bidi="ar-SA"/>
        </w:rPr>
        <w:t xml:space="preserve"> </w:t>
      </w:r>
      <w:hyperlink r:id="rId427" w:history="1">
        <w:r>
          <w:rPr>
            <w:rFonts w:ascii="arial" w:eastAsia="arial" w:hAnsi="arial" w:cs="arial"/>
            <w:i/>
            <w:color w:val="0077CC"/>
            <w:sz w:val="20"/>
            <w:u w:val="single"/>
            <w:shd w:val="clear" w:color="auto" w:fill="FFFFFF"/>
            <w:lang w:val="en-US" w:eastAsia="en-US" w:bidi="ar-SA"/>
          </w:rPr>
          <w:t>(1995), 12 B.C.L.R. (3d) 248</w:t>
        </w:r>
      </w:hyperlink>
      <w:r>
        <w:rPr>
          <w:rFonts w:ascii="arial" w:eastAsia="arial" w:hAnsi="arial" w:cs="arial"/>
          <w:color w:val="000000"/>
          <w:sz w:val="20"/>
          <w:lang w:val="en-US" w:eastAsia="en-US" w:bidi="ar-SA"/>
        </w:rPr>
        <w:t xml:space="preserve"> (C.A.). Finally, since the course of future events is unknown, allowance must be made for the contingency that the assumptions upon which the award is based may prove to be wrong: </w:t>
      </w:r>
      <w:r>
        <w:rPr>
          <w:rFonts w:ascii="arial" w:eastAsia="arial" w:hAnsi="arial" w:cs="arial"/>
          <w:i/>
          <w:color w:val="000000"/>
          <w:sz w:val="20"/>
          <w:lang w:val="en-US" w:eastAsia="en-US" w:bidi="ar-SA"/>
        </w:rPr>
        <w:t>Milina v. Bartsch, supra</w:t>
      </w:r>
      <w:r>
        <w:rPr>
          <w:rFonts w:ascii="arial" w:eastAsia="arial" w:hAnsi="arial" w:cs="arial"/>
          <w:color w:val="000000"/>
          <w:sz w:val="20"/>
          <w:lang w:val="en-US" w:eastAsia="en-US" w:bidi="ar-SA"/>
        </w:rPr>
        <w:t>, at 79.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[99] The test is set out 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at para. 32:</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plaintiff must </w:t>
      </w:r>
      <w:r>
        <w:rPr>
          <w:rFonts w:ascii="arial" w:eastAsia="arial" w:hAnsi="arial" w:cs="arial"/>
          <w:color w:val="000000"/>
          <w:sz w:val="20"/>
          <w:u w:val="single"/>
          <w:lang w:val="en-US" w:eastAsia="en-US" w:bidi="ar-SA"/>
        </w:rPr>
        <w:t>always</w:t>
      </w:r>
      <w:r>
        <w:rPr>
          <w:rFonts w:ascii="arial" w:eastAsia="arial" w:hAnsi="arial" w:cs="arial"/>
          <w:color w:val="000000"/>
          <w:sz w:val="20"/>
          <w:lang w:val="en-US" w:eastAsia="en-US" w:bidi="ar-SA"/>
        </w:rPr>
        <w:t xml:space="preserve"> prove, as was noted by Donald J.A.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xml:space="preserve">, by Bauman J. in </w:t>
      </w:r>
      <w:r>
        <w:rPr>
          <w:rFonts w:ascii="arial" w:eastAsia="arial" w:hAnsi="arial" w:cs="arial"/>
          <w:i/>
          <w:color w:val="000000"/>
          <w:sz w:val="20"/>
          <w:lang w:val="en-US" w:eastAsia="en-US" w:bidi="ar-SA"/>
        </w:rPr>
        <w:t>Chang</w:t>
      </w:r>
      <w:r>
        <w:rPr>
          <w:rFonts w:ascii="arial" w:eastAsia="arial" w:hAnsi="arial" w:cs="arial"/>
          <w:color w:val="000000"/>
          <w:sz w:val="20"/>
          <w:lang w:val="en-US" w:eastAsia="en-US" w:bidi="ar-SA"/>
        </w:rPr>
        <w:t xml:space="preserve">, and by Tysoe J.A. in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that there is a real and substantial possibility of a future event leading to an income loss. If the plaintiff discharges that burden of proof, then depending upon the facts of the case, the plaintiff may prove the quantification of that loss of earning capacity, either on an earnings approach, 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or a capital asset approach, as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The former approach will be more useful when the loss is more easily measurable, as it was in </w:t>
      </w:r>
      <w:r>
        <w:rPr>
          <w:rFonts w:ascii="arial" w:eastAsia="arial" w:hAnsi="arial" w:cs="arial"/>
          <w:i/>
          <w:color w:val="000000"/>
          <w:sz w:val="20"/>
          <w:lang w:val="en-US" w:eastAsia="en-US" w:bidi="ar-SA"/>
        </w:rPr>
        <w:t>Steenblok</w:t>
      </w:r>
      <w:r>
        <w:rPr>
          <w:rFonts w:ascii="arial" w:eastAsia="arial" w:hAnsi="arial" w:cs="arial"/>
          <w:color w:val="000000"/>
          <w:sz w:val="20"/>
          <w:lang w:val="en-US" w:eastAsia="en-US" w:bidi="ar-SA"/>
        </w:rPr>
        <w:t xml:space="preserve">. The latter approach will be more useful when the loss is not as easily measurable, as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Romanchych</w:t>
      </w:r>
      <w:r>
        <w:rPr>
          <w:rFonts w:ascii="arial" w:eastAsia="arial" w:hAnsi="arial" w:cs="arial"/>
          <w:color w:val="000000"/>
          <w:sz w:val="20"/>
          <w:lang w:val="en-US" w:eastAsia="en-US" w:bidi="ar-SA"/>
        </w:rPr>
        <w:t xml:space="preserve">. A plaintiff may indeed be able to prove that there is a substantial possibility of a future loss of income despite having returned to his or her usual employment. That was the case in both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Parypa.</w:t>
      </w:r>
      <w:r>
        <w:rPr>
          <w:rFonts w:ascii="arial" w:eastAsia="arial" w:hAnsi="arial" w:cs="arial"/>
          <w:color w:val="000000"/>
          <w:sz w:val="20"/>
          <w:lang w:val="en-US" w:eastAsia="en-US" w:bidi="ar-SA"/>
        </w:rPr>
        <w:t xml:space="preserve"> But, as Donald J.A. said in </w:t>
      </w:r>
      <w:r>
        <w:rPr>
          <w:rFonts w:ascii="arial" w:eastAsia="arial" w:hAnsi="arial" w:cs="arial"/>
          <w:i/>
          <w:color w:val="000000"/>
          <w:sz w:val="20"/>
          <w:lang w:val="en-US" w:eastAsia="en-US" w:bidi="ar-SA"/>
        </w:rPr>
        <w:t>Steward</w:t>
      </w:r>
      <w:r>
        <w:rPr>
          <w:rFonts w:ascii="arial" w:eastAsia="arial" w:hAnsi="arial" w:cs="arial"/>
          <w:color w:val="000000"/>
          <w:sz w:val="20"/>
          <w:lang w:val="en-US" w:eastAsia="en-US" w:bidi="ar-SA"/>
        </w:rPr>
        <w:t>, an inability to perform an occupation that is not a realistic alternative occupation is not proof of a future loss. [Emphasis in original.]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[100] There are two possible approaches to assessment of loss of future earning capacity: the "earnings approach" discussed in </w:t>
      </w:r>
      <w:r>
        <w:rPr>
          <w:rFonts w:ascii="arial" w:eastAsia="arial" w:hAnsi="arial" w:cs="arial"/>
          <w:i/>
          <w:color w:val="000000"/>
          <w:sz w:val="20"/>
          <w:lang w:val="en-US" w:eastAsia="en-US" w:bidi="ar-SA"/>
        </w:rPr>
        <w:t>Steenblok v. Funk</w:t>
      </w:r>
      <w:r>
        <w:rPr>
          <w:rFonts w:ascii="arial" w:eastAsia="arial" w:hAnsi="arial" w:cs="arial"/>
          <w:color w:val="000000"/>
          <w:sz w:val="20"/>
          <w:lang w:val="en-US" w:eastAsia="en-US" w:bidi="ar-SA"/>
        </w:rPr>
        <w:t xml:space="preserve"> </w:t>
      </w:r>
      <w:hyperlink r:id="rId767" w:history="1">
        <w:r>
          <w:rPr>
            <w:rFonts w:ascii="arial" w:eastAsia="arial" w:hAnsi="arial" w:cs="arial"/>
            <w:i/>
            <w:color w:val="0077CC"/>
            <w:sz w:val="20"/>
            <w:u w:val="single"/>
            <w:shd w:val="clear" w:color="auto" w:fill="FFFFFF"/>
            <w:lang w:val="en-US" w:eastAsia="en-US" w:bidi="ar-SA"/>
          </w:rPr>
          <w:t>(1990), 46 B.C.L.R. (2d) 133</w:t>
        </w:r>
      </w:hyperlink>
      <w:r>
        <w:rPr>
          <w:rFonts w:ascii="arial" w:eastAsia="arial" w:hAnsi="arial" w:cs="arial"/>
          <w:color w:val="000000"/>
          <w:sz w:val="20"/>
          <w:lang w:val="en-US" w:eastAsia="en-US" w:bidi="ar-SA"/>
        </w:rPr>
        <w:t xml:space="preserve"> (C.A.); and the "capital asset approach" discussed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xml:space="preserve">. As noted in the above quote from </w:t>
      </w:r>
      <w:r>
        <w:rPr>
          <w:rFonts w:ascii="arial" w:eastAsia="arial" w:hAnsi="arial" w:cs="arial"/>
          <w:i/>
          <w:color w:val="000000"/>
          <w:sz w:val="20"/>
          <w:lang w:val="en-US" w:eastAsia="en-US" w:bidi="ar-SA"/>
        </w:rPr>
        <w:t>Perren</w:t>
      </w:r>
      <w:r>
        <w:rPr>
          <w:rFonts w:ascii="arial" w:eastAsia="arial" w:hAnsi="arial" w:cs="arial"/>
          <w:color w:val="000000"/>
          <w:sz w:val="20"/>
          <w:lang w:val="en-US" w:eastAsia="en-US" w:bidi="ar-SA"/>
        </w:rPr>
        <w:t>, both approaches are correct and will be more or less appropriate depending on whether the loss in question can be quantified in a measureable way: at para. 32.</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[101] The earnings approach and the capital asset approach were described in </w:t>
      </w:r>
      <w:r>
        <w:rPr>
          <w:rFonts w:ascii="arial" w:eastAsia="arial" w:hAnsi="arial" w:cs="arial"/>
          <w:i/>
          <w:color w:val="000000"/>
          <w:sz w:val="20"/>
          <w:lang w:val="en-US" w:eastAsia="en-US" w:bidi="ar-SA"/>
        </w:rPr>
        <w:t>Gilbert v. Bottle</w:t>
      </w:r>
      <w:r>
        <w:rPr>
          <w:rFonts w:ascii="arial" w:eastAsia="arial" w:hAnsi="arial" w:cs="arial"/>
          <w:color w:val="000000"/>
          <w:sz w:val="20"/>
          <w:lang w:val="en-US" w:eastAsia="en-US" w:bidi="ar-SA"/>
        </w:rPr>
        <w:t xml:space="preserve">, </w:t>
      </w:r>
      <w:hyperlink r:id="rId286" w:history="1">
        <w:r>
          <w:rPr>
            <w:rFonts w:ascii="arial" w:eastAsia="arial" w:hAnsi="arial" w:cs="arial"/>
            <w:i/>
            <w:color w:val="0077CC"/>
            <w:sz w:val="20"/>
            <w:u w:val="single"/>
            <w:shd w:val="clear" w:color="auto" w:fill="FFFFFF"/>
            <w:lang w:val="en-US" w:eastAsia="en-US" w:bidi="ar-SA"/>
          </w:rPr>
          <w:t>2011 BCSC 1389</w:t>
        </w:r>
      </w:hyperlink>
      <w:r>
        <w:rPr>
          <w:rFonts w:ascii="arial" w:eastAsia="arial" w:hAnsi="arial" w:cs="arial"/>
          <w:color w:val="000000"/>
          <w:sz w:val="20"/>
          <w:lang w:val="en-US" w:eastAsia="en-US" w:bidi="ar-SA"/>
        </w:rPr>
        <w:t>, by Madam Justice Dickson, at para. 233: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w:t>
      </w:r>
      <w:r>
        <w:rPr>
          <w:rFonts w:ascii="arial" w:eastAsia="arial" w:hAnsi="arial" w:cs="arial"/>
          <w:i/>
          <w:color w:val="000000"/>
          <w:sz w:val="20"/>
          <w:lang w:val="en-US" w:eastAsia="en-US" w:bidi="ar-SA"/>
        </w:rPr>
        <w:t>Perren v. Lalari</w:t>
      </w:r>
      <w:r>
        <w:rPr>
          <w:rFonts w:ascii="arial" w:eastAsia="arial" w:hAnsi="arial" w:cs="arial"/>
          <w:color w:val="000000"/>
          <w:sz w:val="20"/>
          <w:lang w:val="en-US" w:eastAsia="en-US" w:bidi="ar-SA"/>
        </w:rPr>
        <w:t xml:space="preserve">, </w:t>
      </w:r>
      <w:hyperlink r:id="rId281" w:history="1">
        <w:r>
          <w:rPr>
            <w:rFonts w:ascii="arial" w:eastAsia="arial" w:hAnsi="arial" w:cs="arial"/>
            <w:i/>
            <w:color w:val="0077CC"/>
            <w:sz w:val="20"/>
            <w:u w:val="single"/>
            <w:shd w:val="clear" w:color="auto" w:fill="FFFFFF"/>
            <w:lang w:val="en-US" w:eastAsia="en-US" w:bidi="ar-SA"/>
          </w:rPr>
          <w:t>2010 BCCA 140</w:t>
        </w:r>
      </w:hyperlink>
      <w:r>
        <w:rPr>
          <w:rFonts w:ascii="arial" w:eastAsia="arial" w:hAnsi="arial" w:cs="arial"/>
          <w:color w:val="000000"/>
          <w:sz w:val="20"/>
          <w:lang w:val="en-US" w:eastAsia="en-US" w:bidi="ar-SA"/>
        </w:rPr>
        <w:t xml:space="preserve">, Garson J.A. identified the two approaches to assessment of loss of future earning capacity commonly adopted by courts in British Columbia. One is the "earnings approach" described in </w:t>
      </w:r>
      <w:r>
        <w:rPr>
          <w:rFonts w:ascii="arial" w:eastAsia="arial" w:hAnsi="arial" w:cs="arial"/>
          <w:i/>
          <w:color w:val="000000"/>
          <w:sz w:val="20"/>
          <w:lang w:val="en-US" w:eastAsia="en-US" w:bidi="ar-SA"/>
        </w:rPr>
        <w:t>Pallos</w:t>
      </w:r>
      <w:r>
        <w:rPr>
          <w:rFonts w:ascii="arial" w:eastAsia="arial" w:hAnsi="arial" w:cs="arial"/>
          <w:color w:val="000000"/>
          <w:sz w:val="20"/>
          <w:lang w:val="en-US" w:eastAsia="en-US" w:bidi="ar-SA"/>
        </w:rPr>
        <w:t xml:space="preserve">; the other is the "capital asset approach" described in </w:t>
      </w:r>
      <w:r>
        <w:rPr>
          <w:rFonts w:ascii="arial" w:eastAsia="arial" w:hAnsi="arial" w:cs="arial"/>
          <w:i/>
          <w:color w:val="000000"/>
          <w:sz w:val="20"/>
          <w:lang w:val="en-US" w:eastAsia="en-US" w:bidi="ar-SA"/>
        </w:rPr>
        <w:t>Brown</w:t>
      </w:r>
      <w:r>
        <w:rPr>
          <w:rFonts w:ascii="arial" w:eastAsia="arial" w:hAnsi="arial" w:cs="arial"/>
          <w:color w:val="000000"/>
          <w:sz w:val="20"/>
          <w:lang w:val="en-US" w:eastAsia="en-US" w:bidi="ar-SA"/>
        </w:rPr>
        <w:t>. The earnings approach involves a form of math-oriented methodology such as i) postulating a minimum annual income loss for the plaintiff's remaining years of work, multiplying the annual projected loss by the number of remaining years and calculating a present value or ii) awarding the plaintiff's entire annual income for a year or two. The capital asset approach involves considering factors such as i) whether the plaintiff has been rendered less capable overall of earning income from all types of employment; ii) is less marketable or attractive as a potential employee; iii) has lost the ability to take advantage of all job opportunities that might otherwise have been open; and iv) is less valuable to herself as a person capable of earning income in a competitive labour market.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my view, the facts establish a real and substantial possibility Mr. Weber has and will continue to suffer a loss of income as a result of the injuries sustained in the assault. As stated, he suffers the residual effects of post traumatic stress disorder which will have a lasting effect on his ability to function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Mr. Weber had a long work history in public works prior to his decision to resign from Harrison. Following his physical recovery from the injuries sustained in the assault, he quickly sought re-employment in that area. Due to his ongoing psychological symptoms his employability will be restricted in the future because of his inability to deal with confrontations and his anxiety in dealing with "any interpersonal confrontations."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xml:space="preserve">  In my view, Mr. Weber meets the four criteria set out in </w:t>
      </w:r>
      <w:r>
        <w:rPr>
          <w:rFonts w:ascii="arial" w:eastAsia="arial" w:hAnsi="arial" w:cs="arial"/>
          <w:i/>
          <w:color w:val="000000"/>
          <w:sz w:val="20"/>
          <w:lang w:val="en-US" w:eastAsia="en-US" w:bidi="ar-SA"/>
        </w:rPr>
        <w:t>Brown v. Golaiy</w:t>
      </w:r>
      <w:r>
        <w:rPr>
          <w:rFonts w:ascii="arial" w:eastAsia="arial" w:hAnsi="arial" w:cs="arial"/>
          <w:color w:val="000000"/>
          <w:sz w:val="20"/>
          <w:lang w:val="en-US" w:eastAsia="en-US" w:bidi="ar-SA"/>
        </w:rPr>
        <w:t xml:space="preserve"> </w:t>
      </w:r>
      <w:hyperlink r:id="rId285" w:history="1">
        <w:r>
          <w:rPr>
            <w:rFonts w:ascii="arial" w:eastAsia="arial" w:hAnsi="arial" w:cs="arial"/>
            <w:i/>
            <w:color w:val="0077CC"/>
            <w:sz w:val="20"/>
            <w:u w:val="single"/>
            <w:shd w:val="clear" w:color="auto" w:fill="FFFFFF"/>
            <w:lang w:val="en-US" w:eastAsia="en-US" w:bidi="ar-SA"/>
          </w:rPr>
          <w:t>(1985), 26 B.C.L.R. (3d) 353</w:t>
        </w:r>
      </w:hyperlink>
      <w:r>
        <w:rPr>
          <w:rFonts w:ascii="arial" w:eastAsia="arial" w:hAnsi="arial" w:cs="arial"/>
          <w:color w:val="000000"/>
          <w:sz w:val="20"/>
          <w:lang w:val="en-US" w:eastAsia="en-US" w:bidi="ar-SA"/>
        </w:rPr>
        <w:t xml:space="preserve"> at para. 8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Quantifying the amount of his loss is difficult. Mr. Weber is presently 54 years of age. He has 11 years of working life before he would, in the ordinary course, retire. Mr. Weber says he intended to complete "his working life" at Harrison and enjoy his pension. However, as discussed, he resigned from his position before the assault. His search for re-employment and his accepting the position with Montrose, however, is a clear indication he would likely have worked to age 65. There is no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Mr. Hildebrand prepared an analysis of loss of future income assuming no accident and assuming the plaintiff had worked in the position of either a public works foreman or a public works operator until age 65. He then prepared an analysis assuming the plaintiff would continue earning income as owner of the motel until age 65. He calculated the plaintiff's loss at $620,000.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There are a number of contingencies Mr. Hildebrand did not take into account. Mr. Weber may have retired early had he continued to work in public works. His health may have deteriorated. Particularly, he may not have tolerated the stress of working with others. Once the stress of this litigation is over, Mr. Weber may return to the workforce in some capacity other than his current occupation. Mr. and Mrs. Weber may also decide the motel is not an economically viable venture and Mr. Weber may move on to more lucrative employment. Given his limitations, however, his options for employment will remain limited.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Taking these various factors into consideration, I award Mr. Weber damages of $200,000 for loss of future earning capacity.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Loss of Pension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Mr. Hildebrant calculated Mr. Weber's pension loss as $86,223. Mr. Weber had 22.85 years of pensionable service at the time of the assault. According to Mr. Hildebrandt's report he would have accumulated 35 years of service by age 62.5. In my view, Mr. Weber did sustain a pension loss. I find that absent the assault he would have found employment in the public works field which would have added to the pensionable service he had accumulated prior to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Taking the contingencies I have discussed earlier into account, I award Mr. Weber $50,000 for loss of pension benefits.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xml:space="preserve">  Mr. Weber has personally incurred $5,294.06 in special damages. The reimbursable payments made by the Victim Crime Assistance Program amount to $2,476.20. He has also incurred health care expenses in the amount of $3,917.82 that are subject to the </w:t>
      </w:r>
      <w:r>
        <w:rPr>
          <w:rFonts w:ascii="arial" w:eastAsia="arial" w:hAnsi="arial" w:cs="arial"/>
          <w:i/>
          <w:color w:val="000000"/>
          <w:sz w:val="20"/>
          <w:lang w:val="en-US" w:eastAsia="en-US" w:bidi="ar-SA"/>
        </w:rPr>
        <w:t>Health Care Costs Recovery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2008, c. 27</w:t>
      </w:r>
      <w:r>
        <w:rPr>
          <w:rFonts w:ascii="arial" w:eastAsia="arial" w:hAnsi="arial" w:cs="arial"/>
          <w:color w:val="000000"/>
          <w:sz w:val="20"/>
          <w:lang w:val="en-US" w:eastAsia="en-US" w:bidi="ar-SA"/>
        </w:rPr>
        <w:t>. His total special damages amount to $11,688.08.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Aggravated and Punitive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xml:space="preserve">  I make no award for either punitive damages or aggravated damages. The defendant in this case was charged, convicted, and sentenced for assault causing bodily harm. There is no need to pass a message to deter others who, like Mr. deBrouwer, are not able to control their temper: see the decision of Mr. Justice Burnyeat in </w:t>
      </w:r>
      <w:r>
        <w:rPr>
          <w:rFonts w:ascii="arial" w:eastAsia="arial" w:hAnsi="arial" w:cs="arial"/>
          <w:i/>
          <w:color w:val="000000"/>
          <w:sz w:val="20"/>
          <w:lang w:val="en-US" w:eastAsia="en-US" w:bidi="ar-SA"/>
        </w:rPr>
        <w:t>Reddemann v. McEachnie et al</w:t>
      </w:r>
      <w:r>
        <w:rPr>
          <w:rFonts w:ascii="arial" w:eastAsia="arial" w:hAnsi="arial" w:cs="arial"/>
          <w:color w:val="000000"/>
          <w:sz w:val="20"/>
          <w:lang w:val="en-US" w:eastAsia="en-US" w:bidi="ar-SA"/>
        </w:rPr>
        <w:t xml:space="preserve">, </w:t>
      </w:r>
      <w:hyperlink r:id="rId768" w:history="1">
        <w:r>
          <w:rPr>
            <w:rFonts w:ascii="arial" w:eastAsia="arial" w:hAnsi="arial" w:cs="arial"/>
            <w:i/>
            <w:color w:val="0077CC"/>
            <w:sz w:val="20"/>
            <w:u w:val="single"/>
            <w:shd w:val="clear" w:color="auto" w:fill="FFFFFF"/>
            <w:lang w:val="en-US" w:eastAsia="en-US" w:bidi="ar-SA"/>
          </w:rPr>
          <w:t>2005 BCSC 915</w:t>
        </w:r>
      </w:hyperlink>
      <w:r>
        <w:rPr>
          <w:rFonts w:ascii="arial" w:eastAsia="arial" w:hAnsi="arial" w:cs="arial"/>
          <w:color w:val="000000"/>
          <w:sz w:val="20"/>
          <w:lang w:val="en-US" w:eastAsia="en-US" w:bidi="ar-SA"/>
        </w:rPr>
        <w:t xml:space="preserve"> at para 42.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xml:space="preserve">  Additionally, the award against Mr. deBrouwer is a substantial one that encompasses the compensary intangible elements intended to be covered by an award of aggravated damages: see </w:t>
      </w:r>
      <w:r>
        <w:rPr>
          <w:rFonts w:ascii="arial" w:eastAsia="arial" w:hAnsi="arial" w:cs="arial"/>
          <w:i/>
          <w:color w:val="000000"/>
          <w:sz w:val="20"/>
          <w:lang w:val="en-US" w:eastAsia="en-US" w:bidi="ar-SA"/>
        </w:rPr>
        <w:t>Huff v. Price</w:t>
      </w:r>
      <w:r>
        <w:rPr>
          <w:rFonts w:ascii="arial" w:eastAsia="arial" w:hAnsi="arial" w:cs="arial"/>
          <w:color w:val="000000"/>
          <w:sz w:val="20"/>
          <w:lang w:val="en-US" w:eastAsia="en-US" w:bidi="ar-SA"/>
        </w:rPr>
        <w:t xml:space="preserve"> </w:t>
      </w:r>
      <w:hyperlink r:id="rId60" w:history="1">
        <w:r>
          <w:rPr>
            <w:rFonts w:ascii="arial" w:eastAsia="arial" w:hAnsi="arial" w:cs="arial"/>
            <w:i/>
            <w:color w:val="0077CC"/>
            <w:sz w:val="20"/>
            <w:u w:val="single"/>
            <w:shd w:val="clear" w:color="auto" w:fill="FFFFFF"/>
            <w:lang w:val="en-US" w:eastAsia="en-US" w:bidi="ar-SA"/>
          </w:rPr>
          <w:t>(1990), 51 B.C.L.R. (2d) 282</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Mitigation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law requires that a plaintiff is required to take reasonable steps to mitigate or reduce the loss he/she suffers as a result of a wrongful act by another. No damages are recoverable if the loss or a portion of the loss is avoidable through reasonable action. The question is whether a plaintiff has taken the steps a reasonable person would take in the circumstances to reduce his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Mitigation is usually an issue raised by the defendant to mitigate the amount of damages he/she is required to pay. In this case the defendant is a law person and did not raise the issue. It is my view the court, having a responsibility to award an amount of damages that is fair to both parties, has an obligation to consider the issue of mitigation when that issue is squarely raised on the evidence before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In this case the plaintiff's physicians have made a number of recommendations which he has not followed. Dr. Smith thought it "critically important" Mr. Weber be treated by a treating psychologist "sooner rather than later." Mr. Weber had not had such treatment and there is no evidence before me why he has not. Dr. Smith thought Mr. Weber would benefit from 12 to 20 additional sessions of psychological treatment. In addition, Dr. Smith thought Mr. Weber would benefit from taking medications for the treatment of his PTSD and cognitive impairments. Mr. Weber is not taking such medication. Dr. Berry recommended to Mr. Weber that he should reduce or discontinue consumption of alcohol in order to maximize his cognitive abilities. Dr. Cameron agreed and described Mr. Weber's consumption of alcohol as "as excessive" and "probably a significant ongoing contributing factor" to his mild cognitive complaints. As stated, Mr. Weber must take such steps to reduce or lessen his losses by taking the steps a reasonable person would take. There is no evidence before me to suggest there was anything which would prevent Mr. Weber from taking the steps suggested by his medical advisors.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Accordingly, in my view Mr. Weber has not taken reasonable steps to mitigate his losses. I therefore reduce the award for damages by 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In summary, I award the plaintiff the following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392"/>
        <w:gridCol w:w="2614"/>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438"/>
        <w:gridCol w:w="1568"/>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earnings to the date of trial</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987"/>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future earning capacity</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$200,000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601"/>
        <w:gridCol w:w="2405"/>
        <w:gridCol w:w="282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Loss of pension benefits</w:t>
            </w:r>
          </w:p>
        </w:tc>
        <w:tc>
          <w:tcPr>
            <w:tcW w:w="235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w:t>
            </w:r>
          </w:p>
        </w:tc>
        <w:tc>
          <w:tcPr>
            <w:tcW w:w="2765"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8"/>
        <w:gridCol w:w="3973"/>
        <w:gridCol w:w="3241"/>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$11,688.08</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3869"/>
        <w:gridCol w:w="2614"/>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78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$561,688.08</w:t>
            </w:r>
          </w:p>
        </w:tc>
        <w:tc>
          <w:tcPr>
            <w:tcW w:w="256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A reduction in the above heads of damage by 30% for failure to mitigate results in a reduction of the award of damages to $393,181.65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The plaintiff is also awarded costs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GREYELL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29" style="position:absolute;z-index:2518773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69"/>
          <w:headerReference w:type="default" r:id="rId770"/>
          <w:footerReference w:type="even" r:id="rId771"/>
          <w:footerReference w:type="default" r:id="rId772"/>
          <w:headerReference w:type="first" r:id="rId773"/>
          <w:footerReference w:type="first" r:id="rId7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75" w:history="1">
        <w:r>
          <w:rPr>
            <w:rFonts w:ascii="arial" w:eastAsia="arial" w:hAnsi="arial" w:cs="arial"/>
            <w:b/>
            <w:bCs/>
            <w:i/>
            <w:color w:val="0077CC"/>
            <w:kern w:val="32"/>
            <w:sz w:val="28"/>
            <w:szCs w:val="32"/>
            <w:u w:val="single"/>
            <w:shd w:val="clear" w:color="auto" w:fill="FFFFFF"/>
            <w:lang w:val="en-US" w:eastAsia="en-US" w:bidi="ar-SA"/>
          </w:rPr>
          <w:t>Beadle v. Nanaimo (City), [2009] B.C.J. No. 2191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S.J. Shabbits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28,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November 4,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S47963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Nanaimo</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2191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2009 BCSC 1506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65 M.P.L.R. (4th) 299</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182 A.C.W.S. (3d) 758</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776" w:history="1">
        <w:r>
          <w:rPr>
            <w:rFonts w:ascii="arial" w:eastAsia="arial" w:hAnsi="arial" w:cs="arial"/>
            <w:i/>
            <w:color w:val="0077CC"/>
            <w:sz w:val="20"/>
            <w:u w:val="single"/>
            <w:shd w:val="clear" w:color="auto" w:fill="FFFFFF"/>
            <w:lang w:val="en-US" w:eastAsia="en-US" w:bidi="ar-SA"/>
          </w:rPr>
          <w:t>2009 CarswellBC 2957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Beverly Ann Beadle, Plaintiff, and City of Nanaimo,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0" style="position:absolute;z-index:2516797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38" w:name="Keywords_20"/>
      <w:bookmarkEnd w:id="138"/>
      <w:r>
        <w:rPr>
          <w:rFonts w:ascii="arial" w:eastAsia="arial" w:hAnsi="arial" w:cs="arial"/>
          <w:b/>
          <w:color w:val="000000"/>
          <w:sz w:val="20"/>
          <w:lang w:val="en-US" w:eastAsia="en-US" w:bidi="ar-SA"/>
        </w:rPr>
        <w:t xml:space="preserve">Municipal law — Liabilities of municipality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Types — Property maintenance and operation — Sidewalks — Trip and fall — Application by the defendant city of Nanaimo for summary judgment dismissing the plaintiff Beadle's action allowed — The plaintiff's claim was for a trip and fall accident in July, 2006 — The plaintiff tripped over a 14-millimetre difference in elevation in the sidewalk — A city bylaw required inspection for differences in elevation greater than 25 millimetres — The plaintiff had failed to establish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difference in elevation was a minimal hazard.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39" w:name="Case Summary_20"/>
            <w:bookmarkEnd w:id="13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city of Nanaimo for summary judgment dismissing the plaintiff Beadle's action. The plaintiff's claim was for injuries she sustained in a trip and fall accident in July, 2006. In February, 2005 the city did infrastructure upgrading on a premises; the contractor dug a trench in the sidewalk adjacent to the building and later paved it over. The pavement settled and left a difference in elevation of approximately 14 millimetres, or half an inch. The plaintiff tripped and fell. The city had a bylaw requiring regular inspection and maintenance of sidewalks; the bylaw provided for inspection for differences in elevation greater than 25 millimetres. After the plaintiff's fall the city repaired the defect. The plaintiff sought an order pursuant to Rule 18A that the city was liable for her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0" w:name="Holdings of Court_17"/>
            <w:bookmarkEnd w:id="140"/>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had failed to establish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city. The city's bylaw and policy regarding differences in elevation in sidewalks was a bona fide policy decision relating to budget and manpower restraints. Accordingly, no liability could be attached to the city for its failure to repair the sidewalk where the difference was below the threshold set out in the bylaw. The difference in elevation was a minimal hazard and the city was not negligent in failing to repair it.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1" w:name="Legislation Cited_13"/>
      <w:bookmarkEnd w:id="14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1" style="position:absolute;z-index:2517309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City of Nanaimo Public Works Policy Re: Sidewalk Inspection and Maintenance Bylaw Number 97-02,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Occupier's Liability Act, s. 5, s. 5(1), s. 5(1)(a), s. 5(1) (b), s. 8(2)</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2" w:name="Counsel_20"/>
      <w:bookmarkEnd w:id="14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2" style="position:absolute;z-index:2517821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W.A. Scott.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J.A. Small.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43" w:name="Judgment_20"/>
      <w:bookmarkEnd w:id="143"/>
      <w:r>
        <w:pict>
          <v:line id="_x0000_s1133" style="position:absolute;z-index:25183334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February 12, 2010;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44" w:name="S.J. SHABBITS J."/>
            <w:bookmarkEnd w:id="144"/>
            <w:r>
              <w:rPr>
                <w:rFonts w:ascii="arial" w:eastAsia="arial" w:hAnsi="arial" w:cs="arial"/>
                <w:b/>
                <w:color w:val="000000"/>
                <w:sz w:val="30"/>
                <w:lang w:val="en-US" w:eastAsia="en-US" w:bidi="ar-SA"/>
              </w:rPr>
              <w:t>S.J. SHABBITS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July 6, 2006, Beverly Ann Beadle fell on a sidewalk on Prideaux Street in Nanaimo. With this proceeding Ms. Beadle seeks compensation for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City of Nanaimo applies to have her claim dismissed against it pursuant to Rule 18A, the Rule of Court relating to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Ms. Beadle asks that the court make a finding pursuant to Rule 18A that the defendant is liable for her injuries and resulting damages, subject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Both parties agree that liability in this proceeding should be determined on this application pursuant to Rule 18A of the Rules of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February 2005, the defendant had a contractor, Knappett Industries Ltd., carry out infrastructure upgrading to premises located on the westerly side of 303 Prideaux Street. Part of the project involved the installation of a fibre-optic conduit that required the digging of a trench in the concrete sidewalk. After this work was done, the contractor paved the sidewalk. That work was completed by July 19, 2005.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paved trench across the sidewalk settled after the contractor had paved it and before the plaintiff fell. The plaintiff tripped on the vertical face of a difference in elevation between the paved trench and the concrete sidewalk. The difference in elevation was about 14 millimetres or about one half of an inch. The difference in elevation is illustrated with photographs taken by the plaintiff's husband within a day or so of the fall and with other photographs taken by an employee of the defendant the day after the fall. One of the photographs taken by the plaintiff's husband shows the vertical difference in elevation was about one-half the height of a Loonie. The difference in elevation was a minor defect in the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After the plaintiff was injured the defendant replaced the paving that had been installed over the trench in the area of the sidewalk with concrete so that the sidewalk was similar to its condition before the infrastructure upgrading project began.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Beadle fell on a sunny summer day during her lunch break. She was wearing her eye glasses at the time of the fall, and her eyesight is excellent with her glasses on. She was in good health. Ms. Beadle says that she did not notice the filled trench, nor that the asphalt fill was lower in elevation than the concrete.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At the time of the incident, the defendant corporation had a formal policy on sidewalk inspection and repair. It was City of Nanaimo Public Works Policy Re: Sidewalk Inspection and Maintenance Bylaw Number 97-02. The bylaw requires the Roads Division of the Department of Public Works of the City of Nanaimo to provide an assessment of the condition of the sidewalks within the City in order to identify and repair sidewalk defects.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bylaw provides that the policy is that sidewalks be inspected on a semi-annual basis, that defects be entered into a registry, and that the inspection include checking for sections of sidewalk cracked or separated with a greater than 25 millimetre difference in elevation.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Brian Denby, Manager of the Roads and Traffic Services Department of the defendant says in his affidavit No. 1 that the defendant's policy relative to sidewalk repair is dictated by the City's budgetary and manpower constraints. He said that the sidewalks are inspected semi-annually for defects and that complaints of defects are also received from the public. He says that when a notice of defect is made, either because of the inspection or because of complaint, the matter is directed to the public works department. Repairs are carried out in accordance with the priority reading based on the severity of the defect. Mr. Denby says that if personal injury is sustained as a result of a sidewalk defect, it is scheduled for repair as quickly as possible regardless of its priority rating.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day after the plaintiff fell, her husband reported her injury to the City's Public Works Yard. The defendant inspected the sidewalk the same day and completed the repair of the defect by July 10,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defendant submits that because the difference in elevation at issue was below its threshold to repair that no liability can attach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Just v. British Columbia</w:t>
      </w:r>
      <w:r>
        <w:rPr>
          <w:rFonts w:ascii="arial" w:eastAsia="arial" w:hAnsi="arial" w:cs="arial"/>
          <w:color w:val="000000"/>
          <w:sz w:val="20"/>
          <w:lang w:val="en-US" w:eastAsia="en-US" w:bidi="ar-SA"/>
        </w:rPr>
        <w:t xml:space="preserve">, </w:t>
      </w:r>
      <w:hyperlink r:id="rId777" w:history="1">
        <w:r>
          <w:rPr>
            <w:rFonts w:ascii="arial" w:eastAsia="arial" w:hAnsi="arial" w:cs="arial"/>
            <w:i/>
            <w:color w:val="0077CC"/>
            <w:sz w:val="20"/>
            <w:u w:val="single"/>
            <w:shd w:val="clear" w:color="auto" w:fill="FFFFFF"/>
            <w:lang w:val="en-US" w:eastAsia="en-US" w:bidi="ar-SA"/>
          </w:rPr>
          <w:t>[1989] 2 S.C.R. 1228</w:t>
        </w:r>
      </w:hyperlink>
      <w:r>
        <w:rPr>
          <w:rFonts w:ascii="arial" w:eastAsia="arial" w:hAnsi="arial" w:cs="arial"/>
          <w:color w:val="000000"/>
          <w:sz w:val="20"/>
          <w:lang w:val="en-US" w:eastAsia="en-US" w:bidi="ar-SA"/>
        </w:rPr>
        <w:t>, Cory J. writes this for the majority of the court at paragraphs 28 and 29: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[28] It may be convenient at this stage to summarize what I consider to be the principles applicable and the manner of proceeding in cases of this kind. As a general rule, the traditional tort law duty of care will apply to a government agency in the same way that it will apply to an individual. In determining whether a duty of care exists the first question to be resolved is whether the parties are in a relationship of sufficient proximity to warrant the imposition of such a duty. In the case of a government agency, exemption from this imposition of duty may occur as a result of an explicit statutory exemption. Alternatively, the exemption may arise as a result of the nature of the decision made by the government agency. That is, a government agency will be exempt from the imposition of a [page 1245] duty of care in situations which arise from its pure policy decisions.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[29] In determining what constitutes such a policy decision, it should be borne in mind that such decisions are generally made by persons of a high level of authority in the agency, but may also properly be made by persons of a lower level of authority. The characterization of such a decision rests on the nature of the decision and not on the identity of the actors. As a general rule, decisions concerning budgetary allotments for departments or government agencies will be classified as policy decisions. Further, it must be recalled that a policy decision is open to challenge on the basis that it is not made in the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 of discretion. If after due consideration it is found that a duty of care is owed by the government agency and no exemption by way of statue or policy decision-making is found to exist, a traditional torts analysis ensues and the issue of standard of care required of the government agency must next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Brown v. British Columbia (Minister of Transportation and Highways)</w:t>
      </w:r>
      <w:r>
        <w:rPr>
          <w:rFonts w:ascii="arial" w:eastAsia="arial" w:hAnsi="arial" w:cs="arial"/>
          <w:color w:val="000000"/>
          <w:sz w:val="20"/>
          <w:lang w:val="en-US" w:eastAsia="en-US" w:bidi="ar-SA"/>
        </w:rPr>
        <w:t xml:space="preserve">, </w:t>
      </w:r>
      <w:hyperlink r:id="rId778" w:history="1">
        <w:r>
          <w:rPr>
            <w:rFonts w:ascii="arial" w:eastAsia="arial" w:hAnsi="arial" w:cs="arial"/>
            <w:i/>
            <w:color w:val="0077CC"/>
            <w:sz w:val="20"/>
            <w:u w:val="single"/>
            <w:shd w:val="clear" w:color="auto" w:fill="FFFFFF"/>
            <w:lang w:val="en-US" w:eastAsia="en-US" w:bidi="ar-SA"/>
          </w:rPr>
          <w:t>[1994] 1 S.C.R. 420</w:t>
        </w:r>
      </w:hyperlink>
      <w:r>
        <w:rPr>
          <w:rFonts w:ascii="arial" w:eastAsia="arial" w:hAnsi="arial" w:cs="arial"/>
          <w:color w:val="000000"/>
          <w:sz w:val="20"/>
          <w:lang w:val="en-US" w:eastAsia="en-US" w:bidi="ar-SA"/>
        </w:rPr>
        <w:t>, Cory J. says this at paragraphs 38 and 39.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[38] In distinguishing what is policy and what is operations, it may be helpful to review some of the relevant factors that should be considered in making that determination. These factors can be derived from the following decisions of this Court: </w:t>
      </w:r>
      <w:r>
        <w:rPr>
          <w:rFonts w:ascii="arial" w:eastAsia="arial" w:hAnsi="arial" w:cs="arial"/>
          <w:i/>
          <w:color w:val="000000"/>
          <w:sz w:val="20"/>
          <w:lang w:val="en-US" w:eastAsia="en-US" w:bidi="ar-SA"/>
        </w:rPr>
        <w:t>Laurentide Motels Ltd. v. Beauport (City)</w:t>
      </w:r>
      <w:r>
        <w:rPr>
          <w:rFonts w:ascii="arial" w:eastAsia="arial" w:hAnsi="arial" w:cs="arial"/>
          <w:color w:val="000000"/>
          <w:sz w:val="20"/>
          <w:lang w:val="en-US" w:eastAsia="en-US" w:bidi="ar-SA"/>
        </w:rPr>
        <w:t xml:space="preserve">, </w:t>
      </w:r>
      <w:hyperlink r:id="rId779" w:history="1">
        <w:r>
          <w:rPr>
            <w:rFonts w:ascii="arial" w:eastAsia="arial" w:hAnsi="arial" w:cs="arial"/>
            <w:i/>
            <w:color w:val="0077CC"/>
            <w:sz w:val="20"/>
            <w:u w:val="single"/>
            <w:shd w:val="clear" w:color="auto" w:fill="FFFFFF"/>
            <w:lang w:val="en-US" w:eastAsia="en-US" w:bidi="ar-SA"/>
          </w:rPr>
          <w:t>[1989] 1 S.C.R. 705</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Barratt v. District of North Vancouver</w:t>
      </w:r>
      <w:r>
        <w:rPr>
          <w:rFonts w:ascii="arial" w:eastAsia="arial" w:hAnsi="arial" w:cs="arial"/>
          <w:color w:val="000000"/>
          <w:sz w:val="20"/>
          <w:lang w:val="en-US" w:eastAsia="en-US" w:bidi="ar-SA"/>
        </w:rPr>
        <w:t xml:space="preserve">, </w:t>
      </w:r>
      <w:hyperlink r:id="rId780" w:history="1">
        <w:r>
          <w:rPr>
            <w:rFonts w:ascii="arial" w:eastAsia="arial" w:hAnsi="arial" w:cs="arial"/>
            <w:i/>
            <w:color w:val="0077CC"/>
            <w:sz w:val="20"/>
            <w:u w:val="single"/>
            <w:shd w:val="clear" w:color="auto" w:fill="FFFFFF"/>
            <w:lang w:val="en-US" w:eastAsia="en-US" w:bidi="ar-SA"/>
          </w:rPr>
          <w:t>[1980] 2 S.C.R. 418</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Just, supra</w:t>
      </w:r>
      <w:r>
        <w:rPr>
          <w:rFonts w:ascii="arial" w:eastAsia="arial" w:hAnsi="arial" w:cs="arial"/>
          <w:color w:val="000000"/>
          <w:sz w:val="20"/>
          <w:lang w:val="en-US" w:eastAsia="en-US" w:bidi="ar-SA"/>
        </w:rPr>
        <w:t>; and can be summarized as follows: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True policy decisions involve social, political and economic factors. In such decisions, the authority attempts to strike a balance between efficiency and thrift, in the context of planning and predetermining the boundaries of its undertakings and of their actual performance. True policy decisions will usually be dictated by financial, economic, social and political factors or constraints.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operational area is concerned with the practical implementation of the formulated policies, it mainly covers the performance or carrying out of a policy. Operational decisions will usually be made on the basis of administrative direction, expert or professional opinion, technical standards or general standards of reasonableness.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[39] In my view, the decision of the Department to maintain a summer schedule, with all that it entailed, was a policy decision. Whether the winter or summer schedule was to be followed involved a consideration of matters of finance and personnel. Clearly the decision required the Department to discuss and negotiate the dates for the commencement of the summer and winter schedules with its unions. This was a policy decision involving classic policy considerations of financial resources, personnel and, as well, significant negotiations with government unions. It was truly a governmental decision involving social, political and economic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 xml:space="preserve">Pamaran v. Victoria (City)&lt;/i,&gt; </w:t>
      </w:r>
      <w:hyperlink r:id="rId781" w:history="1">
        <w:r>
          <w:rPr>
            <w:rFonts w:ascii="arial" w:eastAsia="arial" w:hAnsi="arial" w:cs="arial"/>
            <w:i/>
            <w:color w:val="0077CC"/>
            <w:sz w:val="20"/>
            <w:u w:val="single"/>
            <w:shd w:val="clear" w:color="auto" w:fill="FFFFFF"/>
            <w:lang w:val="en-US" w:eastAsia="en-US" w:bidi="ar-SA"/>
          </w:rPr>
          <w:t>[1996] B.C.J. No. 912</w:t>
        </w:r>
      </w:hyperlink>
      <w:r>
        <w:rPr>
          <w:rFonts w:ascii="arial" w:eastAsia="arial" w:hAnsi="arial" w:cs="arial"/>
          <w:i/>
          <w:color w:val="000000"/>
          <w:sz w:val="20"/>
          <w:lang w:val="en-US" w:eastAsia="en-US" w:bidi="ar-SA"/>
        </w:rPr>
        <w:t>, Taylor J. dismissed an action in which the plaintiff tripped over an uneven portion of the sidewalk. The City of Victoria had a policy of repairing differences in sidewalk elevation in excess of 35 millimetres. Taylor J. said this at paragraphs 33 and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[33] The evidence here clearly shows that for the City of Victoria to repair 25 mm differences rather than 35 mm differences it would be faced with a 25% increase in costs. Likewise, in each of the budget proposals for 1991, 1992 and 1993 that went before City Council, consideration was given to the effects of reducing budget item 521 and those are set out Exhibit 2, Tab 9 as follows:</w:t>
      </w:r>
    </w:p>
    <w:p>
      <w:pPr>
        <w:spacing w:before="120" w:line="260" w:lineRule="atLeast"/>
        <w:ind w:left="1080"/>
        <w:rPr>
          <w:rFonts w:ascii="arial" w:eastAsia="arial" w:hAnsi="arial" w:cs="arial"/>
          <w:sz w:val="20"/>
          <w:lang w:val="en-US" w:eastAsia="en-US" w:bidi="ar-SA"/>
        </w:rPr>
      </w:pPr>
      <w:r>
        <w:rPr>
          <w:rFonts w:ascii="arial" w:eastAsia="arial" w:hAnsi="arial" w:cs="arial"/>
          <w:i/>
          <w:color w:val="000000"/>
          <w:sz w:val="20"/>
          <w:lang w:val="en-US" w:eastAsia="en-US" w:bidi="ar-SA"/>
        </w:rPr>
        <w:t>Consequence of eliminating this package: Risk of damage claims dangerous unsightly side-walks, driveway filletts, increased risk of flooding and are potentially hazard to cyclists, redundant driveways reduce current parking space, hazardous driveways left unrepaired increase city liability for injuries.</w:t>
      </w:r>
    </w:p>
    <w:p>
      <w:pPr>
        <w:spacing w:before="120" w:line="260" w:lineRule="atLeast"/>
        <w:ind w:left="720"/>
        <w:rPr>
          <w:rFonts w:ascii="arial" w:eastAsia="arial" w:hAnsi="arial" w:cs="arial"/>
          <w:sz w:val="20"/>
          <w:lang w:val="en-US" w:eastAsia="en-US" w:bidi="ar-SA"/>
        </w:rPr>
      </w:pPr>
      <w:r>
        <w:rPr>
          <w:rFonts w:ascii="arial" w:eastAsia="arial" w:hAnsi="arial" w:cs="arial"/>
          <w:i/>
          <w:color w:val="000000"/>
          <w:sz w:val="20"/>
          <w:lang w:val="en-US" w:eastAsia="en-US" w:bidi="ar-SA"/>
        </w:rPr>
        <w:t>[34] Nothing in the evidence before me suggests that the 35 mm policy or the budget approval of item 521 was not made in good faith by those who advised the City Council and the City Council itself. From the evidence before me, I conclude the adoption of these policies was a consequence of a bona fide attempt to balance the financial considerations against the need for repairs of the defendant's physical infrastructure.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Pamaran</w:t>
      </w:r>
      <w:r>
        <w:rPr>
          <w:rFonts w:ascii="arial" w:eastAsia="arial" w:hAnsi="arial" w:cs="arial"/>
          <w:color w:val="000000"/>
          <w:sz w:val="20"/>
          <w:lang w:val="en-US" w:eastAsia="en-US" w:bidi="ar-SA"/>
        </w:rPr>
        <w:t xml:space="preserve"> was cited with approval in </w:t>
      </w:r>
      <w:r>
        <w:rPr>
          <w:rFonts w:ascii="arial" w:eastAsia="arial" w:hAnsi="arial" w:cs="arial"/>
          <w:i/>
          <w:color w:val="000000"/>
          <w:sz w:val="20"/>
          <w:lang w:val="en-US" w:eastAsia="en-US" w:bidi="ar-SA"/>
        </w:rPr>
        <w:t>Plakholm v. Victoria (City),</w:t>
      </w:r>
      <w:r>
        <w:rPr>
          <w:rFonts w:ascii="arial" w:eastAsia="arial" w:hAnsi="arial" w:cs="arial"/>
          <w:color w:val="000000"/>
          <w:sz w:val="20"/>
          <w:lang w:val="en-US" w:eastAsia="en-US" w:bidi="ar-SA"/>
        </w:rPr>
        <w:t xml:space="preserve"> </w:t>
      </w:r>
      <w:hyperlink r:id="rId782" w:history="1">
        <w:r>
          <w:rPr>
            <w:rFonts w:ascii="arial" w:eastAsia="arial" w:hAnsi="arial" w:cs="arial"/>
            <w:i/>
            <w:color w:val="0077CC"/>
            <w:sz w:val="20"/>
            <w:u w:val="single"/>
            <w:shd w:val="clear" w:color="auto" w:fill="FFFFFF"/>
            <w:lang w:val="en-US" w:eastAsia="en-US" w:bidi="ar-SA"/>
          </w:rPr>
          <w:t>2009 BCCA 466</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Einarson v. Richmond (City)</w:t>
      </w:r>
      <w:r>
        <w:rPr>
          <w:rFonts w:ascii="arial" w:eastAsia="arial" w:hAnsi="arial" w:cs="arial"/>
          <w:color w:val="000000"/>
          <w:sz w:val="20"/>
          <w:lang w:val="en-US" w:eastAsia="en-US" w:bidi="ar-SA"/>
        </w:rPr>
        <w:t xml:space="preserve">, </w:t>
      </w:r>
      <w:hyperlink r:id="rId783" w:history="1">
        <w:r>
          <w:rPr>
            <w:rFonts w:ascii="arial" w:eastAsia="arial" w:hAnsi="arial" w:cs="arial"/>
            <w:i/>
            <w:color w:val="0077CC"/>
            <w:sz w:val="20"/>
            <w:u w:val="single"/>
            <w:shd w:val="clear" w:color="auto" w:fill="FFFFFF"/>
            <w:lang w:val="en-US" w:eastAsia="en-US" w:bidi="ar-SA"/>
          </w:rPr>
          <w:t>[1998] B.C.J. No. 2103</w:t>
        </w:r>
      </w:hyperlink>
      <w:r>
        <w:rPr>
          <w:rFonts w:ascii="arial" w:eastAsia="arial" w:hAnsi="arial" w:cs="arial"/>
          <w:color w:val="000000"/>
          <w:sz w:val="20"/>
          <w:lang w:val="en-US" w:eastAsia="en-US" w:bidi="ar-SA"/>
        </w:rPr>
        <w:t>, McEwan J.dismissed an action in which a plaintiff fell on an uneven joint between two concrete slabs in the sidewalk. The difference in elevation between the slabs was about one-half inch. The policy of the City of Richmond was to repair differences in elevation of more than three-quarters of an inch. In dismissing the action McEwan J. said this at paragraphs 10, 11, 12 and 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[10] The duty of a city respecting its sidewalks is briefly stated in </w:t>
      </w:r>
      <w:r>
        <w:rPr>
          <w:rFonts w:ascii="arial" w:eastAsia="arial" w:hAnsi="arial" w:cs="arial"/>
          <w:i/>
          <w:color w:val="000000"/>
          <w:sz w:val="20"/>
          <w:lang w:val="en-US" w:eastAsia="en-US" w:bidi="ar-SA"/>
        </w:rPr>
        <w:t>Stojadinov v. Hamilton (City)</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(1998), 41 M.P.L.R. 185</w:t>
        </w:r>
      </w:hyperlink>
      <w:r>
        <w:rPr>
          <w:rFonts w:ascii="arial" w:eastAsia="arial" w:hAnsi="arial" w:cs="arial"/>
          <w:color w:val="000000"/>
          <w:sz w:val="20"/>
          <w:lang w:val="en-US" w:eastAsia="en-US" w:bidi="ar-SA"/>
        </w:rPr>
        <w:t xml:space="preserve"> (Ont. H.C.) at p. 191, per MacFarland, J.:</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duty of the municipality is to keep the sidewalks in repair, which is to say, in such a condition that a person using ordinary care for his or her own safety can pass along it in safety. In my view it would be requiring the impossible or a municipality to require that it maintain all its sidewalks at a perfect level. As has been said in these cases over the years, it does not follow because an accident happens that a sidewalk is necessarily in a state of non-repair.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It is not necessarily unreasonable for a city to have a policy that it will not provide scheduled inspections of sidewalks, if a bona fide policy decision has been made that certain hazards fall below a threshold established for budgetary or manpower considerations. Unless it can be shown that the threshold is irresponsibly high or arbitrary, the mere fact that there are no inspections will not lead to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Oser v. Nelson (City),</w:t>
      </w:r>
      <w:r>
        <w:rPr>
          <w:rFonts w:ascii="arial" w:eastAsia="arial" w:hAnsi="arial" w:cs="arial"/>
          <w:color w:val="000000"/>
          <w:sz w:val="20"/>
          <w:lang w:val="en-US" w:eastAsia="en-US" w:bidi="ar-SA"/>
        </w:rPr>
        <w:t xml:space="preserve"> </w:t>
      </w:r>
      <w:hyperlink r:id="rId785" w:history="1">
        <w:r>
          <w:rPr>
            <w:rFonts w:ascii="arial" w:eastAsia="arial" w:hAnsi="arial" w:cs="arial"/>
            <w:i/>
            <w:color w:val="0077CC"/>
            <w:sz w:val="20"/>
            <w:u w:val="single"/>
            <w:shd w:val="clear" w:color="auto" w:fill="FFFFFF"/>
            <w:lang w:val="en-US" w:eastAsia="en-US" w:bidi="ar-SA"/>
          </w:rPr>
          <w:t>[1997] B.C.J. No. 2809</w:t>
        </w:r>
      </w:hyperlink>
      <w:r>
        <w:rPr>
          <w:rFonts w:ascii="arial" w:eastAsia="arial" w:hAnsi="arial" w:cs="arial"/>
          <w:color w:val="000000"/>
          <w:sz w:val="20"/>
          <w:lang w:val="en-US" w:eastAsia="en-US" w:bidi="ar-SA"/>
        </w:rPr>
        <w:t>, Dec. 3, 1997, No. 4375 Nelson Registry].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The issue amounts to whether the three-quarter inch threshold was reasonable. No evidence has been led to suggest that a half to three-quarter inch gap or discrepancy is so obviously hazardous that the standard adopted by the City was unreasonable. As I have said, the subtlety of the crack seemed to be part of Ms. Einarson's complaint. In </w:t>
      </w:r>
      <w:r>
        <w:rPr>
          <w:rFonts w:ascii="arial" w:eastAsia="arial" w:hAnsi="arial" w:cs="arial"/>
          <w:i/>
          <w:color w:val="000000"/>
          <w:sz w:val="20"/>
          <w:lang w:val="en-US" w:eastAsia="en-US" w:bidi="ar-SA"/>
        </w:rPr>
        <w:t>Pamaran v. Victoria (City)</w:t>
      </w:r>
      <w:r>
        <w:rPr>
          <w:rFonts w:ascii="arial" w:eastAsia="arial" w:hAnsi="arial" w:cs="arial"/>
          <w:color w:val="000000"/>
          <w:sz w:val="20"/>
          <w:lang w:val="en-US" w:eastAsia="en-US" w:bidi="ar-SA"/>
        </w:rPr>
        <w:t xml:space="preserve"> </w:t>
      </w:r>
      <w:hyperlink r:id="rId781" w:history="1">
        <w:r>
          <w:rPr>
            <w:rFonts w:ascii="arial" w:eastAsia="arial" w:hAnsi="arial" w:cs="arial"/>
            <w:i/>
            <w:color w:val="0077CC"/>
            <w:sz w:val="20"/>
            <w:u w:val="single"/>
            <w:shd w:val="clear" w:color="auto" w:fill="FFFFFF"/>
            <w:lang w:val="en-US" w:eastAsia="en-US" w:bidi="ar-SA"/>
          </w:rPr>
          <w:t>(1996), 32 M.P.L.R. (2d) 243</w:t>
        </w:r>
      </w:hyperlink>
      <w:r>
        <w:rPr>
          <w:rFonts w:ascii="arial" w:eastAsia="arial" w:hAnsi="arial" w:cs="arial"/>
          <w:color w:val="000000"/>
          <w:sz w:val="20"/>
          <w:lang w:val="en-US" w:eastAsia="en-US" w:bidi="ar-SA"/>
        </w:rPr>
        <w:t xml:space="preserve"> (B.C.S.C.), this court had occasion to consider a municipal policy involving a 35 mm or 1 and 1/4 inch threshold. The court held that the adoption of this policy was a consequence of a bona fide attempt to balance financial considerations against the need to repair the physical infrastructure of the City. In dismissing the plaintiff's action, Taylor, J. Noted at p. 249,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Such displacements of sidewalks are common and the real issue in this case is to what extent they must be tolerated as a part of urban life as a matter of policy, by which a municipality sets the parameters of their state of repair and thus excludes itself from liability to those who might injure themselves using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[13] Here, weighing the plaintiff's case and that of the defendant, I am unable to find that the plaintiff has carried the burden of demonstrating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on the part of the City. It has not been shown that the discrepancy in the sidewalk was a hazard to any person using an ordinary degree of care in the circumstances, or that the City was in a better position than the plaintiff to assess the risk. Moreover, it has not been shown that even if it were, the policy threshold set by the City was unreasonable or arbitrary such that it would not stand in the way of the plaintiff's recovery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Plakholm,</w:t>
      </w:r>
      <w:r>
        <w:rPr>
          <w:rFonts w:ascii="arial" w:eastAsia="arial" w:hAnsi="arial" w:cs="arial"/>
          <w:color w:val="000000"/>
          <w:sz w:val="20"/>
          <w:lang w:val="en-US" w:eastAsia="en-US" w:bidi="ar-SA"/>
        </w:rPr>
        <w:t xml:space="preserve"> Newbury J. says this for the Court at paragraph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 . the trial judge was required to carry out an analysis of whether the "policy" relied on by the City was indeed a policy and if so, whether it was made in a </w:t>
      </w:r>
      <w:r>
        <w:rPr>
          <w:rFonts w:ascii="arial" w:eastAsia="arial" w:hAnsi="arial" w:cs="arial"/>
          <w:i/>
          <w:color w:val="000000"/>
          <w:sz w:val="20"/>
          <w:lang w:val="en-US" w:eastAsia="en-US" w:bidi="ar-SA"/>
        </w:rPr>
        <w:t>bona fide</w:t>
      </w:r>
      <w:r>
        <w:rPr>
          <w:rFonts w:ascii="arial" w:eastAsia="arial" w:hAnsi="arial" w:cs="arial"/>
          <w:color w:val="000000"/>
          <w:sz w:val="20"/>
          <w:lang w:val="en-US" w:eastAsia="en-US" w:bidi="ar-SA"/>
        </w:rPr>
        <w:t xml:space="preserve"> exercise of the discretion of the City. If the policy met these criteria, the court would then be required to assess it in light of all the "surrounding circumstances including ... budgetary restraints and the availability of qualified personnel and equipment." (</w:t>
      </w:r>
      <w:r>
        <w:rPr>
          <w:rFonts w:ascii="arial" w:eastAsia="arial" w:hAnsi="arial" w:cs="arial"/>
          <w:i/>
          <w:color w:val="000000"/>
          <w:sz w:val="20"/>
          <w:lang w:val="en-US" w:eastAsia="en-US" w:bidi="ar-SA"/>
        </w:rPr>
        <w:t>Just, supra</w:t>
      </w:r>
      <w:r>
        <w:rPr>
          <w:rFonts w:ascii="arial" w:eastAsia="arial" w:hAnsi="arial" w:cs="arial"/>
          <w:color w:val="000000"/>
          <w:sz w:val="20"/>
          <w:lang w:val="en-US" w:eastAsia="en-US" w:bidi="ar-SA"/>
        </w:rPr>
        <w:t>, at 1245.) Only once this analysis had been done would it be appropriate to move to the question of whether in fact the City had carried out its policy in a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am satisfied that the defendant's Sidewalk Inspection and Maintenance system as set out in its Bylaw No. 97-02 was a matter of policy driven by budgetary and manpower constraints. The decision of the defendant to effect repairs of sidewalks only where there is an elevation difference of greater than 25 millimetres or following an incident resulting in personal injury is a policy decision relating to budgetary and manpower constraints.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am satisfied that the policy was adopted by the defendant in the bona fide exercise of discretion. The policy exempted the defendant from liability to the plaintiff arising from the 14 mm difference in elevation, subject only to the plaintiff's submission that the policy was not carried out in a reasonable manner.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plaintiff agrees that the defendant's policy in respect of the repair of sidewalk defects is a policy decision relating to budgetary and manpower constraints, and that the policy was adopted by the defendant in the bona fide exercise of discretion. But the plaintiff says that in the circumstances of this case the defendant did not apply its policy reasonably, and that a traditional torts analysis renders the defendant liable to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defendant had contracted with an independent contractor to install the fibre-optic conduit by trenching the portion of the sidewalk where the plaintiff fell. The contractor was contractually obligated to repair sidewalk defects for the period of one year following completion of the contract. The plaintiff submits that because the cost of the repair fell to the contractor, budgetary issues are not of relevance or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 in fact submitted that because the contractor was responsible for repair of any defects associated with its work for the one-year guarantee period, which had not expired at the time of the incident, that the defendant is exempt from liability pursuant to s. 5(1) of the </w:t>
      </w:r>
      <w:r>
        <w:rPr>
          <w:rFonts w:ascii="arial" w:eastAsia="arial" w:hAnsi="arial" w:cs="arial"/>
          <w:i/>
          <w:color w:val="000000"/>
          <w:sz w:val="20"/>
          <w:lang w:val="en-US" w:eastAsia="en-US" w:bidi="ar-SA"/>
        </w:rPr>
        <w:t>Occupier's Liability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S. 5(1)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5 (1) Despite section 3 (1), if damage is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an independent contractor engaged by the occupier, the occupier is not on that account liable under this Act if, in all the circumstances,</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occupier exercised reasonable care in the selection and supervision of the independent contractor, and</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reasonable that the work that the independent contractor was engaged to do should have been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 says that it fulfilled its duty of care by exercising reasonable care in the selection and supervision of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 am of the view that the defendant's alternative submission does not excuse it from liability for two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First, s. 8(2)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provides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apply to a municipality if the municipality is the occupier of a public highway or a public road. </w:t>
      </w:r>
      <w:r>
        <w:rPr>
          <w:rFonts w:ascii="arial" w:eastAsia="arial" w:hAnsi="arial" w:cs="arial"/>
          <w:i/>
          <w:color w:val="000000"/>
          <w:sz w:val="20"/>
          <w:lang w:val="en-US" w:eastAsia="en-US" w:bidi="ar-SA"/>
        </w:rPr>
        <w:t>Plakholm</w:t>
      </w:r>
      <w:r>
        <w:rPr>
          <w:rFonts w:ascii="arial" w:eastAsia="arial" w:hAnsi="arial" w:cs="arial"/>
          <w:color w:val="000000"/>
          <w:sz w:val="20"/>
          <w:lang w:val="en-US" w:eastAsia="en-US" w:bidi="ar-SA"/>
        </w:rPr>
        <w:t xml:space="preserve"> makes it clear that because of that enactment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apply to a claim against a municipality founded on a fall on a public sidewalk.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Second, even if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was of application, s. 5 would not relieve the defendant of liability. The plaintiff does not seek to recover damages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independent contractor. The plaintiff seeks to recover damages from the defendant because she says the defendant was negligent in its inspection and maintenance of the sidewalk. Even if the terms of its contract with its contractor allowed the defendant to recover the cost of repairs from the contractor, the defendant still had a duty to inspect its sidewalk for defects. After the contract was completed, the sidewalk was in the care and control of the defendant municipality. It was not under the care and control of the contractor.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But, I am of the opinion that the plaintiff's claim must nevertheless fail, and for two different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First, in my opinion, the defendant's policy relating to inspection and maintenance was of application. The plaintiff submits that the defendant had a duty to inspect the site of the repair more often than required by the by-law and that it had a duty to maintain contracted work to a higher and better standard of maintenance than is required by By-law 97-02. I do not accept that submission. In my opinion, the policy relating to inspection and maintenance applied to all of the defendant's sidewalks, repaired or not. The policy does not differentiate between sidewalks not repaired and sidewalks that have been repaired. The defendant could have installed the fibre-optic conduit on its own without employing a contractor. Had it done that, there is no issue but that its inspection and maintenance policy would have applied to the site of the repair. I see no reason to hold the defendant to a different standard of inspection and maintenance to sites repaired by a contractor. I see no reason to find that the independent contractor had agreed to maintain the condition of the sidewalk to a higher or better standard than the standard that the defendant would have employed had the defendant done the work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Second, even if the by-law does not apply, the plaintiff has not shown that the defendant was negligent. The plaintiff's claim rests on the premise that it was negligent of the City to allow a 14 mm vertical edge in an elevation difference on a sidewalk to remain unrepaired.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plaintiff's case is primarily based on her assertion that since she fell it must have been unreasonable or negligent for the City to have left the edge on which she tripped unrepaired.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only complaint the defendant received about this hazard was that from the plaintiff's husband on July 7, 2006.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Pamaran v. Victoria (City)</w:t>
      </w:r>
      <w:r>
        <w:rPr>
          <w:rFonts w:ascii="arial" w:eastAsia="arial" w:hAnsi="arial" w:cs="arial"/>
          <w:color w:val="000000"/>
          <w:sz w:val="20"/>
          <w:lang w:val="en-US" w:eastAsia="en-US" w:bidi="ar-SA"/>
        </w:rPr>
        <w:t xml:space="preserve"> Taylor J. dismissed an action in which the plaintiff fell on an uneven sidewalk. The sidewalk was in the City of Victoria. It had elevation differences of about 25 mm to 50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Taylor J. adopted the comments of McFarlane J. of the Ontario High Court in </w:t>
      </w:r>
      <w:r>
        <w:rPr>
          <w:rFonts w:ascii="arial" w:eastAsia="arial" w:hAnsi="arial" w:cs="arial"/>
          <w:i/>
          <w:color w:val="000000"/>
          <w:sz w:val="20"/>
          <w:lang w:val="en-US" w:eastAsia="en-US" w:bidi="ar-SA"/>
        </w:rPr>
        <w:t>Stojadinov v. Hamilton</w:t>
      </w:r>
      <w:r>
        <w:rPr>
          <w:rFonts w:ascii="arial" w:eastAsia="arial" w:hAnsi="arial" w:cs="arial"/>
          <w:color w:val="000000"/>
          <w:sz w:val="20"/>
          <w:lang w:val="en-US" w:eastAsia="en-US" w:bidi="ar-SA"/>
        </w:rPr>
        <w:t xml:space="preserve"> </w:t>
      </w:r>
      <w:hyperlink r:id="rId784" w:history="1">
        <w:r>
          <w:rPr>
            <w:rFonts w:ascii="arial" w:eastAsia="arial" w:hAnsi="arial" w:cs="arial"/>
            <w:i/>
            <w:color w:val="0077CC"/>
            <w:sz w:val="20"/>
            <w:u w:val="single"/>
            <w:shd w:val="clear" w:color="auto" w:fill="FFFFFF"/>
            <w:lang w:val="en-US" w:eastAsia="en-US" w:bidi="ar-SA"/>
          </w:rPr>
          <w:t>(1998), 41 M.P.L.R. 185</w:t>
        </w:r>
      </w:hyperlink>
      <w:r>
        <w:rPr>
          <w:rFonts w:ascii="arial" w:eastAsia="arial" w:hAnsi="arial" w:cs="arial"/>
          <w:color w:val="000000"/>
          <w:sz w:val="20"/>
          <w:lang w:val="en-US" w:eastAsia="en-US" w:bidi="ar-SA"/>
        </w:rPr>
        <w:t>, where McFarlane J. writes: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duty on the municipality is to keep the sidewalks in repair, which is to say, in such a condition that a person using ordinary care for his or her own safety can pass along it in safety. In my opinion, it would be requiring the impossible of the municipality to require that it maintain all its sidewalks in perfect level. As has been said in these cases over the years, it does not follow because an accident happens that a sidewalk is necessarily in a state of non-repair.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Einarson v. Richmond (City)</w:t>
      </w:r>
      <w:r>
        <w:rPr>
          <w:rFonts w:ascii="arial" w:eastAsia="arial" w:hAnsi="arial" w:cs="arial"/>
          <w:color w:val="000000"/>
          <w:sz w:val="20"/>
          <w:lang w:val="en-US" w:eastAsia="en-US" w:bidi="ar-SA"/>
        </w:rPr>
        <w:t>, McEwan J. says at paragraph 12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issue amounts to whether the three-quarter inch threshold was reasonable. No evidence has been led to suggest that a half to three-quarter inch gap or discrepancy is so obviously hazardous that the standard adopted by the city was unreasonable.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am of the view that the principles set out in both of those decisions are of application. A municipality cannot provide a perfectly smooth surface on its sidewalks. Such a standard would be inordinately expensive, if not impossible to achieve. Other than the plaintiff's own unfortunate experience, there is no evidence that what she tripped over was so obviously hazardous that the defendant, had it even been award of the elevation difference, was required to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find that the small difference in elevation at issue was a minimal hazard and not a defect that reasonably required repair. I am of the view that the plaintiff fell because she did not use ordinary care for her own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of the opinion that the liability in this proceeding can be determined pursuant to Rule 18A of the Rules of Court, and that the claim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 is entitled to its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S.J. SHABBITS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February 12,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 In the second sentence of paragraph 21, of my reasons for judgment released November 4, 2009, (</w:t>
      </w:r>
      <w:hyperlink r:id="rId776" w:history="1">
        <w:r>
          <w:rPr>
            <w:rFonts w:ascii="arial" w:eastAsia="arial" w:hAnsi="arial" w:cs="arial"/>
            <w:i/>
            <w:color w:val="0077CC"/>
            <w:sz w:val="20"/>
            <w:u w:val="single"/>
            <w:shd w:val="clear" w:color="auto" w:fill="FFFFFF"/>
            <w:lang w:val="en-US" w:eastAsia="en-US" w:bidi="ar-SA"/>
          </w:rPr>
          <w:t>2009 BCSC 1506</w:t>
        </w:r>
      </w:hyperlink>
      <w:r>
        <w:rPr>
          <w:rFonts w:ascii="arial" w:eastAsia="arial" w:hAnsi="arial" w:cs="arial"/>
          <w:color w:val="000000"/>
          <w:sz w:val="20"/>
          <w:lang w:val="en-US" w:eastAsia="en-US" w:bidi="ar-SA"/>
        </w:rPr>
        <w:t>), the third line beginning with the word "defendant", is corrected to read plaintiff. ... The policy exempted the defendant from liability to the plaintiff arising from the 14 mm difference in elevation,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S.J. SHABBITS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4" style="position:absolute;z-index:25187840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86"/>
          <w:headerReference w:type="default" r:id="rId787"/>
          <w:footerReference w:type="even" r:id="rId788"/>
          <w:footerReference w:type="default" r:id="rId789"/>
          <w:headerReference w:type="first" r:id="rId790"/>
          <w:footerReference w:type="first" r:id="rId79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792" w:history="1">
        <w:r>
          <w:rPr>
            <w:rFonts w:ascii="arial" w:eastAsia="arial" w:hAnsi="arial" w:cs="arial"/>
            <w:b/>
            <w:bCs/>
            <w:i/>
            <w:color w:val="0077CC"/>
            <w:kern w:val="32"/>
            <w:sz w:val="28"/>
            <w:szCs w:val="32"/>
            <w:u w:val="single"/>
            <w:shd w:val="clear" w:color="auto" w:fill="FFFFFF"/>
            <w:lang w:val="en-US" w:eastAsia="en-US" w:bidi="ar-SA"/>
          </w:rPr>
          <w:t>Berk v. Brent, [2001] B.C.J. No. 2125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Stromberg-Stein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September 28,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October 17,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B980258</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2125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1441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108 A.C.W.S. (3d) 929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Michael Berk, plaintiff, and Byron Dennis Brent, Dianne Kinrade, Ryan Michael Hutton, Garrett Street, Regional District of Central Kootenay, Her Majesty the Queen in Right of the Province of British Columbia, and Attorney General of Canada, defendants, and Dianne Kinrade, Ryan Michael Hutton, Garrett Street, Monte O. Comeau, Salmo District Golf Club and Beverly Ann Gowing, third parties, and Byron Dennis Brent, Dianne Kinrade, Regional District of Central Kootenay, Her Majesty the Queen in Right of the Province of British Columbia and Attorney General of Canada,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(30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35" style="position:absolute;z-index:251680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45" w:name="Keywords_21"/>
      <w:bookmarkEnd w:id="145"/>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Motor vehicle operators — Causation — Causal connection — Motor vehicle, equipment and lights — Lights — Motor vehicle, signals and warnings — Highway obstruction, warning of.</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46" w:name="Case Summary_21"/>
            <w:bookmarkEnd w:id="14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Street for summary judgment dismissing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Street was driving below the speed limit. Hutton pulled out to pass Street on an unlit roadway. Hutton was injured when he struck a black horse and swerved off the road. Street stopped to help, but did not put on his emergency flashers. Street did not know that the Hutton vehicle had hit a horse. One minute later Berk was thrown from his vehicle after striking the carcass of the horse on the road. Berk was rendered quadriplegic. Street, Comeau and Berk had attended a night club together and left together in separate vehicles. Berk claimed that Street knew that a horse was hit, knew that Berk was coming and failed to warn Berk. Berk claimed that Street was responsible for Hutton's collision with the horse by failing to let Hutton pass. All of the witnesses agreed that no one was intoxicated.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47" w:name="Holdings of Court_18"/>
            <w:bookmarkEnd w:id="14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 expert evidence supported Berk's inferences. No direct conflicts of significance existed in the affidavit evidence. There was no evidence that Street failed to let Hutton pass. The evidence did not show that Street failed to keep a proper lookout, apply his brakes or operate his vehicle with due care. Even if such evidence existed, it was not causally connected to Berk's accident. Street acted reasonably in the circumstances and failure to put on his flashers because he rushed to help his injured friend did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was nothing Street could have done in a timely fashion to prevent Berk's accident.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48" w:name="Legislation Cited_14"/>
      <w:bookmarkEnd w:id="14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36" style="position:absolute;z-index:2517319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49" w:name="Counsel_21"/>
      <w:bookmarkEnd w:id="14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37" style="position:absolute;z-index:2517831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 Murphy, Q.C., and E.P. Good, for the plaintiff. I.D. Aikenhead, Q.C., for the defendant and third party, G. Street. K. Prockiw, for the third party, R.M. Hutton.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0" w:name="Judgment_21"/>
      <w:bookmarkEnd w:id="150"/>
      <w:r>
        <w:pict>
          <v:line id="_x0000_s1138" style="position:absolute;z-index:25183436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1" w:name="STROMBERG-STEIN J."/>
            <w:bookmarkEnd w:id="151"/>
            <w:r>
              <w:rPr>
                <w:rFonts w:ascii="arial" w:eastAsia="arial" w:hAnsi="arial" w:cs="arial"/>
                <w:b/>
                <w:color w:val="000000"/>
                <w:sz w:val="30"/>
                <w:lang w:val="en-US" w:eastAsia="en-US" w:bidi="ar-SA"/>
              </w:rPr>
              <w:t>STROMBERG-STEIN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Robert Berk, Garrett Street, and Monte Comeau were friends who participated in men's night at the Salmo District Golf Club on July 24, 1997. Ryan Hutton, Mr. Berk's nephew, joined them while they were socializing after their golf game. Around 10:30 p.m. the four men left the parking lot within minutes of each other. Mr. Street was the first to leave, followed closely by Mr. Hutton. Mr. Berk and Mr. Comeau, travelling in separate vehicles, were moments behind.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men drove toward Salmo along Airport Road, a two lane paved rural road. A series of accidents occurred about 1.8 kilometers from the parking lot on a straight stretch of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Mr. Berk, Mr. Street, and Mr. Hutton recall that their visibility was restricted by fog. The police investigators did not recall any fog when they attended the accident scene over five minutes after the report of the first accident. Despite this discrepancy in the evidence, there is no dispute visibility was poor because the roadway was dark and unlit.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Mr. Street was driving slowly, below the posted speed limit. Mr. Hutton pulled out to pass, not exceeding the speed limit, and had passed (or was in the process of passing) when he hit a black horse and swerved off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 Street immediately pulled over to the side of the road and, leaving his lights on but not activating his flashers, ran to assist Mr. Hutton who was outside his vehicle and bleeding profusely from the head.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Street ran to two houses before successfully summoning help. As he left the second house he heard the second accident involving Mr. Berk's vehicle. Mr. Berk was thrown from his vehicle when it left the roadway after it struck (or swerved to avoid) the carcass of the horse obstructing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occupants of the Comeau vehicle saw the taillights of the Berk vehicle as it left the road. The driver, Mr. Comeau's girlfriend, attempted to avoid the dark objects seen on the road, later determined to be pieces of the horse, but struck one piece.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Street was not involved in any accident and his vehicle did not strike the horse. He did not see the black horse but noticed a number of objects flying by his car at the time the Hutton vehicle struck the horse, which he later assumed were pieces of the horse. The next day Mr. Street discovered his car was spattered with blood.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Berk has been rendered quadriplegic due to injuries from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Suitability for Rule 18A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No trial date has been scheduled. The application for summary trial has been outstanding since September 1999, when it was adjourned to complete examinations for discovery. The examinations for discovery were completed and this application for summary trial was re-served in October 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Berk advances three reasons why this matter is not appropriately determined by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First, Mr. Berk argues that as he has suffered catastrophic injury, he has the right to have his claim determined at a trial. However, the seriousness of a claim does not preclude a determination by summary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Second, Mr. Berk argues that there is a dispute about what happened the night of the accident. He submits that the physical evidence is inconsistent with what the parties say happened. Mr. Berk advances the theory that Mr. Hutton was attempting to overtake Mr. Street's vehicle and Mr. Street sped up to prevent him from passing. Mr. Berk suggests Mr. Hutton hit the horse in the oncoming lane, while Mr. Street managed to avoid hitting the horse. He argues that Mr. Street was close enough to be spattered with blood, because the Hutton vehicle was either beside or in front of the Street vehicle in the oncoming lane and then dropped back, carrying the horse and then dropping it onto the roadway. He suggests that Mr. Street had to know the Hutton vehicle struck the horse and, although he knew Mr. Berk was coming along the same roadway, he made no attempt to warn Mr. Berk.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Berk's theory is based on two assumptions: i) scuff marks on the pavement in the oncoming lane were caused by the collision with the horse which matched scuff marks on the undercarriage of the Hutton vehicle; and ii) the Hutton vehicle carried the horse to its final resting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There is no expert evidence to support the inferences Mr. Berk seeks to have the court draw from the physical evidence. These inferences are contrary to the evidence of Mr. Street, Mr. Hutton, and in the absence of supporting evidence, make little sense. The theory of Mr. Berk does not account for the horse carcass being hit and possibly moved by the Berk and Comeau vehicles. Nor does he provide any explanation for how Mr. Street could have known a horse was hit when it may have occurred behind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Finally, Mr. Berk argues that the credibility of Mr. Street is questionable and that the trier of fact needs the opportunity to hear him and see him to assess his credibility and the reliability of his evidence. The evidence of Mr. Street that he consumed three beers is inconsistent with other evidence indicating he may have consumed four beers. Whether Mr. Street had three or four beers is irrelevant as all the witnesses agree no one was intoxicated or impaired.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As well, Mr. Street marked on a diagram (not drawn to scale, and as plaintiff's counsel pointed out, admittedly distorted the scene) the location where he pulled his vehicle off to the side of the road; yet the police investigator who first attended the scene did not see the Street vehicle parked at that location. Mr. Street maintains he pulled his vehicle to the side of the road and his sister subsequently drove it from the scene while he attended the hospital with the Hutton family. Absolutely nothing turns on the fact that Mr. Street's vehicle was not seen by the police officer at the scene. No one is disputing that Mr. Street was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Berk submits there was a hostile refusal by Mr. Street to speak to the police and asks the court to conclude this is consistent with Mr. Street's responsibility for the initial collision by Mr. Hutton with the horse, and his responsibility to warn Mr. Berk. A police investigator swore an affidavit containing inadmissible hearsay evidence that he contacted Mr. Street's father in an attempt to contact Mr. Street about the accident and the father was hostile and uncooperative. There is no allegation that Mr. Street was hostile and uncooperative. Evidence that his father may have been hostile and uncooperative can in no way impact on Mr. Street's credibility as counsel suggests. Mr. Street's evidence is that he never refused to cooperate with police investigators and he had no knowledge of any attempt to contact him through his father. Mr. Street is a golf pro and is well known in this small community. His friends, injured in the accidents, knew how to contact him. No police investigator contacted him following the accident. He did, however, provide the police with a written statement.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am satisfied this matter is properly dealt with by summary trial pursuant to Rule 18A. I agree with Mr. Street's counsel that there are no direct conflicts of any significance in the affidavit evidence. Conflicts alleged by plaintiff's counsel arise largely from what may be characterized as supposition, theory, and innuendo, and not from evidence. The necessary facts can be found on the evidence to resolve the issues. It would not be unjust to give judgment without the benefit of a full trial in this case. Certainly, it would be cost effective to resolve the matter summarily as Mr. Street was not physically involved in any accident. Mr. Berk's counsel admits it will be difficult to make out a case against Mr. Street, and Mr. Street would be forced to participate in a lengthy and expensive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Particulars of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Street seeks a dismissal of the action against him or, in the alternative, portions of the claim, pursuant to Rule 18A on the basis that he is an innocent witness to the accident and he was not negligent in any 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The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alleged against Mr. Street are found in paragraph 15 of the pleadings:</w:t>
      </w:r>
      <w:r>
        <w:rPr>
          <w:rFonts w:ascii="arial" w:eastAsia="arial" w:hAnsi="arial" w:cs="arial"/>
          <w:sz w:val="20"/>
          <w:lang w:val="en-US" w:eastAsia="en-US" w:bidi="ar-SA"/>
        </w:rPr>
        <w:cr/>
      </w:r>
    </w:p>
    <w:p>
      <w:pPr>
        <w:numPr>
          <w:numId w:val="50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Collision was caused or contributed to by the Defendant Street, particulars of which are that he: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drove too fast;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ensure the motor vehicle which he drove was mechanically sound;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kept an inadequate lookout;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drove while his ability to drive was impaired;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(sic) failed to apply his brakes in time;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have his motor vehicle under proper or any control;</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operated his motor vehicle without due care and attention for other users of the roadway, having regard to all the circumstances and contrary to the provisions of the Motor Vehicle Act, s. 144 and amendments thereto;</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put on his flashers to alert following drivers of a hazard;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warn the Plaintiff, when he knew or ought to have known that the Plaintiff was at risk of colliding with the Horse;</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accelerated his vehicle and drove at an unsafe speed in order to avoid being passed by the vehicle driven by the Defendant Hutton;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failed to allow the vehicle driven by the Defendant Hutton to pass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 Arising From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Two issues arise from these pleadings in relation to Mr. Street:</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Street which caused or contributed to the Hutton collision with the horse which left the horse carcass blocking the roadway;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Was there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Street in failing to warn Mr. Berk of the presence of the horse carcass on the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Evidence Relating to Allegations of </w:t>
      </w:r>
      <w:r>
        <w:rPr>
          <w:rFonts w:ascii="arial" w:eastAsia="arial" w:hAnsi="arial" w:cs="arial"/>
          <w:b/>
          <w:i/>
          <w:color w:val="000000"/>
          <w:sz w:val="20"/>
          <w:u w:val="single"/>
          <w:lang w:val="en-US" w:eastAsia="en-US" w:bidi="ar-SA"/>
        </w:rPr>
        <w:t>Negligence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There is no evidence Mr. Street was travelling at anything other than a reasonable speed, well below the posted speed limit. There is no evidence that the speed of the Street vehicle was connected in any way to the accident. There is no evidence of a road race between the Street and Hutton vehicles. There is no evidence that Mr. Street refused to allow the Hutton vehicle to pass, or that he impeded the Hutton vehicle from passing. There is evidence the Street vehicle was mechanically sound. There is no evidence Mr. Street kept an inadequate lookout. All the evidence points to the contrary; nor could such evidence, if it existed, be causally connected to the Berk accident. There is no evidence Mr. Street drove his vehicle while impaired, and all the evidence is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no evidence Mr. Street failed to apply his brakes in time. There is no evidence Mr. Street failed to have his vehicle under proper control, and all evidence points to the contrary; nor could such evidence, if it existed, be causally connected to the Berk accident. There is no evidence Mr. Street operated his vehicle without due care and attention, and all evidence points to the contrary; nor could such evidence, if it existed, be causally connected to the Berk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With respect to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contained in paragraph 15 (a) through (h), (k) and (l), I agree with counsel for Mr. Street that there is no evidence and no basis to support these allegations. This position is supported by counsel for Mr. Hutton. I conclude Mr. Berk cannot establish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Street which caused or contributed to the Hutton collision which left the horse carcass blocking the roadway. These allegations should be struck from the statement of claim.</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Alert or Warn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The allegations contained in paragraph 15 (i) and (j) of the pleadings allege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Street for failure to alert or to warn Mr. Berk of the hazard of the horse carcass blocking the roadway by putting on his emergency flashers. Mr. Street did not know at the time that the Hutton vehicle had hit a horse; he did not know there was a horse carcass that posed a hazard by blocking the roadway. Given the poor visibility due to the fog described by Mr. Berk, in all probability, Mr. Berk, who did not see the headlights or taillights of Mr. Street's vehicle on the side of the road, would not have seen the flashers had they been illuminated.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Further, Mr. Street estimated it was 30 seconds to one minute following the Hutton collision that Mr. Street heard the Berk collision. In that time he pulled his vehicle to the side of the road. Leaving his vehicle lights illuminated, he immediately ran to tend to and then seek help for his injured, bleeding friend. I agree with Mr. Street's counsel that if there was some duty on Mr. Street to put his flashers on, (the only case either counsel has produced seems to indicate there is no such obligation: Cawson v. Quandt </w:t>
      </w:r>
      <w:hyperlink r:id="rId793" w:history="1">
        <w:r>
          <w:rPr>
            <w:rFonts w:ascii="arial" w:eastAsia="arial" w:hAnsi="arial" w:cs="arial"/>
            <w:i/>
            <w:color w:val="0077CC"/>
            <w:sz w:val="20"/>
            <w:u w:val="single"/>
            <w:shd w:val="clear" w:color="auto" w:fill="FFFFFF"/>
            <w:lang w:val="en-US" w:eastAsia="en-US" w:bidi="ar-SA"/>
          </w:rPr>
          <w:t>(2001), 88 B.C.L.R. (3d) 225</w:t>
        </w:r>
      </w:hyperlink>
      <w:r>
        <w:rPr>
          <w:rFonts w:ascii="arial" w:eastAsia="arial" w:hAnsi="arial" w:cs="arial"/>
          <w:color w:val="000000"/>
          <w:sz w:val="20"/>
          <w:lang w:val="en-US" w:eastAsia="en-US" w:bidi="ar-SA"/>
        </w:rPr>
        <w:t xml:space="preserve"> (C.A.)) failure to do so in these circumstances does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standard of care is not perfection. Mr. Street acted reasonably in the circumstances, as a Good Samaritan, tending to his injured friend rather than searching for the cause of the accident down the dark road. He cannot be faulted for failing to illuminate his flashers in his haste to tend to his friend's injuries. He cannot be faulted for failing to warn Mr. Berk about a horse carcass on the road of which he had no knowledge. Even if he should have known, Mr. Street acted reasonably in the circumstances, guided by his motivation to assist his injured friend. There was nothing Mr. Street could do in a timely fashion to avert the tragic consequences of the Berk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burden of proof is on Mr. Berk to prove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Mr. Street. I conclude Mr. Berk has failed to meet that burden. I would dismiss his action against Mr.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Street is entitled to his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STROMBERG-STEIN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39" style="position:absolute;z-index:2518794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794"/>
          <w:headerReference w:type="default" r:id="rId795"/>
          <w:footerReference w:type="even" r:id="rId796"/>
          <w:footerReference w:type="default" r:id="rId797"/>
          <w:headerReference w:type="first" r:id="rId798"/>
          <w:footerReference w:type="first" r:id="rId79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00" w:history="1">
        <w:r>
          <w:rPr>
            <w:rFonts w:ascii="arial" w:eastAsia="arial" w:hAnsi="arial" w:cs="arial"/>
            <w:b/>
            <w:bCs/>
            <w:i/>
            <w:color w:val="0077CC"/>
            <w:kern w:val="32"/>
            <w:sz w:val="28"/>
            <w:szCs w:val="32"/>
            <w:u w:val="single"/>
            <w:shd w:val="clear" w:color="auto" w:fill="FFFFFF"/>
            <w:lang w:val="en-US" w:eastAsia="en-US" w:bidi="ar-SA"/>
          </w:rPr>
          <w:t>B.M. v. British Columbia (Attorney General), [2001] B.C.J. No. 1160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Collver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19 - March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C975107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1160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419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105 A.C.W.S. (3d) 962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B.M., M.M., an infant by her Guardian ad litem, B.M., and K.M., an infant by her Guardian ad litem, B.M., plaintiffs, and The Attorney General of British Columbia, the Attorney General of Canada, and Constable C. Andrichuk,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[Quicklaw note: Supplementary reasons for judgment were released July 25, 2001. See </w:t>
      </w:r>
      <w:hyperlink r:id="rId801" w:history="1">
        <w:r>
          <w:rPr>
            <w:rFonts w:ascii="arial" w:eastAsia="arial" w:hAnsi="arial" w:cs="arial"/>
            <w:i/>
            <w:color w:val="0077CC"/>
            <w:sz w:val="18"/>
            <w:u w:val="single"/>
            <w:shd w:val="clear" w:color="auto" w:fill="FFFFFF"/>
            <w:lang w:val="en-US" w:eastAsia="en-US" w:bidi="ar-SA"/>
          </w:rPr>
          <w:t>[2001] B.C.J. No. 1524</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0" style="position:absolute;z-index:2516817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2" w:name="Keywords_22"/>
      <w:bookmarkEnd w:id="152"/>
      <w:r>
        <w:rPr>
          <w:rFonts w:ascii="arial" w:eastAsia="arial" w:hAnsi="arial" w:cs="arial"/>
          <w:b/>
          <w:color w:val="000000"/>
          <w:sz w:val="20"/>
          <w:lang w:val="en-US" w:eastAsia="en-US" w:bidi="ar-SA"/>
        </w:rPr>
        <w:t xml:space="preserve">Police — Actions against police — Conduct of investigation — Failure to protect — 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Standard of care, particular persons and relationships — Police officers — Causation — Causal connection.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53" w:name="Case Summary_22"/>
            <w:bookmarkEnd w:id="15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M. family against Andrichuk and the Attorneys General of Canada and British Columbia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March 11, 1996, B.M. went to the RCMP and complained of threatening behaviour by her estranged common-law husband, R.K. B.M. had been assaulted by R.K. on four occasions before they separated. R.K. had a criminal record for drug trafficking, manslaughter and sexual assault. After consulting with his supervisor, RCMP Constable Andrichuk informed B.M. that police intervention was not warranted. On April 29, 1996, R.K. broke into B.M.'s home, shot and killed B.M.'s best friend, wounded one of B.M.'s daughters, and killed himself. B.M. argued that Andrichuk was negligent in failing to take steps to adequately investigate the March 11th complaint.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54" w:name="Holdings of Court_19"/>
            <w:bookmarkEnd w:id="154"/>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Andrichuk was negligent in failing to adequately investigate the complaint. However, it could not be said that Andrichuk's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or materially contributed to the shootings. There was no clear connection between Andrichuk's failure to act and R.K.'s conduct. The officer's inaction did not materially increase the risk of harm to the extent that he was to bear responsibility for R.K.'s acts.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55" w:name="Legislation Cited_15"/>
      <w:bookmarkEnd w:id="15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41" style="position:absolute;z-index:2517329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Criminal Code, s. 810.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R.S.B.C. 1979, c. 367, ss. 7, 7(2), 11(1), 21(1).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Police Act, R.S.O. 1980, c. 381, s. 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Royal Canadian Mounted Police Act, R.S.C., c. R-9.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56" w:name="Counsel_22"/>
      <w:bookmarkEnd w:id="15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2" style="position:absolute;z-index:25178419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Henry C. Wood, appearing for the plaintiffs. George C. Carruthers and Edward Burnet, appearing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57" w:name="Judgment_22"/>
      <w:bookmarkEnd w:id="157"/>
      <w:r>
        <w:pict>
          <v:line id="_x0000_s1143" style="position:absolute;z-index:25183539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58" w:name="COLLVER J."/>
            <w:bookmarkEnd w:id="158"/>
            <w:r>
              <w:rPr>
                <w:rFonts w:ascii="arial" w:eastAsia="arial" w:hAnsi="arial" w:cs="arial"/>
                <w:b/>
                <w:color w:val="000000"/>
                <w:sz w:val="30"/>
                <w:lang w:val="en-US" w:eastAsia="en-US" w:bidi="ar-SA"/>
              </w:rPr>
              <w:t>COLLVER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March 11, 1996, B.M. went to the R.C.M.P. office in Prince George and complained about the threatening behaviour of her estranged common-law husband, R.K. Constable Craig Andrichuk received Ms. B.M.'s complaint, but after conferring with his supervising officer he informed Ms. B.M. that police intervention was not warranted.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April 29, 1996, R.K. broke into Ms. B.M.'s home at Cluculz Lake (between Prince George and Vanderhoof), shot and killed Ms. B.M.'s best friend, wounded one of Ms. B.M.'s daughters, then killed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B.M. alleges that Constable Andrichuk was negligent in failing to adequately investigate the March 11th complaint, and that reasonable steps were not taken to ensure the safety and security of her family. She claims damages for herself and her daughters, M.M. and K.M. The defendants are Constable Andrichuk and the Attorneys General of Canada and British Columbia.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Before I discuss the principal issues - duty of care and causation - I will review both the history of B.M.'s relationship with R.K. and the aftermath of the shootings.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B.M.'S RELATIONSHIP WITH 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1991, not long after B.M. and R.K. began living together, they purchased a modest home at Cluculz Lake. Although R.K. spent the next four years improving the home, he and Ms. B.M. separated on November 4, 1995, after R.K. assaulted Ms. B.M. for the fourth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November 4th assault was brutal. After choking Ms. B.M. into unconsciousness (the emergency ward physician at Vanderhoof Hospital noted burst blood vessels in Ms. B.M.'s eyes), R.K. struck her on her thigh and head with a walking stick, breaking the skin. Ms. B.M. fled to a neighbour's home and called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R.K. was arrested and charged with assault with a weapon and assault causing bodily harm. However, he promised Ms. B.M. that if she withdrew her complaint he would convey his interest in the Cluculz Lake property to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On November 5th, B.M. gave the police a second statement, this time claiming that she started the incident by hitting R.K. over the head with a poker. She compounded her lie by describing "the whole issue" as "bullshit", and told the police that she did not want to proceed with charges.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Although Crown counsel did not believe Ms. B.M.'s revised version of the incident, he agreed to a plea bargain, and on November 20, 1995, R.K. pleaded guilty to ordinary assault. He was sentenced to 21 days in prison and placed on probation for one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R.K.'s conditions of bail had prohibited him from contacting B.M. or attending at the Cluculz Lake property, but the probation order simply required him to keep the peace and be of good behaviour. That likely reflected what Ms. B.M. told the sentencing judge when he asked her whether she feared R.K. Falsely describing R.K. as "a real family man", she told the judge that she had no concerns about her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As mentioned, R.K. had assaulted B.M. three times before the November 4th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Early in their relationship, while R.K. was helping Ms. B.M. paint her home in Edmonton, he threw a paint can at her. That brought a brief separation.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A year or two later, during an argument at Cluculz Lake, R.K. sprayed Ms. B.M. in the face with bear repellent. On another occasion, also at Cluculz Lake he smashed her face into the floor, in her daughters' presence.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R.K. had a criminal record for drug trafficking, manslaughter, and sexual assault, and had been sent to prison four times. However, Ms. B.M. testified that before the November 20, 1995 sentencing hearing she knew only of the manslaughter conviction, for which she understood that self defence had been advanced. She further testified that R.K. threatened to commit suicide if he received a long sentence for the November 4th assault. That, it seems, was yet another reason for Ms. B.M. to revise her statement on November 5th.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Given R.K.'s criminal record and the circumstances of the assault, B.M. believed that R.K. would receive a sentence of at least four years. She claimed that she was surprised when R.K. was jailed for only 21 days, but that is obviously inconsistent with her November 5th suggestion to the police that she did not want R.K. charged.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any event, after serving his sentence R.K. moved into his parents' home in Prince George. Ms. B.M. was afraid that he might unexpectedly turn up at Cluculz Lake so she kept in touch with him regularly by phone. In that regard, I do not question her statement that she slept more soundly on those nights when she had called Prince George to confirm that R.K. was in fact at his parents'.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March 11, 1996, R.K. called Ms. B.M. and asked her to meet him in Prince George to discuss the mentioned transfer of the Cluculz Lake property. They met at a local restaurant, then drove to Fort George Park, ostensibly for more privacy. However, as they sat and talked Ms. B.M. became concerned about R.K.'s increasing agitation and jumped from R.K.'s vehicle and returned to her own. Although R.K. tried to prevent her from leaving she managed to elude him and drove away, with R.K. following.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While R.K. was chasing her through busy downtown streets and intersections, Ms. B.M. decided to circle a friend's apartment block and honk her horn to attract the friend's attention. That apparently discouraged R.K.'s pursuit, and after she spoke briefly with her friend, Ms. B.M. drove to the Prince George R.C.M.P. office and complained about R.K.'s threatening behaviour.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Rebecca Jones, a civilian R.C.M.P. employee, completed a standard occurrence report and asked Ms. B.M. to write her own statement. Ms. Jones, an impressive witness, testified that Ms. B.M.'s hands shook violently and that she seemed frightened. Of the many such complainants Ms. Jones has met, only B.M. and one other stand out in her memory as "the most upset".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Constable Craig Andrichuk was designated to deal with the complaint. He testified that Ms. B.M. seemed calm when he met her in the reception area. After showing Ms. B.M. into an interview room, Constable Andrichuk examined her written statement, questioned her briefly about her encounter with R.K., obtained a copy of R.K.'s criminal record, then took the documents to his watch commander, Staff Sergeant John Lloyd.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the basis of what he read and what Constable Andrichuk told him, Staff Sergeant Lloyd agreed with Constable Andrichuk that there were insufficient grounds to recommend a complaint under s. 810 of the Criminal Code, and Constable Andrichuk returned to the interview room to so inform Ms. B.M.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Andrichuk recommended that Ms. B.M. see a lawyer about obtaining a restraining order. He also advised her to "stay in public places in the future", advice that made no sense since B.M. and her family lived in a rural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cross-examination, Ms. B.M. dramatically commented about Constable Andrichuk's response to her complaint, stating that: "Basically, he left me to die". She did not consult a lawyer and, until the morning of April 29th, heard nothing more from 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On the morning before the shooting, Ms. B.M. and R.K. argued on the phone. R.K. objected to Ms. B.M.'s plan to build a small cabin at the back of the Cluculz Lake property for her friend, Hazel White, who was then staying with her. R.K. also disparaged Ms. B.M.'s general conduct, but did not threaten her. Ms. B.M. testified that she did not fear R.K. would come to the lake that day, and did not call the police.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However, late that night R.K. used the butt of his shotgun to smash in a sliding glass door and enter the house. Apparently believing that R.K. was after only B.M. Hazel White urged Ms. B.M. to leave, and Ms. B.M. broke and leaped from a bathroom window. After R.K. shot and killed Hazel White, he saw M.M. (then 12 years old) sitting on the stairs, and shot her in her right shoulder. After setting fire to the house, R.K. killed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M.M. was able to boost her sister K.M. up up to the same bathroom window from which their mother had escaped, and the girls fled in opposite directions. M.M. ran to the same home where B.M. had found refuge, and K.M. was later discovered huddling in another neighbour's dog house.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Officers from the Vanderhoof R.C.M.P. detachment soon arrived, as did volunteer firemen who extinguished the fire.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AFTERMATH OF THE SHOOTINGS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After the tragedy, B.M. was interviewed by Constable Flewelling of the Vanderhoof R.C.M.P. detachment, and observed: "If only I had put him [R.K.] away when I had the opportunity." Obviously, that reflected second thoughts about the statement made to Constable Flewelling on November 5, 1995 in which she resiled from her original version of the November 4th assault. In this regard, she also testified that she lied to the sentencing judge because: "All I could think of was how to keep him [R.K.] happy."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Cross-examined about her failure to end her relationship with R.K. long before November 4, 1995, B.M. claimed that her fear of R.K. was such that she "felt him coming out of every pore" in her 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After repairing and selling the Cluculz Lake home, B.M. left the Cariboo.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At present, Ms. B.M. experiences recurring nightmares about the incident and feelings of guilt about Hazel White's death and the impact of the shootings on M.M. and K.M., who are now 17 years and 11 years old. Her doctor testified that Ms. B.M. is suffering from a post traumatic stress disorder. No other medical evidence was adduced.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M.M. is struggling, and given her horrific experience it is hardly surprising that she displayed little enthusiasm when questioned about the heroism medal presented to her in Ottawa by the Governor General of Canada. Estranged from her family, M.M. is in foster care, is out of school, and seems very uncertain about her future. She will need more surgery on her shoulder when she stops growing.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K.M. has received effective counselling, and is coping much better than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Following the shootings, B.M. filed a complaint pursuant to Part VII of the Royal Canadian Mounted Police Act, R.S.C., c.R-9. She named Constable Andrichuk and several other officers she perceives to have been derelict with respect to their involvement in the tragedy and its aftermath.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Following an internal review, Superintendent R.D. Hall, in charge of the Prince George detachment, wrote to Constable Andrichuk on April 7, 1997,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"Pursuant to Force policy, I am at this time providing you with a "final report" concerning this matter.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find Ms. B.M.'s complaint that you failed to conduct an adequate investigation when she attempted to complain about being stalked, harassed and threatened by R.K. on March 11, 1996 at the Prince George Detachment, to be </w:t>
      </w:r>
      <w:r>
        <w:rPr>
          <w:rFonts w:ascii="arial" w:eastAsia="arial" w:hAnsi="arial" w:cs="arial"/>
          <w:b/>
          <w:color w:val="000000"/>
          <w:sz w:val="20"/>
          <w:lang w:val="en-US" w:eastAsia="en-US" w:bidi="ar-SA"/>
        </w:rPr>
        <w:t>SUBSTANTIATED</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 emphasis)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Superintendent Hall also wrote to B.M., stating,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investigation into this allegation reveals that Constable Andrichuk did not complete a thorough investigation on March 11, 1996 when you came to the Prince George Detachment complaining about the actions of Mr. R.K. Constable Andrichuk failed to follow up on your very brief statement which you prepared yourself and he did not pursue other aspects of your case which he could have at the time. I therefore find that the allegation against Constable Andrichuk is supported. I would also like to assure you that the necessary corrective action will be taken to prevent any similar occurrence on 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Superintendent Hall's letter concluded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do wish to offer you my condolences for the loss of your friend Ms. Hazel White and the injuries sustained by your daughter as a result of this tragic incident. Although I have found Constable Andrichuk could have been much more thorough in his investigation of March 11, 1996, it is impossible to say whether any actions by Constable Andrichuk would have altered the eventual course Mr. R.K. took on April 29, 1996. The R.C.M.P. expects its members to be professional at all times, and in this instance Constable Andrichuk fell short of those expectations. On behalf of the R.C.M.P., I apologize for his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Ms. B.M.'s other complaints about the conduct of R.C.M.P. officers were not found to be "supportable". One dealt with Ms. B.M.'s objections to the contents of an R.C.M.P. press release. Another concerned missing personal property.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Statement of Claim lists the particulars of Constable Andrichuk's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follows:</w:t>
      </w:r>
      <w:r>
        <w:rPr>
          <w:rFonts w:ascii="arial" w:eastAsia="arial" w:hAnsi="arial" w:cs="arial"/>
          <w:sz w:val="20"/>
          <w:lang w:val="en-US" w:eastAsia="en-US" w:bidi="ar-SA"/>
        </w:rPr>
        <w:cr/>
      </w:r>
    </w:p>
    <w:p>
      <w:pPr>
        <w:numPr>
          <w:numId w:val="5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adequately inform himself on R.K.'s background and upon his propensity for violence;</w:t>
      </w:r>
    </w:p>
    <w:p>
      <w:pPr>
        <w:numPr>
          <w:numId w:val="5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conduct an adequate investigation of the background circumstances and of the complaints of violence and threats against the Plaintiff B.M. on or about March 11, 1996;</w:t>
      </w:r>
    </w:p>
    <w:p>
      <w:pPr>
        <w:numPr>
          <w:numId w:val="5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respond in a timely and adequate manner, or at all, to the information provided and to the complaints of violence and threats of R.K. against the Plaintiff B.M.;</w:t>
      </w:r>
    </w:p>
    <w:p>
      <w:pPr>
        <w:numPr>
          <w:numId w:val="50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reasonable steps in all the circumstances to ensure the safety and security of the Plaintiff B.M. and members of her family after the assault or about March 11,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Before turning to counsel's submissions concerning duty of care, I wish to briefly mention the statutory context in which police duties must be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As a consequence of arrangements entered into under Part 3 of the Police Act, R.S.B.C. 1979, c. 367, every member of the R.C.M.P. is deemed to be a "provincial constable", and pursuant to s. 7(2) of the Act, members are to "perform the duties and functions respecting the preservation of peace, the prevention of crime and offences against the law and the administration of justice assigned ... to peace officers by the commissioner, under the regulations or under any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the absence of a finding of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(which has not been proven here), s. 21(1) of the Police Act exempts police officers from actions for damages arising out of the performance of their duties or the exercise of their powers. However, pursuant to s. 11(1) of the Act, the Province of British Columbia is vicariously liable if I find that Constable Andrichuk failed to meet an acceptable standard of care concerning his duty "to protect life and property": Lafleur v. Maryniuk </w:t>
      </w:r>
      <w:hyperlink r:id="rId802" w:history="1">
        <w:r>
          <w:rPr>
            <w:rFonts w:ascii="arial" w:eastAsia="arial" w:hAnsi="arial" w:cs="arial"/>
            <w:i/>
            <w:color w:val="0077CC"/>
            <w:sz w:val="20"/>
            <w:u w:val="single"/>
            <w:shd w:val="clear" w:color="auto" w:fill="FFFFFF"/>
            <w:lang w:val="en-US" w:eastAsia="en-US" w:bidi="ar-SA"/>
          </w:rPr>
          <w:t>(1990), 48 B.C.L.R. (2d) 180</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This lawsuit is defended on the basis that Constable Andrichuk's duty to preserve the peace and prevent crime is owed to the public at large and, in the absence of a special relationship, not to individual citizens. Counsel for the defendants submits that before a relationship of proximity between herself and Constable Andrichuk can be found to exist, Ms. B.M. must establish either that Constable Andrichuk agreed to protect her from R.K. or that the officer's acts or omissions put Ms. B.M. in a worse situation. The evidence, he suggests, is to the contrary, since Ms. B.M. neither consulted a lawyer about obtaining a restraining order nor distanced herself from R.K. by keeping to public places. With respect, I question whether that makes much sense.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In Lafleur, supra, the plaintiff was a motorcyclist who was warned by R.C.M.P. officers not to drive because he was intoxicated. He suffered severe injuries when his motorcycle, travelling on the wrong side of the road, collided with an oncoming truck. His action against the investigating police officers was dismissed because there was no proximity between the plaintiff and the officers imposing an affirmative duty of care on the police. Having ignored the officers' warning, the plaintiff could hardly claim to have relied upon them for protection. Furthermore, since the officers had not placed the plaintiff in a position where injury was foreseeable, they had not altered his position, increased any risk, or created any new risk. Therefore, the police were not negligent for failing to arrest the plaintiff, failing to take away his keys, or failing to assist him to get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Not long after the decision in Lafleur, the Ontario High Court of Justice (Divisional Court) considered the sufficiency of pleadings alleging that two Toronto police officers failed in the exercise of their statutory duties in a situation where the plaintiff was the fifth victim of a serial rapist: Doe v. Metropolitan Toronto (Municipality) Commissioners of Police </w:t>
      </w:r>
      <w:r>
        <w:rPr>
          <w:rFonts w:ascii="arial" w:eastAsia="arial" w:hAnsi="arial" w:cs="arial"/>
          <w:i/>
          <w:color w:val="000000"/>
          <w:sz w:val="20"/>
          <w:lang w:val="en-US" w:eastAsia="en-US" w:bidi="ar-SA"/>
        </w:rPr>
        <w:t>(1990), 74 O.R. (2d) 225</w:t>
      </w:r>
      <w:r>
        <w:rPr>
          <w:rFonts w:ascii="arial" w:eastAsia="arial" w:hAnsi="arial" w:cs="arial"/>
          <w:color w:val="000000"/>
          <w:sz w:val="20"/>
          <w:lang w:val="en-US" w:eastAsia="en-US" w:bidi="ar-SA"/>
        </w:rPr>
        <w:t>. The plaintiff alleged that police officers should have warned women in her neighbourhood of the risk of attack. The decision provides a succinct analysis of the circumstances in which the police can be found to owe a private duty of care to a member of the public. Quoting s. 57 of the Police Act, R.S.O. 1980, c. 381 (not dissimilar from the provisions of s. 7 of our Police Act), Mr. Justice Moldaver stated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section imposes certain duties upon the police. They include (1) preserving the peace; (2) preventing crimes; and (3) apprehending offenders. The police are charged with the duty of preserving law and order within our society, including the protection of the public from those who would commit or have committed crimes.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crime has been committed, society is best protected by the ultimate detection and apprehension of the offender. This holds especially true when the criminal is at large and likely to commit further offences.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most part, the police are free to go about their task of detecting and apprehending criminals without fear of being sued by individual members of society who have been victimized. The reason for this is simple. While the police owe certain duties to the public at large, they cannot be expected to owe a private law duty of care to every member of society who might be at risk.</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Foreseeability of risk alone is not sufficient to impose a private law duty of care. See Hill v. Chief Constable of West Yorkshire, [1989] 1 A.C. 53, [1988] 2 All E.R. 238 [H.L.].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establish a private law duty of care, foreseeability of risk must co-exist with a special relationship of proximity. In the leading case of Anns v. Merton (London Borough), [1978] A.C. 728 [1977] 2 All E.R. 492, Lord Wilberforce defined the requirements of this special relationship as follows at pp. 751-52 A.C.:</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First one has to ask whether, as between the alleged wrongdoer and the person who has suffered damage there is a sufficient relationship of proximity or neighbourhood such that, in the reasonable contemplation of the former, carelessness on his part may be likely to cause damage to the latter - in which case a prima facie duty of care arises.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This principle has been approved by the Supreme Court of Canada in Kamloops (City) v. Nielsen, </w:t>
      </w:r>
      <w:hyperlink r:id="rId803" w:history="1">
        <w:r>
          <w:rPr>
            <w:rFonts w:ascii="arial" w:eastAsia="arial" w:hAnsi="arial" w:cs="arial"/>
            <w:i/>
            <w:color w:val="0077CC"/>
            <w:sz w:val="20"/>
            <w:u w:val="single"/>
            <w:shd w:val="clear" w:color="auto" w:fill="FFFFFF"/>
            <w:lang w:val="en-US" w:eastAsia="en-US" w:bidi="ar-SA"/>
          </w:rPr>
          <w:t>[1984] 2 S.C.R. 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Doe, the Divisional Court held that the pleadings supported a private law duty of care by the defendants because they knew of the existence of a serial rapist and it was eminently foreseeable that he would strike again. The Court also concluded that the defendants knew that the plaintiff was part of a distinct group of potential victims, and this was sufficient to establish a private law duty of care. Finding that the pleadings supported allegations of a breach of duty of care, the Court concluded that the plaintiff was entitled to continue her action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Doe case proceeded to trial and, on July 3, 1998, Madam Justice MacFarland concluded that the defendant police officers had failed in their duty to protect the plaintiff by failing to warn her so that she might have had the opportunity to take steps to protect herself. The plaintiff was awarded substantial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present case, in considering the prospect of imposing liability for R.C.M.P. operational functions, two factors seem significant: Constable Andrichuk was well aware of current policies concerning investigation of relationship violence; and, the Internal Affairs Unit appointed to look into B.M.'s complaint determined that Constable Andrichuk's handling of the complaint failed to meet investigative standards.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Turning to the first factor, both the Attorney General's 1993 policy directive on "Violence Against Women and Children" and the "proactive arrest and charge" changes included in the 1995 revisions of the R.C.M.P. operational manual were filed during the trial. Although Constable Andrichuk testified about his understanding of the importance of the policy changes, he overlooked the fundamental issue raised by B.M.'s complaint - her continuing fear of R.K. Ms. B.M. told Constable Andrichuk that she felt threatened by R.K.'s behaviour on March 11, 1996, but the officer's determination of the appropriate course to follow seems to have been based solely upon the absence of an explicit or overt threat.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Turning to the second factor, in advising Constable Andrichuk of the results of the internal investigation, Superintendent Hall stated: "Based on what I have before me, there really was no investigation completed." He listed the following concerns: (1) the failure to consider the importance of Ms. Jones' reference in the occurrence report to R.K.'s earlier attempt to kill B.M.; (2) the perfunctory questioning of B.M., given Ms. Jones' observations of Ms. B.M.'s upset state, mention of the earlier threat, and the brevity of her written statement; and (3) the officer's failure to contact the two named witnesses or, for that matter, R.K.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 was told that Superintendent Hall's report constitutes "operational guidance", connoting correction, not discipline. However, Constable Andrichuk does not admit that his handling of Ms. B.M.'s complaint of March 11, 1996 warrants any guidance.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conclude that the investigation that Superintendent Hall criticized as being incomplete failed because it was never properly commenced. I say this for three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First, Constable Andrichuk's observations of B.M.'s demeanour deserve little if any weight. He knew that day that Ms. B.M. was there because she felt threatened. He knew that day that R.K. had been "flagged" in the police information system as a violent person. He also knew that day that R.K. was on probation for assaulting Ms. B.M. three months earlier. However, what he did not seem to appreciate that day was that his principal duty was to assess B.M.'s subjective feelings of fear.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Second, anyone aware of the troubled M.-K. background could and should have known that R.K.'s conduct on March 11th would cause Ms. B.M. to fear him. Constable Andrichuk's duty was to question Ms. B.M. thoroughly about her history with R.K. before consulting with Staff Sergeant Lloyd and purporting to make an informed decision about the appropriate action to take. That aside, the consultation simply proceeded on the wrong premise.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Third, with reference to s. 810 of the Criminal Code, B.M.'s arrival at the Prince George police office clearly alerted Rebecca Jones to B.M.'s fear of R.K. and, Constable Andrichuk's apparent concern about problems of proof inherent in alleging breach of probation was misplaced. The provisions of s. 810 of the Criminal Code allow for the appearance of the parties so that a judge can decide whether one has "reasonable grounds" for fearing the other. If what Ms. B.M. said in her written statement left any doubt about whether s. 810 should have been invoked, Constable Andrichuk owed her a greater duty than was demonstrated. A careful investigation was warranted but was not undertaken.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Did Constable Andrichuk's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 to the harm caused by 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Counsel for the defendants contends that there is no connection between Constable Andrichuk's dealings with B.M. at Prince George on March 11, 1996 and the tragic events at Cluculz Lake seven weeks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plaintiffs' counsel submits that the failure to conduct a proper investigation on March 11 cannot be summarily brushed aside, and his assertion is that Constable Andrichuk failed to take steps which would likely have contributed materially to a reduction of the risk of the harm that occurred on April 29,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Counsel for the plaintiffs relies on the principle expressed in Athey v. Leonati,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that causation may be established when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to the occurrence of the harm. B.M. need not prove that Constable Andrichuk's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the April 29th tragedy. So long as he is part of the cause of the tragedy he can be found liable, even though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alone was not enough to have caused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The decision in Athey v. Leonati is an extension of what the Court said earlier in Snell v. Farrell, </w:t>
      </w:r>
      <w:hyperlink r:id="rId80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Causation is established where the plaintiff proves to the civil standard on a balance of probabilities that the defendant caused or contributed to the injury. In Athey, Mr. Justice Major emphasized that the causation test must not be applied too rigidly, but is essentially a practical question of fact which can best be answered by ordinary common sense. He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most events are the result of a complex set of causes there will frequently be non-tortious causes contributing to the injury. Defendants could frequently and easily identify non-tortious contributing causes, so plaintiffs would rarely receive full compensation even after proving that the defendant caused the injury. This would be contrary to established principles and the essential purpose of tort law, which is to restore the plaintiff to a position he or she would have enjoyed but for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In the circumstances I have reviewed, can it be said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Constable Andrichuk caused or materially contributed to the Cluculz Lake shootings? I think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R.K.'s capacity for brutish behaviour was a matter of record, and B.M.'s brief description of what preceded the four assaults suffered at his hands suggest that his violent outbursts were simply unpredictable. For that reason, nothing is to be gained by speculating about whether confronting R.K. concerning his behaviour on March 11th would have either dissuaded him from later violence or precipitated its earlier expression. In my view, a more important exercise in addressing the vexing issue of causation is to determine whether, by his March 11, 1996 nonfeasance, the officer materially contributed to the later tragedy.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R.K. had been on probation for four months when he phoned B.M. on March 11, 1996. During that time there had been discussions about the contemplated property transfer, but even after the unusual meeting at Fort George Park on March 11th no indication that R.K. was bent on harm. For reasons that B.M. could not explain, her plan to build a small home at the rear of her property for her friend, Hazel White, prompted the angry telephone conversation on the morning before the shootings. Although I suppose a tenuous connection can be made between R.K.'s desire to discuss the status of the Cluculz's Lake title on March 11, 1996 and his later upset about Hazel White's proposed residence on the property, the absence of any communication between Ms. B.M. and R.K. in the intervening seven weeks suggests that the brief encounter on March 11th was of little if any significance with respect to what happened on April 29th.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Although I do not accept the defence contention that Constable Andrichuk fulfilled his duty to B.M. on March 11, 1996, I cannot disagree with counsel's observation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can be no absolute immunity from risk or danger in this world, and no one can be expected to provide such immunity."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Put another way, having regard to Ms. B.M.'s claim that Constable Andrichuk failed to ensure the plaintiffs' safety and security, it can reasonably be suggested that the police are guardians, not guarantors, of public wellbeing.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There was no clear connection between Constable Andrichuk's failure to act on March 11, 1996 and R.K.'s fateful trip to Cluculz Lake seven weeks later. The officer's inaction did not materially increase the risk of harm to the extent that he must bear responsibility for R.K.'s acts. Accordingly,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COLLVER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4" style="position:absolute;z-index:25188044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05"/>
          <w:headerReference w:type="default" r:id="rId806"/>
          <w:footerReference w:type="even" r:id="rId807"/>
          <w:footerReference w:type="default" r:id="rId808"/>
          <w:headerReference w:type="first" r:id="rId809"/>
          <w:footerReference w:type="first" r:id="rId81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11" w:history="1">
        <w:r>
          <w:rPr>
            <w:rFonts w:ascii="arial" w:eastAsia="arial" w:hAnsi="arial" w:cs="arial"/>
            <w:b/>
            <w:bCs/>
            <w:i/>
            <w:color w:val="0077CC"/>
            <w:kern w:val="32"/>
            <w:sz w:val="28"/>
            <w:szCs w:val="32"/>
            <w:u w:val="single"/>
            <w:shd w:val="clear" w:color="auto" w:fill="FFFFFF"/>
            <w:lang w:val="en-US" w:eastAsia="en-US" w:bidi="ar-SA"/>
          </w:rPr>
          <w:t>Bolton v. Vancouver (City), [2003] B.C.J. No. 798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Henderson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4, 5, 8, 11 - 15, 18 - 22, 25 - 28,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June 17 - 21, 24, 26 28, July 2, 3, 8, 9, 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August 28 - 30, October 28, 29,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S048969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798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541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M.P.L.R. (3d) 250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M.V.R. (4th) 51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121 A.C.W.S. (3d) 1143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541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Donna Lynn Bolton, plaintiff, and City of Vancouver, Her Majesty the Queen in Right of the Province of British Columbia, Ministry of Transportation and Highways, British Leyland Motors, Ford Motor Company of Canada, BMW Canada Inc., BMW of North America Incorporated, Bayerische Motoren Werke AG, BMW AG, ABC Company, Insurance Corporation of British Columbia and John Doe,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(96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45" style="position:absolute;z-index:251682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59" w:name="Keywords_23"/>
      <w:bookmarkEnd w:id="159"/>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Municipal law - - Actions against municipalities.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60" w:name="Case Summary_23"/>
            <w:bookmarkEnd w:id="16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Bolton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Bolton was injured when her car crossed the median curb of a bridge and collided head-on with another vehicle. The original design for the bridge by outside consultants included a high median barrier. The City specifically requested that the design be changed to a low median barrier. Bolton claimed that the City was negligent in the manner in which it designed and constructed the bridge in that the design standards of the day called for a high median barrier. The accident took place approximately 10 years after the bridge was built. Alternatively, Bolton argued that the City was negligent in failing to upgrade the bridge as safety standards improved. There was no evidence that the high barrier was mandated by industry standards for the type of bridge in question. The evidence suggested that it was a question left to the judgment of the individual designer. Although there were some changes to the industry standards over the years, none had changed in such way as to mandate the placement of a high barrier.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61" w:name="Holdings of Court_20"/>
            <w:bookmarkEnd w:id="161"/>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Bolton had failed to establish that the omission of a high barrier posed an unreasonable risk and was therefore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omission of the high barrier was not unreasonable and was a decision that a competent engineer, acting reasonably, could have made. The weight of the evidence did not demonstrate that the public was exposed to an unreasonable risk on the bridge at any date prior to Bolton's accident. The industry standards did not establish that the bridge should have been fitted retroactively with a high barrier. On the balance probabilities the City had met the standard of care expected of it at all times.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62" w:name="Counsel_23"/>
      <w:bookmarkEnd w:id="16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46" style="position:absolute;z-index:2517340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Howard Rubin and Martin C. Spieker, for the plaintiff. Karen F.W. Liang and Bruce T. Quayle,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63" w:name="Judgment_23"/>
      <w:bookmarkEnd w:id="163"/>
      <w:r>
        <w:pict>
          <v:line id="_x0000_s1147" style="position:absolute;z-index:2517852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64" w:name="HENDERSON J."/>
            <w:bookmarkEnd w:id="164"/>
            <w:r>
              <w:rPr>
                <w:rFonts w:ascii="arial" w:eastAsia="arial" w:hAnsi="arial" w:cs="arial"/>
                <w:b/>
                <w:color w:val="000000"/>
                <w:sz w:val="30"/>
                <w:lang w:val="en-US" w:eastAsia="en-US" w:bidi="ar-SA"/>
              </w:rPr>
              <w:t>HENDERSON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the evening of September 20, 1996, Donna Lynn Bolton was driving her Triumph sports car south across the Cambie Street Bridge in Vancouver. The pavement was wet. She testified that another car suddenly struck the rear of her vehicle, causing her to lose control. Her car crossed the median curb and had a head-on collision with a vehicle in the northbound lane. Ms. Bolton's passenger, Doris Roski, was killed in the collision. Ms. Bolton was thrown from her car but survived. She suffered a mild traumatic brain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Bolton's claim against the defendant, City of Vancouver, is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She says that the City was negligent in the manner in which it designed and constructed the bridge; alternatively, she argues that the City's failure to upgrade the bridge as safety standards improved was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There were a number of other issues, but I find that my decision on the question of whether the City breached the appropriate standard of care is dispositive of the case. The action against all defendants other than the City has already been disposed of.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DESIGN, CONSTRUCTION AND MAINTENANCE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Cambie Street Bridge was designed, financed, and constructed by the City in the period 1981 to 1985. The final design included a median in the form of a 9.25 inch high mountable curb separating northbound and southbound traffic. Ms. Bolton says that appropriate design standards of the day called for a taller, more substantial median barrier in the form of a "New Jersey barrier". Such a barrier, which is 32 about inches high, would have prevented her car from crossing into the oncoming lane, with the probable result that her injuries would have been substantially less serious.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After a tendering process, the City retained the engineering firm of N.D. Lea to design the bridge. The City maintained a staff of experienced professional engineers who instructed N.D. Lea and approved the final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preliminary, "conceptual" design for the new bridge produced by N.D. Lea included a New Jersey style median barrier. On May 4, 1983, Eric West, the City engineer in charge of the project, directed N.D. Lea to replace the New Jersey style barrier with the 9.25 inch mountable curb barrier. Upon reflection, N.D. Lea concluded that the design standards of the day did not require a New Jersey style barrier; the firm acquiesced in its client's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evidence satisfies me that, had the City engineering staff and N.D. Lea been left to design the bridge as they preferred at the outset, a New Jersey style barrier would have been placed down the median. There were, however, other considerations. The bridge was a major project which was intended to serve as a City landmark. It was to be erected near the site of the much anticipated 1986 World Exposition. City Council and the City Planning Department became involved in the design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the 1970s, there was a lengthy and impassioned political debate in Vancouver about urban freeways. By 1981, City Council was determined not to build urban freeways in Vancouver for aesthetic reasons. The appearance of such structures was considered to be undesirable. The Georgia Viaduct was often pointed to as an example of a design that should not be repeated.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 major objection to freeway style structures was the use of relatively tall, aesthetically unpleasing concrete barriers to separate lanes of traffic and traffic from pedestrians. The New Jersey style barrier was considered aesthetically undesirable on a central landmark like the proposed Cambie Street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Until the bridge project, such structures had been designed solely by the City Engineering Department and its outside consultants. This project was different. City Council instructed the City Planning Department to work in a cooperative fashion with the City Engineering Department. The planners were expected to assist by producing a design which would be pleasing to the eye and an adornment to the centre of the City. A citizen's advisory group was formed to provide advice on this aspect. Thus, for the first time, the City Engineering Department found itself obliged to consider more than just the structural integrity and safety of its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This shotgun marriage of the engineers and the planners produced considerable debate and some tension. The planners objected to the design produced by N.D. Lea, calling it monotonous and boring. One of many objections was to the presence of New Jersey style barriers. It had been proposed that such barriers be placed not only down the median but at the side of the traffic lanes to separate vehicles from pedestrians and bicyclists. The engineers were pressed to remove these barriers. They considered that they were obliged to do so if the currently prevailing safety standards did not require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some debate, the engineers determined that the New Jersey style barriers separating the sidewalks from the traffic lanes could be modified but not removed. The height of the concrete barrier was cut down and the top portion replaced with a metal railing. This was deemed more pleasing to the eye; it permitted both motorists and pedestrians to see through the top part of the barrier to some extent.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There was no real debate about the New Jersey style median barrier. It was clear to all concerned in the engineering department that it must be omitted from the final design for aesthetic reasons if that were possible. The City engineers concluded that it was. N.D. Lea was instructed by Mr. Eric West of the City Engineering Department to remove it. They accepted the decision without objection.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issue is whether, in giving this direction to omit the New Jersey style median barrier, the City and its engineers breached the standard of care and compromised unreasonably the safety of those using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There is also a significant issue as to whether the City owed a duty of care. If the decision was a policy decision, rather than an operational one, made in pursuit of a clearly enunciated policy of designing for aesthetic values, the City would owe no duty of care unless the decision was not bona fide or was so irrational that it could not constitute a proper exercise of discretion: Just v. British Columbia, </w:t>
      </w:r>
      <w:hyperlink r:id="rId812" w:history="1">
        <w:r>
          <w:rPr>
            <w:rFonts w:ascii="arial" w:eastAsia="arial" w:hAnsi="arial" w:cs="arial"/>
            <w:i/>
            <w:color w:val="0077CC"/>
            <w:sz w:val="20"/>
            <w:u w:val="single"/>
            <w:shd w:val="clear" w:color="auto" w:fill="FFFFFF"/>
            <w:lang w:val="en-US" w:eastAsia="en-US" w:bidi="ar-SA"/>
          </w:rPr>
          <w:t>[1989] S.C.J. No. 121</w:t>
        </w:r>
      </w:hyperlink>
      <w:r>
        <w:rPr>
          <w:rFonts w:ascii="arial" w:eastAsia="arial" w:hAnsi="arial" w:cs="arial"/>
          <w:color w:val="000000"/>
          <w:sz w:val="20"/>
          <w:lang w:val="en-US" w:eastAsia="en-US" w:bidi="ar-SA"/>
        </w:rPr>
        <w:t xml:space="preserve">; Swinamer v. Nova Scotia, </w:t>
      </w:r>
      <w:hyperlink r:id="rId813" w:history="1">
        <w:r>
          <w:rPr>
            <w:rFonts w:ascii="arial" w:eastAsia="arial" w:hAnsi="arial" w:cs="arial"/>
            <w:i/>
            <w:color w:val="0077CC"/>
            <w:sz w:val="20"/>
            <w:u w:val="single"/>
            <w:shd w:val="clear" w:color="auto" w:fill="FFFFFF"/>
            <w:lang w:val="en-US" w:eastAsia="en-US" w:bidi="ar-SA"/>
          </w:rPr>
          <w:t>[1994] S.C.J. No 21</w:t>
        </w:r>
      </w:hyperlink>
      <w:r>
        <w:rPr>
          <w:rFonts w:ascii="arial" w:eastAsia="arial" w:hAnsi="arial" w:cs="arial"/>
          <w:color w:val="000000"/>
          <w:sz w:val="20"/>
          <w:lang w:val="en-US" w:eastAsia="en-US" w:bidi="ar-SA"/>
        </w:rPr>
        <w:t xml:space="preserve">; Brown v. British Columbia, </w:t>
      </w:r>
      <w:hyperlink r:id="rId814" w:history="1">
        <w:r>
          <w:rPr>
            <w:rFonts w:ascii="arial" w:eastAsia="arial" w:hAnsi="arial" w:cs="arial"/>
            <w:i/>
            <w:color w:val="0077CC"/>
            <w:sz w:val="20"/>
            <w:u w:val="single"/>
            <w:shd w:val="clear" w:color="auto" w:fill="FFFFFF"/>
            <w:lang w:val="en-US" w:eastAsia="en-US" w:bidi="ar-SA"/>
          </w:rPr>
          <w:t>[1994] S.C.J. No. 20</w:t>
        </w:r>
      </w:hyperlink>
      <w:r>
        <w:rPr>
          <w:rFonts w:ascii="arial" w:eastAsia="arial" w:hAnsi="arial" w:cs="arial"/>
          <w:color w:val="000000"/>
          <w:sz w:val="20"/>
          <w:lang w:val="en-US" w:eastAsia="en-US" w:bidi="ar-SA"/>
        </w:rPr>
        <w:t>. Because of the decision to which I have come concerning the alleged breach of the standard of care, I need not decide whether the decision was of a policy or operational nature.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Cambie Street Bridge was completed in 1985. As the years passed, design safety standards evolved. Ms. Bolton says that, by the date of her accident in 1996, they evolved to the extent that it was a breach of the City's duty of care in maintaining the bridge for it to have failed to replace the mountable curb barrier with a New Jersey style barrier. She argues that, at least by 1995, at which time the Granville Street Bridge was upgraded, a New Jersey style barrier should have been placed on the Cambie Street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An upgrade of this sort to the bridge would have cost from $100,000 to $350,000 (the evidence is unclear). Again, this issue raises a significant question about the presence of a duty of care, which depends upon whether the "decision" (it was really a failure to address the question) not to upgrade the Cambie Street Bridge was of a policy or operational nature. On this branch of the claim, also, I find I need not address that distinction because of the decision to which I have come concerning the 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While a municipal corporation is not an insurer of motorists using its streets, it does have a duty to use reasonable care to maintain those streets in a reasonably safe condition for motorists exercising ordinary care for their own safety: Fafard v. City of Quebec (1917), 39 D.L.R. 717 (S.C.C.); Just v. British Columbia, supra; Swinemar v. Nova Scotia, supra; Brown v. British Columbia, supra; Housen v. Nikolaisen, </w:t>
      </w:r>
      <w:hyperlink r:id="rId815" w:history="1">
        <w:r>
          <w:rPr>
            <w:rFonts w:ascii="arial" w:eastAsia="arial" w:hAnsi="arial" w:cs="arial"/>
            <w:i/>
            <w:color w:val="0077CC"/>
            <w:sz w:val="20"/>
            <w:u w:val="single"/>
            <w:shd w:val="clear" w:color="auto" w:fill="FFFFFF"/>
            <w:lang w:val="en-US" w:eastAsia="en-US" w:bidi="ar-SA"/>
          </w:rPr>
          <w:t>[2002] S.C.J. No. 31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This obligation, while well established in the caselaw, is usually expressed as applying to a governmental authority's duty to maintain a roadway but the principle is not confined in its scope to either roadways or questions of maintenance. In Botting v. British Columbia </w:t>
      </w:r>
      <w:hyperlink r:id="rId816" w:history="1">
        <w:r>
          <w:rPr>
            <w:rFonts w:ascii="arial" w:eastAsia="arial" w:hAnsi="arial" w:cs="arial"/>
            <w:i/>
            <w:color w:val="0077CC"/>
            <w:sz w:val="20"/>
            <w:u w:val="single"/>
            <w:shd w:val="clear" w:color="auto" w:fill="FFFFFF"/>
            <w:lang w:val="en-US" w:eastAsia="en-US" w:bidi="ar-SA"/>
          </w:rPr>
          <w:t>(1996), 33 C.C.L.T. (2d) 294</w:t>
        </w:r>
      </w:hyperlink>
      <w:r>
        <w:rPr>
          <w:rFonts w:ascii="arial" w:eastAsia="arial" w:hAnsi="arial" w:cs="arial"/>
          <w:color w:val="000000"/>
          <w:sz w:val="20"/>
          <w:lang w:val="en-US" w:eastAsia="en-US" w:bidi="ar-SA"/>
        </w:rPr>
        <w:t xml:space="preserve"> (B.C.S.C.), Shaw, J. applied the same duty to take reasonable care to the design and construction of a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question, then, is whether the City breached the standard of care by failing to design (or instruct its outside consultants to design) a bridge which was in a reasonably safe condition for ordinary travel by motorists exercising the usual care for their own safety. I must also examine the question whether, in the period from 1994 to 1996, the City breached the standard of care by failing to use reasonable care with respect to the maintenance and upgrading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Because the decision to build a barrier curb rather than install a New Jersey style barrier was a technical decision made by professionals, the standard of care is akin to that applied in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If, in instructing N.D. Lea to remove the New Jersey barriers from the design, Mr. West acted in a way that no competent professional traffic engineer in this community, acting reasonably, would have done, then that is strong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"Failure to adopt the general practice is often the strongest possible indication of want of care": Fleming, J.G., The Law of Torts (9th Ed.), p. 133. "Conformity with general practice, on the other hand, usually dispels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Fleming, ibid.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is important to note, though, that adherence to common practice is not conclusive either way. Fleming (at p. 133) continues: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the same, even a common practice may itself be condemned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fraught with obvious risks. 'If it is unreasonable to do absolutely nothing to one's driveway in the face of clearly treacherous conditions, it matters little that one's neighbours also act unreasonably.' In the last analysis the standard of reasonable care is measured by what ought ordinarily to be done rather than what is ordinarily done...Accordingly, proper regard for the safety of others may require the adoption of some device only recently discovered, mindful however of the truism that while an omission to adopt a safety device is not necessarily answered by the argument that such an accident had not happened before, yet nothing is so easy as to be wise after the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(Also see: Klar, Tort Law, (2d Ed.) 1997, pp. 265 ff; Fridman, The Law of Torts in Canada, 1989, pp. 300 ff; and Roberge v. Bolduc, </w:t>
      </w:r>
      <w:r>
        <w:rPr>
          <w:rFonts w:ascii="arial" w:eastAsia="arial" w:hAnsi="arial" w:cs="arial"/>
          <w:i/>
          <w:color w:val="000000"/>
          <w:sz w:val="20"/>
          <w:lang w:val="en-US" w:eastAsia="en-US" w:bidi="ar-SA"/>
        </w:rPr>
        <w:t>[1991] 1 S.C.R. 374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Bridges and highways are designed and constructed in accordance with well recognized, established engineering standards (referred to in engineering jargon as "warrants"). The warrants for bridge design have not been legislated; they are not mandatory. All of the experts accepted them implicitly as of great persuasive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On this question of professionally recognized standards, Fleming noted: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Safety standards are increasingly formulated by expert professional administrative bodies. They may be directed to such common activities as motoring (highway code) or to highly specialized matters like the location of high voltage cables or the design of machinery and equipment. If issued under legislative authority and purporting to be mandatory, such standards are, of course, binding and non-compliance, as we shall see, may be treated as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per se. But even if of lesser authority (for example, issued by professional bodies), they have an important role in the determination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they are usually highly persuasive evidence of expert opinion as to minimum safety requirements. Thus, non-compliance is at least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not compelling perhaps, but calling for a convincing explanation the more the standard in question is adhered to by everyone else. In this manner, expert opinion and common practice combine in formulating the legal standard of requisite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Engineering warrants changed somewhat after the Cambie Street Bridge was built and before the date of the accident. Ms. Bolton says that the removal of the New Jersey style barrier from the original design was contrary to the commonly held engineering wisdom of the time, as exemplified by the warrants, and, in any event, contravenes the more modern warrants in effect by 1996.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CLASSIFICATION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expert witnesses called by both sides were highly competent professional engineers specializing in transportation and roadway design. They all gave credible, thoughtful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John Lisman, Ms. Bolton's expert, said it would have been "reasonable and prudent" to install a New Jersey style barrier when the bridge was built. In his view, the warrants of that time called for it. Alternatively, he argued that, when the Granville Street Bridge was upgraded in 1995 (an event which will be discussed below), the City ought to have installed the same upgrade (i.e. a New Jersey style median barrier) on the Cambie Street Bridge. The warrants in effect in 1995, by then in different form, required that.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John Morrall and Bryan Petzold, the City's experts, disagreed. They asserted that there have been no warrants, at any relevant time, calling for the installation of such a median barrier and the bridge did not require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Design decisions dictated by the warrants depend upon the classification of the roadway. The first step is to determine if a particular stretch of road (or a bridge) is classified as an "urban arterial roadway" or an "urban freeway". (There are other classifications, not material here.) All of the experts agreed that this first step - classification - is critical. Most, if not all, subsequent design decisions depend upon it. The warrants descend into considerable detail when discussing the appropriate classification.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experts agreed that a road classed as an "urban freeway" should have had, both in the early 1980s and the mid-1990s, a New Jersey style median barrier separating northbound and southbound traffic. Messrs. Morrall and Petzold said that the Cambie Street Bridge was not a freeway but an urban arterial roadway which does not need (and, indeed, should not have) a New Jersey style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Mr. Lisman argued that the proper classification of the bridge is as an urban freeway and, thus, it must have a New Jersey style median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Much of the evidence and argument was therefore focussed upon the narrow question of the correct classification of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Lisman also said that, even if the bridge could be viewed as an urban arterial roadway, a sound exercise of engineering judgement would have required the placement of a New Jersey style barrier in any event. He viewed the warrants as permitting and encouraging a greater degree of flexibility than Messrs. Petzold and Morrall would have accorded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Both Canadian and American warrants were introduced in evidence. Each was drafted by a distinguished panel of professional engineers and was intended to represent the collected wisdom of the profession. They do not have the force of law, but are considered so highly persuasive that an intentional departure from the warrants by a competent professional would be viewed as unusual.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warrants are not, however, free of ambiguity. The Canadian warrants, Geometric Design Standards for Canadian Roads and Streets (1976),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any classification system the division between classes must be arbitrary and, consequently, there are bound to be differences of opinion as to the best definition of each class.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Canadian warrants in effect at the time of the design and construction of the bridge (Geometric Design Standards for Canadian Roads and Streets (1976)) identify these factors as determinative of the design classification of a roadway:</w:t>
      </w:r>
      <w:r>
        <w:rPr>
          <w:rFonts w:ascii="arial" w:eastAsia="arial" w:hAnsi="arial" w:cs="arial"/>
          <w:sz w:val="20"/>
          <w:lang w:val="en-US" w:eastAsia="en-US" w:bidi="ar-SA"/>
        </w:rPr>
        <w:cr/>
      </w:r>
    </w:p>
    <w:p>
      <w:pPr>
        <w:numPr>
          <w:numId w:val="5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design speed, i.e., the maximum safe speed (under favourable conditions) for which the road is designed;</w:t>
      </w:r>
    </w:p>
    <w:p>
      <w:pPr>
        <w:numPr>
          <w:numId w:val="5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road is divided or undivided;</w:t>
      </w:r>
    </w:p>
    <w:p>
      <w:pPr>
        <w:numPr>
          <w:numId w:val="5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Service function, i.e. the degree to which the road is intended for through traffic as opposed to access to adjacent land;</w:t>
      </w:r>
    </w:p>
    <w:p>
      <w:pPr>
        <w:numPr>
          <w:numId w:val="5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volume of traffic anticipated;</w:t>
      </w:r>
    </w:p>
    <w:p>
      <w:pPr>
        <w:numPr>
          <w:numId w:val="5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flow of traffic is expected to be uninterrupted or interrupted by crossings, parked vehicles, etc.;</w:t>
      </w:r>
    </w:p>
    <w:p>
      <w:pPr>
        <w:numPr>
          <w:numId w:val="5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average running speed of traffic under off-peak volume conditions;</w:t>
      </w:r>
    </w:p>
    <w:p>
      <w:pPr>
        <w:numPr>
          <w:numId w:val="5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types of vehicles allowed and expected to use the road; and</w:t>
      </w:r>
    </w:p>
    <w:p>
      <w:pPr>
        <w:numPr>
          <w:numId w:val="50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the roads connected to the road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have omitted from this list two specified criteria (percentage of total system and percentage of vehicle-kilometres) which were not considered significant by the experts in this case. On the other hand, I would add to the list "the posted speed limit", which the experts considered relevant to their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service function criterion does not, in this instance, provide a basis for distinction.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bridge permits no access to adjacent land, a characteristic of both urban freeways and urban arterial roadways.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Roads carrying (or expected to carry) a traffic volume of more than 30,000 "ADT" (essentially, trips across the bridge per day) are characteristic of freeways; the Cambie Street Bridge was expected to carry traffic volume in the freeway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bridge was intended to have uninterrupted flow conditions, a characteristic of both urban arterial roadways and urban freeways.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Cyclists and slow moving vehicles have always been permitted on the bridge, a characteristic of arterial roadways but not of freeways.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posted speed limit on the bridge was originally 50 kilometres per hour and, subsequently, 60 kilometres per hour. These posted speeds are both characteristic of urban arterial roadways but not freeways.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dividing line between the two classifications with respect to average running speed during off-peak conditions is 70 kilometres per hour. The average running speed is, as one might expect, higher than the posted speed much of the time. Mr. Lisman said that the significant value is not the average running speed but the 85th percentile of observed speed, which was 82 kilometres per hour. However, the Canadian warrants refer clearly to the "average" running speed and represent the collected wisdom of many experts in the field. I consider the appropriate criterion to be the average. A radar speed survey conducted on the bridge on December 29 and 30, 2001, concludes that the average speed during off-peak conditions on those two evenings was 73 and 74 kilometres per hour, respectively. (The posted speed limit at the time was 60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have serious doubts about the methodology adopted for this study, as the person using the radar gun said that when two or more cars were approaching her she measured the speed of the lead car only. It seems reasonable to infer that the average speed was, in reality, several kilometres per hour lower than these reported averages. I infer that the average was about 70 kilometres per hour, which places it right on the dividing line between the two classifications.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Messrs. Morrall and Petzold placed a great deal of weight upon the type of roadway to which the bridge connects. At each end, it connects to what are acknowledged to be urban arterial roadways (Cambie Street to the south and Nelson Street to the north). They pointed to the injunction in Geometric Design Standards for Canadian Roads and Streets (1976) (para. C. 9.1) that, "the bridge should be designed to fit the road and not the road to fit the bridge". In its context, this quote appears to apply primarily to shoulder widths. However, I do accept that the nature of the connecting roadways at each end is an important classification factor.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most important factor in classification is design speed, which depends upon whether the roadway is divided or not. This bridge is a divided roadway. Geometric Design Standards for Canadian Roads and Streets specifies that a divided urban arterial roadway will have a design speed between 60 and 100 kilometres per hour, while a divided urban freeway will have a design speed between 80 and 120 kilometres per hour. This important factor favours classification of the bridge as arterial. Its design speed of 80 kilometres per hour falls squarely in the mid-range of design speeds for that classification, but at the low end of the freeway classification.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All the experts treated the American warrants as persuasive. The 1973 American publication entitled "A Policy on Design of Urban Highways and Arterial Streets (1973)" tends to focus on speed as the main determinator of roadway classification. This publication says that design speeds on urban freeways range from 50 to 70 miles per hour (i.e., from 80.5 to 112.7 kilometres per hour). Design speeds for arterial streets range from 30 to 60 miles per hour (i.e., from 48.3 to 96.6 kilometres per hour). The design speed of the Cambie Street Bridge was 80 kilometres per hour, which falls squarely within the range for an urban arterial roadway and at the bottom end of the range for a freeway under the American warrants.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The American publication gives what it describes as "general working ranges" of running speeds for urban roads. This range is 25 to 45 miles per hour for arterial streets (40.3 to 72.5 kilometres per hour) and 40 to 60 miles per hour for urban freeways (64.4 to 96.6 kilometres per hour). These are the figures for low volume hours. By this measure, the bridge falls into both categories; the average running speed of around 70 kilometres per hour is near the upper range for an arterial street and near the bottom of the range for an urban freeway.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This American publication also says (at p. 649) that a design speed of 50 miles per hour (80.5 kilometres per hour) "normally is fitting" for an arterial street and that the design speed "should never be less than" 50 miles per hour (80.5 kilometres per hour) for an urban freeway.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most important criteria favour classifying the bridge as an arterial roadway. The design speed falls easily within the range of such speeds for arterial roadways in both the Canadian and American warrants but at the very bottom (or, in the U.S. warrants, slightly below the bottom) of the design speed range for urban freeways. The roads to which the bridge is connected on each end are arterial roadways, not freeways. The average running speed on the bridge (which was not, of course, known to the designers but could and would have been anticipated by them) fails to place the bridge in either category. The volume of traffic clearly favours classifying the bridge as an urban freeway but that is offset by the type of vehicular traffic, which includes bicycles and slow moving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 am satisfied on the balance of probabilities that the bridge is properly classified as an urban arterial roadway (divided), and not an urban freeway. I must now consider whether it was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light of its classification, to omit a New Jersey style median barrier.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DID THE BRIDGE REQUIRE A NEW JERSEY STYLE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Bolton argued that even an urban arterial roadway should be fitted with a New Jersey style median barrier if the designers anticipate or observe high traffic volumes and high speeds. She also argued that classification, while important, should not be determinative of the question whether a New Jersey style median barrier was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Lisman said the warrants are only guidelines and should be applied flexibly, particularly in circumstances where a departure from the guidelines might serve to enhance safety. He also pointed to various passages in the warrants themselves which, in his view, call for New Jersey style barriers on certain roadways which are, strictly, arterial in nature. His view was that warrants are persuasive guidelines but not more than that. They can be departed from where circumstances require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Insofar as the latter position differs from the opinions expressed by Messrs. Morrall and Petzold, I prefer Mr. Lisman's view. It must be remembered that highway and bridge engineering requires considerable judgement. It is not possible to draft warrants which are suitable for every occasion. A myriad of circumstances must be taken into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On the other hand, my task is not to define ideal engineering practice in the field of bridge design but to determine whether Ms. Bolton has established, on the balance of probabilities,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That requires proof that the bridge, as designed and constructed, did not make reasonable provision for the safety of those using it. Alternatively, she must show that the decision to exclude a New Jersey style median barrier was one which no competent engineer, acting reasonably, would have made in the early 1980s.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now turn to a consideration of the median barrier warrants.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evidence establishes clearly that the construction of a New Jersey style median where it is not required is to be avoided, as these barriers are, or can be, safety hazards themselves. The American warrants entitled "A Policy on Design of Urban Highways and Arterial Streets (1973)" speak to this. In the introduction, the authors note: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cannot be overemphasized that a traffic barrier is itself a hazard. Every effort should be made in the design stage to eliminate the need for traffic barriers.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They go on to say that the warrants are based on an evaluation of median crossover accidents. They point out that their analysis has considered both the probability of a vehicle crossing the median if there is no barrier and the severity of any resulting accident. The probability of crossing the median decreases as traffic volume decreases and as the width of the median increases. The authors go on to say: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should be noted that after a warranted median barrier is installed, accident severity will decrease, however, accident frequency will generally increase since the space available for return to the road manoeuvres is decreased.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American warrants mentioned above, "A Policy on Design of Urban Highways and Arterial Streets (1973)", address the question of "barrier curbs", by which the authors mean short curbs of the type actually installed on the Cambie Street Bridge. The publication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Barrier curbs should not be used on freeways and are considered undesirable on other </w:t>
      </w:r>
      <w:r>
        <w:rPr>
          <w:rFonts w:ascii="arial" w:eastAsia="arial" w:hAnsi="arial" w:cs="arial"/>
          <w:color w:val="000000"/>
          <w:sz w:val="20"/>
          <w:u w:val="single"/>
          <w:lang w:val="en-US" w:eastAsia="en-US" w:bidi="ar-SA"/>
        </w:rPr>
        <w:t>high speed</w:t>
      </w:r>
      <w:r>
        <w:rPr>
          <w:rFonts w:ascii="arial" w:eastAsia="arial" w:hAnsi="arial" w:cs="arial"/>
          <w:color w:val="000000"/>
          <w:sz w:val="20"/>
          <w:lang w:val="en-US" w:eastAsia="en-US" w:bidi="ar-SA"/>
        </w:rPr>
        <w:t xml:space="preserve"> arterials. Generally, barrier curbs should not be used where design speeds are </w:t>
      </w:r>
      <w:r>
        <w:rPr>
          <w:rFonts w:ascii="arial" w:eastAsia="arial" w:hAnsi="arial" w:cs="arial"/>
          <w:color w:val="000000"/>
          <w:sz w:val="20"/>
          <w:u w:val="single"/>
          <w:lang w:val="en-US" w:eastAsia="en-US" w:bidi="ar-SA"/>
        </w:rPr>
        <w:t>above</w:t>
      </w:r>
      <w:r>
        <w:rPr>
          <w:rFonts w:ascii="arial" w:eastAsia="arial" w:hAnsi="arial" w:cs="arial"/>
          <w:color w:val="000000"/>
          <w:sz w:val="20"/>
          <w:lang w:val="en-US" w:eastAsia="en-US" w:bidi="ar-SA"/>
        </w:rPr>
        <w:t xml:space="preserve"> 50 miles per hour. (underlining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If the bridge is unsuitable for a barrier curb, then a New Jersey style median barrier would be required.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What do the authors mean by a "high speed" arterial? They say elsewhere in the same document that the design speed for an arterial street ranges from 30 to 60 miles per hour, but the document contains no definition of "high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Since speed limits are normally expressed in multiples of 5 or 10 miles per hour, the use of the word "above" suggests that barrier curbs should not be used where the design speed is 55 miles per hour or higher. The Cambie Street Bridge design speed was just slightly less than 50 miles per hour, so this language does not catch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1977 American warrants pertaining to "Roadside Barriers" begin by saying: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Historically, roadside barrier warrants have applied to highways designed for vehicle speeds of approximately 50 miles per hour (80.5 kilometres per hour) or greater. This guide generally reflects such practices. However, an effort has been made in the guide to recognize conditions on lower speed and lower volume highways.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Under the heading "Median Barriers", the authors say they are presenting warrants for "median barriers on high speed, controlled access roadways..."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City's position is that this median barrier warrant applies only to freeways and expressways; Ms. Bolton says it is a somewhat flexible term that could apply to an arterial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actual warrant is expressed in the form of a graph that tracks the width of the median and the average daily traffic. Given the width of the Cambie Street Bridge median (1.85 metres or 6.07 feet) and the average daily traffic, a New Jersey style median barrier would be warranted for the bridge. However, as I have indicated, the warrant is presented for "median barriers on high speed, controlled access roadways". The term "high speed" is not defined in this document either.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 1983, the City engineering department asked Mr. Lisman (who was, at that time, a Provincial Highway Safety Engineer) for advice on the design of curbs on the Cambie Street Bridge. In his responding letter, Mr. Lisman referred to the bridge as a "moderate speed" facility and failed to suggest the emplacement of a New Jersey style barrier, saying only that "the warrant for median barrier placement is harder to define in moderate speed urban areas but one could be placed within an overall median width of a minimum two metres".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cannot conclude that the 1973 or 1977 American warrants preclude the use of New Jersey style barriers on an arterial roadway or encourage it. The question is left to the judgement of the individual designer.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1976 Canadian warrants do not, in the portions entered in evidence, appear to address the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expert witnesses also made reference to the "Treatment of Roadside Hazards", published by the Roadside Hazards Technical Committee, a Canadian group. This document does not show a date of publication but appears from its context to have been in print by 1981. Mr. Lisman was one of its authors.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This document recommends a longitudinal barrier system (like a New Jersey style barrier) for a "high speed facility with a narrow median". The Cambie Street Bridge has a narrow median. Is it a "high speed facility"? Again, the term is not defined in the text.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Later (at para. C. 9.1.3), the authors of this text say that warrants for a median barrier are determined by median width and predicted traffic volume "on high volume, divided expressways". The portions of the text entered in evidence contain no definition of an expressway.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text contains a table from which one can infer whether the roadway is a low, medium or high "hazard area" based upon the design speed and median width. Given the relatively narrow Cambie Street Bridge median, it would qualify as a "high hazard area". This table appears in Chapter 9, "Barrier Type and Placement", which, from its context, appears to concern itself with "highways". At the least, there is no clear indication in the document that it has application to an arterial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Chapter 14, "Curbs", there is a discussion of barrier curbs (low median curbs of the sort installed on the bridge). There is a clear recommendation against their use on "a high speed facility" coupled with an acknowledgement that this type of curb is an "excellent solution" where the traffic is travelling at "urban speeds".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general, "Treatment of Roadside Hazards" provides little support for Ms. Bolton's position. I am not able to conclude that its references to a "high speed facility" and a "highway" apply to the Cambie Street Bridge, and therefore am unable to conclude that the publication supports Mr. Lisman's opinion expressed in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As I have attempted to show at some length, Mr. Lisman's opinion that a New Jersey style median barrier should have been placed on the bridge finds little support in the existing warrants. Ms. Bolton may have established that, had a New Jersey style barrier been installed, the decision could not have been criticized as creating an unreasonable risk to public safety. She has failed, however, to establish the converse - that the omission of such a barrier posed an unreasonable risk and was therefore an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 am satisfied on the balance of probabilities that the view of Messrs. Morrall and Petzold must prevail. The warrants of the early 1980s did not require the installation of a New Jersey style median barrier. Its omission from the final plan was not unreasonable and was a decision that a competent engineer, acting reasonably, could well have made. It was undoubtedly in recognition of this fact that the City engineers and their outside consultants both acquiesced in the omission of such a median barrier from the design.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FAILURE TO UPGRADE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Design standards change. In addition, design decisions become better informed as a section of roadway develops an accident history. The City engineers collected and analyzed accident data for all of the bridges in Vancouver, including the Cambie Street Bridge. The expert witnesses made considerable reference to this data.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On this branch of my decision, I assume (again, without deciding) that the omission to upgrade the Cambie Street Bridge by installing a New Jersey style barrier before September 20, 1996 was an operational decision, thus imposing a duty of care upon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1976 Canadian warrants did not change until 1999. The changes are therefore not material. (I note in passing that, in a 2001 Supplement to the Canadian warrants, the authors said (at para. 630.02) that a median barrier is "not normally used" on highways where the posted speed is less than 70 kilometres per hour; the posted speed on the bridge in the years before the accident was 60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1989, the "Roadside Design Guide" containing a new set of warrants was published by the American Association of State Highway and Transportation Officials. The Guide begins with this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Much of the guidance in this book is focussed on high volume roadways having operating speeds of 50 miles per hour or more. This does not mean that safety on local streets and highways is less important or that the principles reported here do not apply. The consequences of a vehicle running off a low volume secondary road are likely to be as severe as a freeway accident, but the probability of the former occurrence may be much lower. Although the same principles do apply, a great deal of discretion is needed in their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publication contains a warrant in the form of a table for the use of median barriers. The two criteria reflected in the table are average daily traffic and median width. Based on these two criteria, a New Jersey style barrier should have been installed on the Cambie Street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However, the table is entitled "Median Barrier Warrants for Freeways and Expressways". The accompanying text says the table suggests warrants for barriers on "high speed, controlled access roadways". The portions of this document entered in evidence do not define "high speed", "freeway" or "expressway". Mr. Lisman argued that an arterial street can be a freeway because engineers are "not dogmatic about" the application of such labels. He classifies the bridge as a freeway because of its volume and because of the running speeds observed on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Mr. Morrall concludes that Cambie Street itself is an urban arterial roadway (which is not disputed) and then says that the bridge "fits and forms part of" that roadway. He refers to the design speed of the bridge, its posted speed, the fact that cyclists and slow moving vehicles are permitted on it, and to other less important factors. He concludes that the bridge is an urban arterial roadway or, more precisely, a part of a longer urban arterial roadway. Essentially, he applies the criteria set out in the 1976 Canadian warrants in reaching his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I have already decided that the bridge as designed and constructed was an urban arterial roadway. I am also satisfied that no changes to the warrants in the years intervening before the accident served to alter its classification. Neither the Canadian nor American warrants have been shown to have changed in such a way as to mandate the placement of a New Jersey style barrier on an urban arterial roadway.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Sound engineering judgement could require the emplacement of such a barrier, but not on the basis of any change in the warrants. The decision would have to be justified by the accident history on the bridge. The warrants themselves emphasize that accident history may demonstrate a need to depart from the published guidelines.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Elizabeth Ballard, a professional engineer in the City Engineering Department, gave some evidence comparing the Cambie, Granville, and Burrard Street bridges, all of which are similarly situated in the downtown area. In a memorandum dated October 31, 1989, Ms. Ballard, Mr. Curtis (the City Engineer) and two other municipal engineers had said that "current design standards would recommend" that a New Jersey style barrier be installed if the Granville Street Bridge were to be replaced. None of these three bridges had a New Jersey style median barrier until 1995. In that year, the City installed a New Jersey style median on the Granville Street Bridge because of its accident history.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No such barrier was installed on the Burrard Street Bridge, notwithstanding its own accident history, because that bridge was considered too narrow to accommodate 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City also refrained from installing a New Jersey style barrier on the Cambie Street Bridge because, according to Ms. Ballard's evidence, the accident history did not justify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Mr. Morrall provided a comparison of accident data for the three bridges for the period 1991-1995: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BRIDGE</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ANNUAL AVERAGE</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COLLISION RATE</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3346"/>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Burrard</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199.26</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241"/>
        <w:gridCol w:w="3033"/>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Granville</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150.95</w:t>
            </w:r>
          </w:p>
        </w:tc>
        <w:tc>
          <w:tcPr>
            <w:tcW w:w="2970"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3241"/>
        <w:gridCol w:w="313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Cambie</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89.61</w:t>
            </w:r>
          </w:p>
        </w:tc>
        <w:tc>
          <w:tcPr>
            <w:tcW w:w="3072"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Mr. Morrall also pointed out that, for the same period of time, the annual average collisions per kilometre was over four times as high on Cambie Street itself as on the bridge.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Mr. Petzold said that in the period 1990 to 1995 (sic) the accident rates were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606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AVERAGE NUMBER</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BRIDGE</w:t>
            </w:r>
          </w:p>
        </w:tc>
        <w:tc>
          <w:tcPr>
            <w:tcW w:w="266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OF ACCIDENTS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93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266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PER YEAR</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033"/>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Burrard</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65</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660"/>
        <w:gridCol w:w="2928"/>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Granville</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51</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3033"/>
        <w:gridCol w:w="3241"/>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Cambie</w:t>
            </w:r>
          </w:p>
        </w:tc>
        <w:tc>
          <w:tcPr>
            <w:tcW w:w="297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26</w:t>
            </w:r>
          </w:p>
        </w:tc>
        <w:tc>
          <w:tcPr>
            <w:tcW w:w="317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None of the Cambie Street Bridge accidents from 1991 to 1995 involved fatalities: Exhibit 49, Traffic Operations Review by G.D. Hamilton Associates Consulting Ltd.; also see Exhibit 8, Vancouver Police Department Accident Data. Mr. Petzold concluded that the Cambie Street Bridge was "operating at a much higher level of safety". I agree with that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The weight of the evidence does not demonstrate that the public was exposed to an unreasonable risk on the Cambie Street Bridge at any date prior to Ms. Bolton's accident. Neither the warrants nor the accident history establish that the bridge should have been fitted retroactively with a New Jersey style median.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Mr. Lisman also argued in his fourth report that the City could and should have installed an 18 inch high barrier in 1995. This compromise measure would, presumably, have been somewhat less expensive. The suggestion presents no new or different considerations from those arising with respect to New Jersey style barriers, and does nothing to alter my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I am satisfied on the balance of probabilities that the City met the standard of care expected of it at all material times.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For these reasons,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HENDERSON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48" style="position:absolute;z-index:251836416"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17"/>
          <w:headerReference w:type="default" r:id="rId818"/>
          <w:footerReference w:type="even" r:id="rId819"/>
          <w:footerReference w:type="default" r:id="rId820"/>
          <w:headerReference w:type="first" r:id="rId821"/>
          <w:footerReference w:type="first" r:id="rId82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23" w:history="1">
        <w:r>
          <w:rPr>
            <w:rFonts w:ascii="arial" w:eastAsia="arial" w:hAnsi="arial" w:cs="arial"/>
            <w:b/>
            <w:bCs/>
            <w:i/>
            <w:color w:val="0077CC"/>
            <w:kern w:val="32"/>
            <w:sz w:val="28"/>
            <w:szCs w:val="32"/>
            <w:u w:val="single"/>
            <w:shd w:val="clear" w:color="auto" w:fill="FFFFFF"/>
            <w:lang w:val="en-US" w:eastAsia="en-US" w:bidi="ar-SA"/>
          </w:rPr>
          <w:t>Bradshaw v. North Cowichan (District), [2004] B.C.J. No. 2310</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Duncan,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Shabbits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 2004 (in Chambers, Nanaimo)</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November 3, 2004.</w:t>
      </w:r>
    </w:p>
    <w:p>
      <w:pPr>
        <w:spacing w:before="120" w:line="260" w:lineRule="atLeast"/>
        <w:jc w:val="center"/>
        <w:rPr>
          <w:lang w:val="en-US" w:eastAsia="en-US" w:bidi="ar-SA"/>
        </w:rPr>
      </w:pPr>
      <w:r>
        <w:rPr>
          <w:rFonts w:ascii="arial" w:eastAsia="arial" w:hAnsi="arial" w:cs="arial"/>
          <w:color w:val="000000"/>
          <w:sz w:val="20"/>
          <w:lang w:val="en-US" w:eastAsia="en-US" w:bidi="ar-SA"/>
        </w:rPr>
        <w:t>Duncan Registry No. S4013</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[2004] B.C.J. No. 2310</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2004 BCSC 1435</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135 A.C.W.S. (3d) 1038</w:t>
      </w:r>
    </w:p>
    <w:p>
      <w:pPr>
        <w:spacing w:before="120" w:line="260" w:lineRule="atLeast"/>
        <w:rPr>
          <w:lang w:val="en-US" w:eastAsia="en-US" w:bidi="ar-SA"/>
        </w:rPr>
      </w:pPr>
      <w:r>
        <w:rPr>
          <w:rFonts w:ascii="arial" w:eastAsia="arial" w:hAnsi="arial" w:cs="arial"/>
          <w:color w:val="000000"/>
          <w:sz w:val="20"/>
          <w:lang w:val="en-US" w:eastAsia="en-US" w:bidi="ar-SA"/>
        </w:rPr>
        <w:t>Between Barry Brian Bradshaw and Janice Rosanne Bradshaw also known as Rosanne Janice Bradshaw, plaintiffs, and The Corporation of the District of North Cowichan and the Corporation of the City of Duncan and Her Majesty the Queen in Right of the Province of British Columbia,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(79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49" style="position:absolute;z-index:25168384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65" w:name="Keywords_24"/>
      <w:bookmarkEnd w:id="165"/>
      <w:r>
        <w:rPr>
          <w:rFonts w:ascii="arial" w:eastAsia="arial" w:hAnsi="arial" w:cs="arial"/>
          <w:b/>
          <w:color w:val="000000"/>
          <w:sz w:val="20"/>
          <w:lang w:val="en-US" w:eastAsia="en-US" w:bidi="ar-SA"/>
        </w:rPr>
        <w:t>Civil procedure — Disposition without trial — Dismissal of action — Delay or failure to prosecute — Prejudice to defendant.</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166" w:name="Case Summary_24"/>
            <w:bookmarkEnd w:id="166"/>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Application by the defendant, District of North Cowichan, for dismissal of the action by the plaintiffs, the Bradshaws, for want of prosecution. The action was commenced in 1994 and claimed that North Cowichan and other defendants altered a watershed in such a negligent way as to cause flooding of the plaintiffs' property. The statement of claim also alleged nuisance. The action related to work completed in 1983 and flooding between 1987 and 1990. In 1996, the plaintiffs examined a representative of North Cowichan and one of the plaintiffs was examined by North Cowichan. In 2000, North Cowichan made an offer to settle. In 2002, the plaintiffs filed a notice of intention to proceed but no further action was taken since. </w:t>
            </w:r>
            <w:r>
              <w:rPr>
                <w:lang w:val="en-US" w:eastAsia="en-US" w:bidi="ar-SA"/>
              </w:rPr>
              <w:cr/>
            </w:r>
          </w:p>
          <w:p>
            <w:pPr>
              <w:spacing w:before="120" w:line="260" w:lineRule="atLeast"/>
              <w:ind w:left="240"/>
              <w:jc w:val="both"/>
              <w:rPr>
                <w:lang w:val="en-US" w:eastAsia="en-US" w:bidi="ar-SA"/>
              </w:rPr>
            </w:pPr>
            <w:bookmarkStart w:id="167" w:name="Holdings of Court_21"/>
            <w:bookmarkEnd w:id="167"/>
            <w:r>
              <w:rPr>
                <w:rFonts w:ascii="arial" w:eastAsia="arial" w:hAnsi="arial" w:cs="arial"/>
                <w:color w:val="000000"/>
                <w:sz w:val="20"/>
                <w:lang w:val="en-US" w:eastAsia="en-US" w:bidi="ar-SA"/>
              </w:rPr>
              <w:t>HELD: Application allowed in part.</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 action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dismissed but the action in nuisance was allowed to proceed. The delay of over eight years since the plaintiffs took a step in pursuing their action constituted inordinate delay. The delay was unjustified. The plaintiffs could have continued to prosecute the action while they garnered evidence to advance their lawsuit and discussed settlement with North Cowichan. No steps had been taken since 2000 other than filing a notice of intention to proceed. If the action continued, it would take another two years before the action could be tried. By then, 23 years would have elapsed since the work the plaintiffs complained of was completed. The individuals involved in the event who were still available to testify could not possibly have the same recollection of events as they did earlier. North Cowichan would have difficulty addressing issues of credibility. The plaintiffs did not establish that North Cowichan had not suffered prejudice with regard to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However, the plaintiffs established on a balance of probabilities that North Cowichan had not suffered prejudice in defending the cause in nuisance. An assessment of the claim in nuisance would turn on engineering or scientific evidence. What work North Cowichan constructed was as ascertainable today as when the suit was commenced. </w:t>
            </w:r>
            <w:r>
              <w:rPr>
                <w:lang w:val="en-US" w:eastAsia="en-US" w:bidi="ar-SA"/>
              </w:rPr>
              <w:cr/>
            </w:r>
          </w:p>
          <w:p>
            <w:pPr>
              <w:rPr>
                <w:lang w:val="en-US" w:eastAsia="en-US" w:bidi="ar-SA"/>
              </w:rPr>
            </w:pPr>
          </w:p>
        </w:tc>
      </w:tr>
    </w:tbl>
    <w:p>
      <w:pPr>
        <w:jc w:val="both"/>
        <w:rPr>
          <w:lang w:val="en-US" w:eastAsia="en-US" w:bidi="ar-SA"/>
        </w:rPr>
      </w:pPr>
      <w:bookmarkStart w:id="168" w:name="Legislation Cited_16"/>
      <w:bookmarkEnd w:id="168"/>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150" style="position:absolute;z-index:2517350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British Columbia Supreme Court Rules, Rules 1(8), 2(7).</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Supreme Court Act, R.S.B.C. 1966, c. 443, s. 1(1).</w:t>
      </w:r>
      <w:r>
        <w:rPr>
          <w:lang w:val="en-US" w:eastAsia="en-US" w:bidi="ar-SA"/>
        </w:rPr>
        <w:cr/>
      </w:r>
    </w:p>
    <w:p>
      <w:pPr>
        <w:keepNext/>
        <w:spacing w:before="240" w:line="340" w:lineRule="atLeast"/>
        <w:rPr>
          <w:lang w:val="en-US" w:eastAsia="en-US" w:bidi="ar-SA"/>
        </w:rPr>
      </w:pPr>
      <w:bookmarkStart w:id="169" w:name="Counsel_24"/>
      <w:bookmarkEnd w:id="169"/>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1" style="position:absolute;z-index:25178624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Plaintiffs: S.D. Stevens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Defendants: D.E. Taylor</w:t>
      </w:r>
      <w:r>
        <w:rPr>
          <w:lang w:val="en-US" w:eastAsia="en-US" w:bidi="ar-SA"/>
        </w:rPr>
        <w:cr/>
      </w:r>
    </w:p>
    <w:p>
      <w:pPr>
        <w:spacing w:after="240"/>
        <w:rPr>
          <w:lang w:val="en-US" w:eastAsia="en-US" w:bidi="ar-SA"/>
        </w:rPr>
      </w:pPr>
      <w:bookmarkStart w:id="170" w:name="Judgment_24"/>
      <w:bookmarkEnd w:id="170"/>
      <w:r>
        <w:pict>
          <v:line id="_x0000_s1152" style="position:absolute;z-index:251837440"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1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1" w:name="SHABBITS J."/>
            <w:bookmarkEnd w:id="171"/>
            <w:r>
              <w:rPr>
                <w:rFonts w:ascii="arial" w:eastAsia="arial" w:hAnsi="arial" w:cs="arial"/>
                <w:b/>
                <w:color w:val="000000"/>
                <w:sz w:val="30"/>
                <w:lang w:val="en-US" w:eastAsia="en-US" w:bidi="ar-SA"/>
              </w:rPr>
              <w:t>SHABBITS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Corporation of the District of North Cowichan applies for dismissal of this action as against it for want of prosecution. The application is advanced pursuant to Rule 2(7).</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plaintiffs commenced this action on May 4, 1994. An amended writ of summons was issued on May 25, 1994. The endorsement to the amended writ of summons sets out that the plaintiff's claim against the defendants is for an injunction and damages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the defendants causing a nuisance and/or permitting to be caused flooding of the plaintiffs' property, which property constitutes approximately 90 acres in the Municipality of North Cowichan within 6 parcels around the edges of Somenos Lake. The plaintiffs claimed that the defendants constructed and permitted to be constructed dykes, ditches and other drainage works on the watershed area of Somenos Lake and the lower end of the Cowichan River and that with those works the defendants caused or permitted flooding on to the plaintiffs' lands to the extent that they were unusable and damaged. The endorsement alleges that the plaintiffs suffered and continued to suffer substantial damages by way of loss of utility of the property as farm land, loss of income both past and future, and substantial loss of the value of the property and its timber. The plaintiffs claimed a permanent and an interlocutory injunction,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damages for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Corporation of the District of North Cowichan entered an appearance to this proceeding on May 11, 1994. Her Majesty the Queen in Right of The Province of British Columbia entered an appearance to this proceeding on May 17, 1994. The Corporation of The City of Duncan entered an appearance to this proceeding on August 18,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filed a statement of claim on May 27, 1994. In paragraph 10 of the statement of claim, the plaintiffs allege that the defendants altered the water shed of Somenos Lake on the lower end of the Cowichan River in such a negligent way as to cause flooding to the plaintiffs' lands thereby rendering them unusable.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Paragraph 12 of the statement of claim particularizes the alterations that caused the flooding, and particularizes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which the plaintiffs rely.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Paragraph 13 of the statement of claim pleads further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In paragraph 14, the plaintiffs plead that the damage to their property was caused and continues to be caused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and/or nuisance of one, some or all of the defendants.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Corporation of the District of North Cowichan filed a statement of defence on March 23, 1995. Her Majesty the Queen in Right of The Province of British Columbia filed a statement of defence on August 30, 1994. The Corporation of The City of Duncan filed a statement of defence on February 27, 1995.</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In its statement of defence, the Corporation of the District of North Cowichan pleaded that its actions and the actions of its employees, servants and agents with respect to the drainage and water works described in the statement of claim, were reasonable and proper. It expressly denied that flooding and/or subsequent loss or damage occurred on the plaintiffs' property, and denied that it caused or contributed by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nuisance to any flooding and/or subsequent loss or damage that may have occurred. The Corporation of the District of North Cowichan pleaded that the action had been brought out of time, and that the action was barred by the Municipal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Neither the endorsement to the amended writ of summons, nor the statement of claim, set out the dates or times of nuisance or the dates on which they allege the Corporation of the District of North Cowichan, or any of the other defendants, committed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Bradshaw swore an affidavit on June 23, 2003 in response to this application. In it he makes reference to work that was completed in 1983. He deposed that he and Ms. Bradshaw documented the fact of flooding between 1987 and 1990, and that in 1990 they retained counsel to review their file and advise them on a lawsuit. The action was commenced in 1994.</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statement of defence of the defendant Her Majesty the Queen in Right of the Province of British Columbia, filed August 30, 1994, pleaded that any cause of action or damages accruing prior to May 4, 1992 was barred by the Limitation 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September 2, 1994, the plaintiffs applied for an order that the Corporation of the District of North Cowichan be restrained and enjoined from preventing them from placing fill on their property.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That application was heard by Mr. Justice Opal, who was then of this court. On May 31, 1995, Mr. Justice Opal dismissed the plaintiffs' application for interlocutory relief. In so doing he commented: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In any event, a full trial of this matter would be an appropriate way in which to determine these issues.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He ordered that the costs of the application be costs in the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On April 29, and April 30, 1996, the plaintiffs conducted an examination for discovery of a representative of The Corporation of the District of North Cowichan. In his affidavit sworn June 23, 2003, Mr. Bradshaw deposes that he was discovered by The Corporation of the District of North Cowichan in 1996, although the discovery was not completed.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17, and June 18, 1997, the plaintiffs conducted an examination for discovery of a representative of Her Majesty the Queen in right of The Province of British Columbia.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January 27, 1999, the plaintiffs discontinued this proceeding as against The Corporation of The City of Duncan.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September 3, 2002, Mr. Stevens wrote counsel for The Corporation of the District of North Cowichan advising him that he had received instructions to "move forward with the litigation through court."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On September 3, 2002, counsel for The Corporation of North Cowichan wrote to Mr. Stevens saying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Your clients commenced this action on May 4, 1994 and have chosen to take no steps in this action since an Examination for Discovery of a representative of Her Majesty the Queen in the Right of the Province of British Columbia was conducted on June 17 and 18, 1997. In excess of five years has passed since the Bradshaws have taken any steps in this action which is clearly an inordinate delay for which no explanation has been given.</w:t>
      </w:r>
    </w:p>
    <w:p>
      <w:pPr>
        <w:spacing w:before="120" w:line="260" w:lineRule="atLeast"/>
        <w:ind w:left="720"/>
        <w:rPr>
          <w:lang w:val="en-US" w:eastAsia="en-US" w:bidi="ar-SA"/>
        </w:rPr>
      </w:pPr>
      <w:r>
        <w:rPr>
          <w:rFonts w:ascii="arial" w:eastAsia="arial" w:hAnsi="arial" w:cs="arial"/>
          <w:color w:val="000000"/>
          <w:sz w:val="20"/>
          <w:lang w:val="en-US" w:eastAsia="en-US" w:bidi="ar-SA"/>
        </w:rPr>
        <w:t>Please explain why your clients have chosen to take no steps in this action for more than five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On September 12, 2002, the plaintiffs filed a notice of change of solicitor that Samuel (Sam) D. Stevens had been appointed to act as the solicitor for the plaintiffs in place of A.G.M. Stewart, Mr. Stewart having been the solicitor of record for the plaintiffs since the commencement of the proceedings. On September 13, 2002, the plaintiffs served the Corporation of the District of North Cowichan with a filed copy of the notice of change of solicitor and a filed copy of a notice of intention to proceed.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May 15, 2003, counsel for The Corporation of the District of North Cowichan wrote to Mr. Stevens, saying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We refer to your letter dated September 13, 2002.</w:t>
      </w:r>
    </w:p>
    <w:p>
      <w:pPr>
        <w:spacing w:before="120" w:line="260" w:lineRule="atLeast"/>
        <w:ind w:left="720"/>
        <w:rPr>
          <w:lang w:val="en-US" w:eastAsia="en-US" w:bidi="ar-SA"/>
        </w:rPr>
      </w:pPr>
      <w:r>
        <w:rPr>
          <w:rFonts w:ascii="arial" w:eastAsia="arial" w:hAnsi="arial" w:cs="arial"/>
          <w:color w:val="000000"/>
          <w:sz w:val="20"/>
          <w:lang w:val="en-US" w:eastAsia="en-US" w:bidi="ar-SA"/>
        </w:rPr>
        <w:t>Your letter served us with a Notice of Change of Solicitor and Notice of Intention to Proceed. Despite having served us with a Notice of Intention to Proceed eight months ago no steps have been taken in this action since the Notice was served. We also observe that on September 3, 2002 we wrote to you pointing out that your clients commenced this action on May 4, 1994 and have chosen to take no steps in this action since an Examination for Discovery in June of 1997.</w:t>
      </w:r>
    </w:p>
    <w:p>
      <w:pPr>
        <w:spacing w:before="120" w:line="260" w:lineRule="atLeast"/>
        <w:ind w:left="720"/>
        <w:rPr>
          <w:lang w:val="en-US" w:eastAsia="en-US" w:bidi="ar-SA"/>
        </w:rPr>
      </w:pPr>
      <w:r>
        <w:rPr>
          <w:rFonts w:ascii="arial" w:eastAsia="arial" w:hAnsi="arial" w:cs="arial"/>
          <w:color w:val="000000"/>
          <w:sz w:val="20"/>
          <w:lang w:val="en-US" w:eastAsia="en-US" w:bidi="ar-SA"/>
        </w:rPr>
        <w:t>Under the circumstances we write to inform you that we have been instructed to bring an application to have your clients' action dismissed for want of prosecution.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application to dismiss the plaintiffs' claim as against the Corporation of the District of North Cowichan was served on June 13, 2003. It is this application that is before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last steps in this action as against the Corporation of the District of North Cowichan were the examinations for discovery of Mr. Bradshaw in 1996 and the examination for discovery of a representative of the defendant on April 29 and April 30 of 1996.</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principles of law that are of relevance to this application are not at issue.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In order to have an action dismissed for want of prosecution, a defendant must establish that the plaintiff's delay in pursuing the action has been both inordinate and inexcusable. Once those elements are proven, a rebuttable presumption of prejudice to the defendant arises. The plaintiff must then prove on a balance of probabilities that the defendant has not been seriously prejudiced or that other circumstances would make it unjust to dismiss the action. See Busse v. Robinson Morelli Chertkow, </w:t>
      </w:r>
      <w:hyperlink r:id="rId824" w:history="1">
        <w:r>
          <w:rPr>
            <w:rFonts w:ascii="arial" w:eastAsia="arial" w:hAnsi="arial" w:cs="arial"/>
            <w:i/>
            <w:color w:val="0077CC"/>
            <w:sz w:val="20"/>
            <w:u w:val="single"/>
            <w:shd w:val="clear" w:color="auto" w:fill="FFFFFF"/>
            <w:lang w:val="en-US" w:eastAsia="en-US" w:bidi="ar-SA"/>
          </w:rPr>
          <w:t>[1999] B.C.J. No. 1101</w:t>
        </w:r>
      </w:hyperlink>
      <w:r>
        <w:rPr>
          <w:rFonts w:ascii="arial" w:eastAsia="arial" w:hAnsi="arial" w:cs="arial"/>
          <w:color w:val="000000"/>
          <w:sz w:val="20"/>
          <w:lang w:val="en-US" w:eastAsia="en-US" w:bidi="ar-SA"/>
        </w:rPr>
        <w:t xml:space="preserve">, (B.C.C.A.); International Commodity Traders Ltd. v. Continental Insurance Co., </w:t>
      </w:r>
      <w:hyperlink r:id="rId825" w:history="1">
        <w:r>
          <w:rPr>
            <w:rFonts w:ascii="arial" w:eastAsia="arial" w:hAnsi="arial" w:cs="arial"/>
            <w:i/>
            <w:color w:val="0077CC"/>
            <w:sz w:val="20"/>
            <w:u w:val="single"/>
            <w:shd w:val="clear" w:color="auto" w:fill="FFFFFF"/>
            <w:lang w:val="en-US" w:eastAsia="en-US" w:bidi="ar-SA"/>
          </w:rPr>
          <w:t>[2003] B.C.J. No. 2921</w:t>
        </w:r>
      </w:hyperlink>
      <w:r>
        <w:rPr>
          <w:rFonts w:ascii="arial" w:eastAsia="arial" w:hAnsi="arial" w:cs="arial"/>
          <w:color w:val="000000"/>
          <w:sz w:val="20"/>
          <w:lang w:val="en-US" w:eastAsia="en-US" w:bidi="ar-SA"/>
        </w:rPr>
        <w:t xml:space="preserve">, </w:t>
      </w:r>
      <w:hyperlink r:id="rId825" w:history="1">
        <w:r>
          <w:rPr>
            <w:rFonts w:ascii="arial" w:eastAsia="arial" w:hAnsi="arial" w:cs="arial"/>
            <w:i/>
            <w:color w:val="0077CC"/>
            <w:sz w:val="20"/>
            <w:u w:val="single"/>
            <w:shd w:val="clear" w:color="auto" w:fill="FFFFFF"/>
            <w:lang w:val="en-US" w:eastAsia="en-US" w:bidi="ar-SA"/>
          </w:rPr>
          <w:t>2003 BCCA 691</w:t>
        </w:r>
      </w:hyperlink>
      <w:r>
        <w:rPr>
          <w:rFonts w:ascii="arial" w:eastAsia="arial" w:hAnsi="arial" w:cs="arial"/>
          <w:color w:val="000000"/>
          <w:sz w:val="20"/>
          <w:lang w:val="en-US" w:eastAsia="en-US" w:bidi="ar-SA"/>
        </w:rPr>
        <w:t xml:space="preserve"> and Irving v. Irving </w:t>
      </w:r>
      <w:hyperlink r:id="rId826" w:history="1">
        <w:r>
          <w:rPr>
            <w:rFonts w:ascii="arial" w:eastAsia="arial" w:hAnsi="arial" w:cs="arial"/>
            <w:i/>
            <w:color w:val="0077CC"/>
            <w:sz w:val="20"/>
            <w:u w:val="single"/>
            <w:shd w:val="clear" w:color="auto" w:fill="FFFFFF"/>
            <w:lang w:val="en-US" w:eastAsia="en-US" w:bidi="ar-SA"/>
          </w:rPr>
          <w:t>(1982), 38 B.C.L.R. 318</w:t>
        </w:r>
      </w:hyperlink>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Irving, Mr. Justice Seaton said this for a majority of the Court of Appeal at page 328:</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The demonstration of inordinate delay, inexcusable delay and serious prejudice does not lead necessarily to dismissal. Those three factors are only the primary considerations; all of the circumstances must be considered. It is still for the courts to decide "whether or not on balance justice demands that the action should be dismissed". Salmon L.J. in Allen v. Sir Alfred McAlpine &amp; Sons Ltd., supra. All of the statements of law are subject to the overriding principle that essential justice must be done. (See Freedman J.A. (as he then was) in Ross v. Crown Fuel Co. (1962), 41 W.W.R. 65 at 88, </w:t>
      </w:r>
      <w:hyperlink r:id="rId827" w:history="1">
        <w:r>
          <w:rPr>
            <w:rFonts w:ascii="arial" w:eastAsia="arial" w:hAnsi="arial" w:cs="arial"/>
            <w:i/>
            <w:color w:val="0077CC"/>
            <w:sz w:val="20"/>
            <w:u w:val="single"/>
            <w:shd w:val="clear" w:color="auto" w:fill="FFFFFF"/>
            <w:lang w:val="en-US" w:eastAsia="en-US" w:bidi="ar-SA"/>
          </w:rPr>
          <w:t>37 D.L.R. (2d) 30</w:t>
        </w:r>
      </w:hyperlink>
      <w:r>
        <w:rPr>
          <w:rFonts w:ascii="arial" w:eastAsia="arial" w:hAnsi="arial" w:cs="arial"/>
          <w:color w:val="000000"/>
          <w:sz w:val="20"/>
          <w:lang w:val="en-US" w:eastAsia="en-US" w:bidi="ar-SA"/>
        </w:rPr>
        <w:t xml:space="preserve"> (Man. C.A.).)</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plaintiffs commenced this action in 1994 which was 10 or 11 years after the completion of the work that caused the suit.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Over ten years have gone by since the proceeding was commenced.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Eight years have elapsed since the plaintiffs last took a step in pursuing their action against The Corporation of the District of North Cowichan.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find that there has been inordinate delay on the part of the plaintiffs in pursuing their claims against The Corporation of the District of North Cowichan.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question as to whether the action should be dismissed for want of prosecution is more problematic.</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In Irving v. Irving, Mr. Justice Seaton wrote this at page 321:</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Discovering the principles to be applied in a case such as this is not difficult; applying the principles to the facts of the case is often very difficult. Allen v. Sir Alfred McAlpine &amp; Sons; Bostic v. Bermondsey &amp; Southwark Group Hosp. Mgmt. Ctee.; Sternberg v. Hammond, [1968] 2 Q.B.229, [1968] 1 All E.R. 543 (C.A.), is frequently referred to. Each of the three cases before the court there bears two characteristics not found here: first, the plaintiffs had good cases from the beginning, and second, the plaintiffs did not authorize the delay as a tactic, but rather it was the result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others. Notwithstanding those differences, I think the decision is useful to us. It directs the approach that ought to be taken. Lord Denning M.R. said this [p. 245]:</w:t>
      </w:r>
    </w:p>
    <w:p>
      <w:pPr>
        <w:spacing w:before="120" w:line="260" w:lineRule="atLeast"/>
        <w:ind w:left="1080"/>
        <w:rPr>
          <w:lang w:val="en-US" w:eastAsia="en-US" w:bidi="ar-SA"/>
        </w:rPr>
      </w:pPr>
      <w:r>
        <w:rPr>
          <w:rFonts w:ascii="arial" w:eastAsia="arial" w:hAnsi="arial" w:cs="arial"/>
          <w:color w:val="000000"/>
          <w:sz w:val="20"/>
          <w:lang w:val="en-US" w:eastAsia="en-US" w:bidi="ar-SA"/>
        </w:rPr>
        <w:t>The principle upon which we go is clear: when the delay is prolonged and inexcusable, and is such as to do grave injustice to one side or the other or to both, the court may in its discretion dismiss the action straightaway, leaving the plaintiff to his remedy against his own solicitor who has brought him to this plight.</w:t>
      </w:r>
    </w:p>
    <w:p>
      <w:pPr>
        <w:spacing w:before="120" w:line="260" w:lineRule="atLeast"/>
        <w:ind w:left="720"/>
        <w:rPr>
          <w:lang w:val="en-US" w:eastAsia="en-US" w:bidi="ar-SA"/>
        </w:rPr>
      </w:pPr>
      <w:r>
        <w:rPr>
          <w:rFonts w:ascii="arial" w:eastAsia="arial" w:hAnsi="arial" w:cs="arial"/>
          <w:color w:val="000000"/>
          <w:sz w:val="20"/>
          <w:lang w:val="en-US" w:eastAsia="en-US" w:bidi="ar-SA"/>
        </w:rPr>
        <w:t>Of the first case he said [p. 248]:</w:t>
      </w:r>
    </w:p>
    <w:p>
      <w:pPr>
        <w:spacing w:before="120" w:line="260" w:lineRule="atLeast"/>
        <w:ind w:left="1080"/>
        <w:rPr>
          <w:lang w:val="en-US" w:eastAsia="en-US" w:bidi="ar-SA"/>
        </w:rPr>
      </w:pPr>
      <w:r>
        <w:rPr>
          <w:rFonts w:ascii="arial" w:eastAsia="arial" w:hAnsi="arial" w:cs="arial"/>
          <w:color w:val="000000"/>
          <w:sz w:val="20"/>
          <w:lang w:val="en-US" w:eastAsia="en-US" w:bidi="ar-SA"/>
        </w:rPr>
        <w:t>The delay has been so great that two out of six witnesses cannot now be traced and the memory of the other four must be greatly impaired. It is impossible to have a fair trial after so long a time. The judge struck out the action. I would not disturb his decision.</w:t>
      </w:r>
    </w:p>
    <w:p>
      <w:pPr>
        <w:spacing w:before="120" w:line="260" w:lineRule="atLeast"/>
        <w:ind w:left="720"/>
        <w:rPr>
          <w:lang w:val="en-US" w:eastAsia="en-US" w:bidi="ar-SA"/>
        </w:rPr>
      </w:pPr>
      <w:r>
        <w:rPr>
          <w:rFonts w:ascii="arial" w:eastAsia="arial" w:hAnsi="arial" w:cs="arial"/>
          <w:color w:val="000000"/>
          <w:sz w:val="20"/>
          <w:lang w:val="en-US" w:eastAsia="en-US" w:bidi="ar-SA"/>
        </w:rPr>
        <w:t>And of the second [p. 250]:</w:t>
      </w:r>
    </w:p>
    <w:p>
      <w:pPr>
        <w:spacing w:before="120" w:line="260" w:lineRule="atLeast"/>
        <w:ind w:left="1080"/>
        <w:rPr>
          <w:lang w:val="en-US" w:eastAsia="en-US" w:bidi="ar-SA"/>
        </w:rPr>
      </w:pPr>
      <w:r>
        <w:rPr>
          <w:rFonts w:ascii="arial" w:eastAsia="arial" w:hAnsi="arial" w:cs="arial"/>
          <w:color w:val="000000"/>
          <w:sz w:val="20"/>
          <w:lang w:val="en-US" w:eastAsia="en-US" w:bidi="ar-SA"/>
        </w:rPr>
        <w:t>In this case, like the widow's case, there has been prolonged delay. But, unlike the widow's case, it was not the plaintiff's solicitors who were in breach of the rules. It was the defendants' solicitors. They ought to have delivered their defence and never did so. Later on they asked for extensions of time and received them. And now they turn round and ask for the case to be dismissed for want of prosecution. The summons asks for it to be done under the inherent jurisdiction of the court. Mr. Bingham said that it would be an abuse of the process of the court for the case to proceed. Justice, her said, could not be done after all these years.</w:t>
      </w:r>
    </w:p>
    <w:p>
      <w:pPr>
        <w:spacing w:before="120" w:line="260" w:lineRule="atLeast"/>
        <w:ind w:left="1080"/>
        <w:rPr>
          <w:lang w:val="en-US" w:eastAsia="en-US" w:bidi="ar-SA"/>
        </w:rPr>
      </w:pPr>
      <w:r>
        <w:rPr>
          <w:rFonts w:ascii="arial" w:eastAsia="arial" w:hAnsi="arial" w:cs="arial"/>
          <w:color w:val="000000"/>
          <w:sz w:val="20"/>
          <w:lang w:val="en-US" w:eastAsia="en-US" w:bidi="ar-SA"/>
        </w:rPr>
        <w:t>True it is that nine years have passed since the accident. But I think that Miss Bostic's claim should be allowed to proceed to trial. It was her misfortune that her former solicitor was a rogue and went to prison and that his clerk went also. She has no prospect of compensation from them. At the trial itself, the lapse of time will tell more heavily against her than against the defendants. She has only her recollection to go by, whereas they have the hospital records from the very beginning, with full and complete notes at every stage. I do not see they are prejudiced by the delay. Justice can be done by them if the case is permitted to go to trial. But if it is struck out, Miss Bostic loses all remedy without a trial. I would, therefore, allow the appeal. The defendants must deliver their defence within ten days. The plaintiff's solicitors will then take out the summons for directions and set the case down for trial. Let it all be done as quickly as possible.</w:t>
      </w:r>
    </w:p>
    <w:p>
      <w:pPr>
        <w:spacing w:before="120" w:line="260" w:lineRule="atLeast"/>
        <w:ind w:left="720"/>
        <w:rPr>
          <w:lang w:val="en-US" w:eastAsia="en-US" w:bidi="ar-SA"/>
        </w:rPr>
      </w:pPr>
      <w:r>
        <w:rPr>
          <w:rFonts w:ascii="arial" w:eastAsia="arial" w:hAnsi="arial" w:cs="arial"/>
          <w:color w:val="000000"/>
          <w:sz w:val="20"/>
          <w:lang w:val="en-US" w:eastAsia="en-US" w:bidi="ar-SA"/>
        </w:rPr>
        <w:t>And of the third [pp. 253-54]:</w:t>
      </w:r>
    </w:p>
    <w:p>
      <w:pPr>
        <w:spacing w:before="120" w:line="260" w:lineRule="atLeast"/>
        <w:ind w:left="1080"/>
        <w:rPr>
          <w:lang w:val="en-US" w:eastAsia="en-US" w:bidi="ar-SA"/>
        </w:rPr>
      </w:pPr>
      <w:r>
        <w:rPr>
          <w:rFonts w:ascii="arial" w:eastAsia="arial" w:hAnsi="arial" w:cs="arial"/>
          <w:color w:val="000000"/>
          <w:sz w:val="20"/>
          <w:lang w:val="en-US" w:eastAsia="en-US" w:bidi="ar-SA"/>
        </w:rPr>
        <w:t>In this case the delay was the fault of the plaintiff's solicitors. Even allowing for the accident to the managing clerk, the rest of the delay was prolonged and inexcusable. The amendments to the statement of claim should have been done in six weeks. They took over two years. Even after they were made, there was another year lost. These delays have been such as to cause grave injustice to the defendants . . .</w:t>
      </w:r>
    </w:p>
    <w:p>
      <w:pPr>
        <w:spacing w:before="120" w:line="260" w:lineRule="atLeast"/>
        <w:ind w:left="1080"/>
        <w:rPr>
          <w:lang w:val="en-US" w:eastAsia="en-US" w:bidi="ar-SA"/>
        </w:rPr>
      </w:pPr>
      <w:r>
        <w:rPr>
          <w:rFonts w:ascii="arial" w:eastAsia="arial" w:hAnsi="arial" w:cs="arial"/>
          <w:color w:val="000000"/>
          <w:sz w:val="20"/>
          <w:lang w:val="en-US" w:eastAsia="en-US" w:bidi="ar-SA"/>
        </w:rPr>
        <w:t xml:space="preserve">Now consider the position of the solicitors, J.H. Milner &amp; Sons. The action charged them also with fraud and conspiracy 14 years ago. That charge was kept hanging over their heads for four or five years. Then it was dropped. The property company still charges them with misconduct as solicitors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is, I think, a grave injustice to professional men to have a charge of this kind outstanding for so long. It is impossible to have a fair trial after all this time.</w:t>
      </w:r>
    </w:p>
    <w:p>
      <w:pPr>
        <w:spacing w:before="120" w:line="260" w:lineRule="atLeast"/>
        <w:ind w:left="1080"/>
        <w:rPr>
          <w:lang w:val="en-US" w:eastAsia="en-US" w:bidi="ar-SA"/>
        </w:rPr>
      </w:pPr>
      <w:r>
        <w:rPr>
          <w:rFonts w:ascii="arial" w:eastAsia="arial" w:hAnsi="arial" w:cs="arial"/>
          <w:color w:val="000000"/>
          <w:sz w:val="20"/>
          <w:lang w:val="en-US" w:eastAsia="en-US" w:bidi="ar-SA"/>
        </w:rPr>
        <w:t>I think the judge was entitled to his discretion to strike out this action. I would dismiss the appeal.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What occurred in this proceeding is not exactly the same as what happened in any of these cases.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satisfied that this proceeding is not one that has languished because it looked hopeless. Mr. Bradshaw's evidence that the plaintiffs have a good cause of action is bolstered by the evidence that on December 21, 2000, the Corporation of the District of North Cowichan made an offer of settlement. It wrote Mr. Bradshaw as follows: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Further to our without prejudice offer to settle the lawsuit between ourselves, the District of North Cowichan Municipal Council at its closed meeting of December 20, 2000, considered your December 18, 2000 letter which was faxed to this office.</w:t>
      </w:r>
    </w:p>
    <w:p>
      <w:pPr>
        <w:spacing w:before="120" w:line="260" w:lineRule="atLeast"/>
        <w:ind w:left="720"/>
        <w:rPr>
          <w:lang w:val="en-US" w:eastAsia="en-US" w:bidi="ar-SA"/>
        </w:rPr>
      </w:pPr>
      <w:r>
        <w:rPr>
          <w:rFonts w:ascii="arial" w:eastAsia="arial" w:hAnsi="arial" w:cs="arial"/>
          <w:color w:val="000000"/>
          <w:sz w:val="20"/>
          <w:lang w:val="en-US" w:eastAsia="en-US" w:bidi="ar-SA"/>
        </w:rPr>
        <w:t>Council has requested me to advise you that your proposal is rejected: and further, to confirm that the District's initial without prejudice settlement offer is open for your consideration until 12:00 o'clock noon December 22,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The content of this without prejudice settlement offer is not before me. Its content is not relevant to this application. But, in my opinion, the fact that the defendant considered the plaintiffs' suit sufficiently meritorious to warrant extending an offer of settlement suggests that this proceeding is not in the class of hopeless cases that included Irving.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delay at issue has been so extensive that the reason for it cannot be simply categorized.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the period of time between the examinations for discovery of 1996 and the election of Mr. Hollett as Mayor of the defendant in November of 1999, the plaintiffs continued to garner evidence to advance their lawsuit. They attended meetings. They spoke with potential witnesses. They met with various governmental officials, including two elected council members of the defendant. But they did nothing in prosecution of this action. In my opinion, that delay of about three and one-half years was not justified.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1999 Mr. Bradshaw personally took over conduct of matters relating to this proceeding on behalf of the plaintiffs, even though Mr. Stewart remained as the plaintiffs' solicitor of record.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affidavit sworn June 23, 2003, Mr. Bradshaw deposes that he met with Mr. Hollett, who was Mayor of the District of North Cowichan from November, 1999 until November, 2002, and that he and Mr. Hollett "agreed" that lawyers would not be involved and that "we would not go to court." Mr. Bradshaw relates steps he took in settlement of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his affidavit sworn October 24, 2003, Mr. Hollett refers to his meetings with Mr. Bradshaw. Mr. Hollett deposes that at no time did he indicate to Mr. Bradshaw that he would settle the law suit, nor did he agree to leave the suit in abeyance. Mr. Hollett deposes that he was not authorized to enter into agreements on behalf of the Corporation of the District of North Cowichan, and that he did not do so.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Mr. Bradshaw deposes that shortly after Mr Hollett was elected Mayor of the defendant in 1999, he and Mayor Hollett agreed to a settlement of the action.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Hallett denies that. He deposes that "I have never made an agreement with Mr. Bradshaw on behalf of Lake Cowichan".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Mr. Bradshaw's proposal of settlement was rejected by the council of the defendant at its in camera meeting of January 19, 2000.</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Bradshaw met with counsel on a without prejudice basis at a closed portion of a municipal council meeting on February 16, 2000. After Mr. Bradshaw left the meeting, the "committee" discussed and rejected his proposal.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The minutes of The Corporation of the District of North Cowichan of February 16, 2000 include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Bradshaw to the meeting. Mr. Bradshaw expressed interest in settling his lawsuit and said that if settlement is not possible, he would immediately proceed with his litigation against North Cowichan. He asked Council if it wanted his land for a bird sanctuary . . . .</w:t>
      </w:r>
    </w:p>
    <w:p>
      <w:pPr>
        <w:spacing w:before="120" w:line="260" w:lineRule="atLeast"/>
        <w:ind w:left="720"/>
        <w:rPr>
          <w:lang w:val="en-US" w:eastAsia="en-US" w:bidi="ar-SA"/>
        </w:rPr>
      </w:pPr>
      <w:r>
        <w:rPr>
          <w:rFonts w:ascii="arial" w:eastAsia="arial" w:hAnsi="arial" w:cs="arial"/>
          <w:color w:val="000000"/>
          <w:sz w:val="20"/>
          <w:lang w:val="en-US" w:eastAsia="en-US" w:bidi="ar-SA"/>
        </w:rPr>
        <w:t>Councillor Walker said that he does not see how the Municipality is responsible for Mr. Bradshaw's troubles. Mayor Hollett said that the Municipality does not want his land. Mr. Bradshaw said that the Municipality is largely responsible for flooding his land and therefore should pay him damages . . .</w:t>
      </w:r>
    </w:p>
    <w:p>
      <w:pPr>
        <w:spacing w:before="120" w:line="260" w:lineRule="atLeast"/>
        <w:ind w:left="720"/>
        <w:rPr>
          <w:lang w:val="en-US" w:eastAsia="en-US" w:bidi="ar-SA"/>
        </w:rPr>
      </w:pPr>
      <w:r>
        <w:rPr>
          <w:rFonts w:ascii="arial" w:eastAsia="arial" w:hAnsi="arial" w:cs="arial"/>
          <w:color w:val="000000"/>
          <w:sz w:val="20"/>
          <w:lang w:val="en-US" w:eastAsia="en-US" w:bidi="ar-SA"/>
        </w:rPr>
        <w:t>Councillor Haywood asked Mr. Bradshaw what his bottom line was to discontinue his law suit against all parties. Mr. Bradshaw said his bottom line is . . .</w:t>
      </w:r>
    </w:p>
    <w:p>
      <w:pPr>
        <w:spacing w:before="120" w:line="260" w:lineRule="atLeast"/>
        <w:ind w:left="720"/>
        <w:rPr>
          <w:lang w:val="en-US" w:eastAsia="en-US" w:bidi="ar-SA"/>
        </w:rPr>
      </w:pPr>
      <w:r>
        <w:rPr>
          <w:rFonts w:ascii="arial" w:eastAsia="arial" w:hAnsi="arial" w:cs="arial"/>
          <w:color w:val="000000"/>
          <w:sz w:val="20"/>
          <w:lang w:val="en-US" w:eastAsia="en-US" w:bidi="ar-SA"/>
        </w:rPr>
        <w:t>He said his offer is open until Friday, and that if he does not hear from the Municipality or, if the Municipality is not interested in settling, he will immediately proceed with his lawsuit . . . . .</w:t>
      </w:r>
    </w:p>
    <w:p>
      <w:pPr>
        <w:spacing w:before="120" w:line="260" w:lineRule="atLeast"/>
        <w:ind w:left="720"/>
        <w:rPr>
          <w:lang w:val="en-US" w:eastAsia="en-US" w:bidi="ar-SA"/>
        </w:rPr>
      </w:pPr>
      <w:r>
        <w:rPr>
          <w:rFonts w:ascii="arial" w:eastAsia="arial" w:hAnsi="arial" w:cs="arial"/>
          <w:color w:val="000000"/>
          <w:sz w:val="20"/>
          <w:lang w:val="en-US" w:eastAsia="en-US" w:bidi="ar-SA"/>
        </w:rPr>
        <w:t>Mr. Bradshaw then left the meeting.</w:t>
      </w:r>
    </w:p>
    <w:p>
      <w:pPr>
        <w:spacing w:before="120" w:line="260" w:lineRule="atLeast"/>
        <w:ind w:left="720"/>
        <w:rPr>
          <w:lang w:val="en-US" w:eastAsia="en-US" w:bidi="ar-SA"/>
        </w:rPr>
      </w:pPr>
      <w:r>
        <w:rPr>
          <w:rFonts w:ascii="arial" w:eastAsia="arial" w:hAnsi="arial" w:cs="arial"/>
          <w:color w:val="000000"/>
          <w:sz w:val="20"/>
          <w:lang w:val="en-US" w:eastAsia="en-US" w:bidi="ar-SA"/>
        </w:rPr>
        <w:t>The Committee discussed and rejected Mr. Bradshaw's proposal.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confidential minutes of the District of North Cowichan relating to the closed portion of its regular meeting of May 3, 2000, include this:</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Council reviewed a letter from Barry Bradshaw dated March 8, 2000, proposing a settlement of his action against North Cowichan.</w:t>
      </w:r>
    </w:p>
    <w:p>
      <w:pPr>
        <w:spacing w:before="120" w:line="260" w:lineRule="atLeast"/>
        <w:ind w:left="720"/>
        <w:rPr>
          <w:lang w:val="en-US" w:eastAsia="en-US" w:bidi="ar-SA"/>
        </w:rPr>
      </w:pPr>
      <w:r>
        <w:rPr>
          <w:rFonts w:ascii="arial" w:eastAsia="arial" w:hAnsi="arial" w:cs="arial"/>
          <w:color w:val="000000"/>
          <w:sz w:val="20"/>
          <w:lang w:val="en-US" w:eastAsia="en-US" w:bidi="ar-SA"/>
        </w:rPr>
        <w:t>Council received and filed this proposal and directed staff to advise Mr. Bradshaw that council wishes to have no further without prejudice settlement discussions.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defendant's council met on September 20, 2000. The Minutes of the meeting record that the Mayor advised council that Mr. Bradshaw was continuing to approach him looking for compensation and that council again refused any responsibility. The Mayor was to advise Mr. Bradshaw accordingly.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On November 7, 2000, Mr. Bradshaw wrote to the Corporation of the District of North Cowichan, directing the letter to the attention of Mayor Rex Hollett. In this letter he demanded "immediate relief until a fair settlement is arbitrated".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On November 15, 2000, Mr. Bradshaw wrote the Corporation of the District of North Cowichan for the attention of Mayor Rex Hollett. He concludes this letter with this statement: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I have not had a response to my letter of November 7, 2000, so I will ask again for your reply. As per our meetings last fall and since, will you give immediately relief and participate in a fair arbitrated settlement or not? I will wait for your response. Thank you.</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On November 16, 2000, Mr. Hollett replied as Mayor of the Corporation of the District of North Cowichan:</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This will acknowledge that I received your facsimile letters dated November 7, 2000 and November 15, 2000. You have alleged that I made certain statements to you. You are reciting statements which are entirely inaccurate as to what I stated. Whether this is a misunderstanding or whether you are mischaracterizing my comments is unclear.</w:t>
      </w:r>
    </w:p>
    <w:p>
      <w:pPr>
        <w:spacing w:before="120" w:line="260" w:lineRule="atLeast"/>
        <w:ind w:left="720"/>
        <w:rPr>
          <w:lang w:val="en-US" w:eastAsia="en-US" w:bidi="ar-SA"/>
        </w:rPr>
      </w:pPr>
      <w:r>
        <w:rPr>
          <w:rFonts w:ascii="arial" w:eastAsia="arial" w:hAnsi="arial" w:cs="arial"/>
          <w:color w:val="000000"/>
          <w:sz w:val="20"/>
          <w:lang w:val="en-US" w:eastAsia="en-US" w:bidi="ar-SA"/>
        </w:rPr>
        <w:t>As a result, I wish to confirm that I will no longer have any verbal communications with you or any members of your family. Should you wish to communicate with me on any matter, please do so in writing.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On December 21, 2000, the defendant made the offer of settlement to which I have already referred.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There were no steps taken in the proceeding during the period of time encompassing those negotiations, that being just over one year.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Mr. Bradshaw noted in his affidavit that the plaintiffs were attempting "to settle this matter politically." The plaintiffs submit that the delay in 2000 was justifiable, given their attempts at settlement. It seems to me that it would be unusual for any action to be prosecuted without the prospect of settlement being canvassed, and that court actions are advanced even while efforts to settle are being made. There is no reason why the plaintiffs could not have been taking steps in prosecution of this proceeding in 2000 even though they were seeking a "political" resolution of their claims. But even if the delay in 2000 was justified, in my opinion there is no justification for the delays that followed.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Nothing was done in prosecution of the proceeding in 2001, nor, in my opinion, in 2002, even though in his affidavit sworn June 23, 2003, Mr. Bradshaw deposes that on July 6, 2002, Mr. Hollett "was going to meet with Minister Bruce" to see about a resolution.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Nothing has been done since the plaintiffs filed their notice of intention to proceed. In Busse v. Robinson Morelli Chertkow, Mr. Justice Goldie took into account the plaintiff's failure to set a case down for trial while the defendants were appealing a refusal of a chambers judge to dismiss for want of prosecution.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plaintiffs have done nothing since they filed their notice of intention to proceed about two years before this application was heard.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On February 16, 2000, Mr. Bradshaw told the defendant's council that he was considering proceeding with the lawsuit immediately. The plaintiffs ought to have done that.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 am of the opinion that the plaintiffs' delay in pursuing this action was not justified.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 am aware that Mr. Bradshaw's affidavit evidence referred to a meeting that he and his solicitor had with "Mayor" Hollett in January 2003. Mr. Hollett was not Mayor of the defendant in January of 2003. He denies the statements in the meeting that have been attributed to him. In my opinion, the evidence as to what was said at that meeting is of no relevance to this application. Mr. Bradshaw's account of what Mr. Hollett said is hearsay, and part of what Mr. Hollett is reported to have said is irrelevant.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In his affidavits, Mr. Bradshaw deposes as to different agreements of settlement that Mr. Hollett negotiated with him at different times. Mr. Hollett denies that evidence. In my opinion, whether the suit was settled is not an issue that is before me. It is open to the plaintiffs to sue to enforce such (an) agreement(s), should they consider that this proceeding has already been settled.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am of the opinion that there has been inordinate delay without justification.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Busse v. Robinson Morelli Chertkow, Mr. Justice Goldie wrote this in respect of the issue arising from a finding that there has been inordinate and unjustified delay:</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When the correct test is applied the concerns expressed by Mr. Justice Lambert are subsumed in the question the chambers judge must answer at the end of the day: has the plaintiff established on a balance of probabilities that the defendant has not suffered prejudice or that other circumstances would make it unjust to terminate the action? If the answer to this question is "no", judgment must go in favour of the defendant. If the answer is "yes", the application must be dismissed. In some circumstances it may be appropriate to make this order without prejudice to the right of the defendant to make another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In Irving, Mr. Justice Seaton referred to authority that described the dismissal of an action for want of proceeding as a draconian measure. That observation is especially apt in this proceeding, where the plaintiffs allege that they have been financially devastated by flooding, and that they have applied all of their financial assets and spent decades in pursuing their rights.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plaintiffs, however, did not take reasonable steps to bring their suit to trial. Even now, this proceeding is but at the stage of examinations for discovery. Much must yet be done by each of the plaintiffs and the defendants to bring this matter to trial. The plaintiffs' material refers to dozens of potential witnesses. They refer to engineering issues, and allegations of intentional wrong doing.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Counsel for the plaintiffs estimated that it would be two years before this action could be tried; counsel for the defendant suggested it would be three years.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plaintiffs seek to have their cause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tried about 23 years after the works of which they complain were completed, and even longer after the involvement of those who participated in its planning.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The affidavit of James Stewart Dias, Administrator of the defendant, filed August 31, 2004, and Mr. Bradshaw's affidavit #3, filed August 17, 2004, relate to the issue of prejudice.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xml:space="preserve">  The defendant submits that as a consequence of the failure of the plaintiffs to proceed with this litigation in a timely manner, it has been prejudiced in its defence of this action. In my opinion, so much time has passed that those who were involved in the events of the early 1980's, and who are still available to testify, cannot possibly have the same recollection of events as they did at earlier times. Not all those who had knowledge of events relevant to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still available to testify. The plaintiffs' allegations raise issues of credibility. Assessments as to credibility typically involve the analysis of details of evidence, and a consideration of whether a witness' evidence is supported by independent evidence. The defendant would now have difficulty in addressing issues of credibility.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In my opinion, the plaintiffs have not established on a balance of probabilities that the defendant has not suffered prejudice in defending the plaintiffs' cause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 plaintiffs have not established other circumstances that would make it unjust to dismiss their cause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 plaintiffs also claim in nuisance. Their claim in nuisance is based on allegations that the defendant's works results in seasonal flooding of their land. The plaintiffs are claiming for compensatory damages only. They have not claiming for punitive damages. In my opinion, a claim for punitive damages based on what occurred when the works were constructed could not now be fairly tried.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To succeed in a suit in nuisance, the plaintiffs must establish significant interference with their beneficial use of land or injury to their land. It is the harm that is of consequence in a suit for nuisance, and, generally, not whether the intrusion was intentional or intended. Liability for nuisance is independent of the manner in which the intrusion was caused or occurs. See G.H.L. Fridman, The Law of Torts in Canada, 2nd. Ed., 2002 at c. 8.</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plaintiffs' allegations are that their lands were subject to annual seasonal flooding. They claim that the defendant is liable for a cause in nuisance that arose year after year. The pleading of the defendant Her Majesty the Queen in Right of the Province of British Columbia that any cause of action or damages accruing prior to two years before this proceeding was commenced relates to the continuing nature of the claim in nuisance. The defendant had the opportunity of assessing whether their works were causing flooding during the years after this suit was commenced.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my opinion, an assessment of the plaintiffs' claim in nuisance would largely turn on engineering or scientific evidence. What works the defendant constructed that relate to the allegations of flooding is surely as ascertainable today as it was when this suit was commenced. The defendant should be as able today as it was when the suit was commenced to assess the consequences of their works.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opinion, the plaintiffs have established on a balance of probabilities that the defendant has not established prejudice in defending its cause in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Rule 2(7) permits dismissal of a "proceeding". "Proceeding" is defined in Rule 1(8) and in s. 1(1) of the Supreme Court Act, R.S.B.C. 1966, c. 443 as including an action, suit, cause, matter, appeal or originating application.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Rule 2(7) does not require that an application for dismissal for want of prosecution result in dismissal of the application or dismissal of the action for want of proceeding. Rule 2(7) permits dismissal of a cause.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I am of the opinion that it is open to me to dismiss the proceeding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to dismiss the application as it relates to the proceeding in nuisance.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order that the plaintiffs' action as against the Corporation of the District of North Cowichan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 dismissed pursuant to Rule 2(7). I order that the defendant's application to dismiss the plaintiffs' suit in nuisance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In my opinion, it is the defendant that has enjoyed substantial success of this application. The dismissal of the suit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a final order in respect of that cause. I order that the defendant have costs of this application on Scale 3 in any event of the cause.</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SHABBITS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3" style="position:absolute;z-index:251881472"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828"/>
          <w:headerReference w:type="default" r:id="rId829"/>
          <w:footerReference w:type="even" r:id="rId830"/>
          <w:footerReference w:type="default" r:id="rId831"/>
          <w:headerReference w:type="first" r:id="rId832"/>
          <w:footerReference w:type="first" r:id="rId83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834" w:history="1">
        <w:r>
          <w:rPr>
            <w:rFonts w:ascii="arial" w:eastAsia="arial" w:hAnsi="arial" w:cs="arial"/>
            <w:b/>
            <w:bCs/>
            <w:i/>
            <w:color w:val="0077CC"/>
            <w:kern w:val="32"/>
            <w:sz w:val="28"/>
            <w:szCs w:val="32"/>
            <w:u w:val="single"/>
            <w:shd w:val="clear" w:color="auto" w:fill="FFFFFF"/>
            <w:lang w:val="en-US" w:eastAsia="en-US" w:bidi="ar-SA"/>
          </w:rPr>
          <w:t>Brewster (Guardian ad litem of) v. Swain, [2005] B.C.J. No. 2363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Humphries J.</w:t>
      </w:r>
    </w:p>
    <w:p>
      <w:pPr>
        <w:spacing w:before="120" w:line="260" w:lineRule="atLeast"/>
        <w:jc w:val="center"/>
        <w:rPr>
          <w:lang w:val="en-US" w:eastAsia="en-US" w:bidi="ar-SA"/>
        </w:rPr>
      </w:pPr>
      <w:r>
        <w:rPr>
          <w:rFonts w:ascii="arial" w:eastAsia="arial" w:hAnsi="arial" w:cs="arial"/>
          <w:color w:val="000000"/>
          <w:sz w:val="20"/>
          <w:lang w:val="en-US" w:eastAsia="en-US" w:bidi="ar-SA"/>
        </w:rPr>
        <w:t>Heard: September 22 - 23, 2005.</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October 31, 2005.</w:t>
      </w:r>
    </w:p>
    <w:p>
      <w:pPr>
        <w:spacing w:before="120" w:line="260" w:lineRule="atLeast"/>
        <w:jc w:val="center"/>
        <w:rPr>
          <w:lang w:val="en-US" w:eastAsia="en-US" w:bidi="ar-SA"/>
        </w:rPr>
      </w:pPr>
      <w:r>
        <w:rPr>
          <w:rFonts w:ascii="arial" w:eastAsia="arial" w:hAnsi="arial" w:cs="arial"/>
          <w:color w:val="000000"/>
          <w:sz w:val="20"/>
          <w:lang w:val="en-US" w:eastAsia="en-US" w:bidi="ar-SA"/>
        </w:rPr>
        <w:t>Vancouver Registry No. M021644</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[2005] B.C.J. No. 2363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2005 BCSC 1534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143 A.C.W.S. (3d) 778</w:t>
      </w:r>
    </w:p>
    <w:p>
      <w:pPr>
        <w:spacing w:before="120" w:line="260" w:lineRule="atLeast"/>
        <w:rPr>
          <w:lang w:val="en-US" w:eastAsia="en-US" w:bidi="ar-SA"/>
        </w:rPr>
      </w:pPr>
      <w:r>
        <w:rPr>
          <w:rFonts w:ascii="arial" w:eastAsia="arial" w:hAnsi="arial" w:cs="arial"/>
          <w:color w:val="000000"/>
          <w:sz w:val="20"/>
          <w:lang w:val="en-US" w:eastAsia="en-US" w:bidi="ar-SA"/>
        </w:rPr>
        <w:t>Between Christopher Brewster, an infant by his guardian ad litem, Deanna Brewster, and the said Deanna Brewster, plaintiffs, and Donna Jean Swain, Cardinal Coach Lines Limited and Cardinal Transportation Inc., defendants, and Deanna Brewster, third party</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(36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154" style="position:absolute;z-index:251684864"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172" w:name="Keywords_25"/>
      <w:bookmarkEnd w:id="17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 — Pedestrians — Action by the plaintiff against the defendant for damages resulting from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in hitting him as a five-year-old child allowed in part — Third party notice by the defendant against the plaintiff's mother for failing to supervise her son allowed in part.</w:t>
      </w:r>
    </w:p>
    <w:p>
      <w:pPr>
        <w:spacing w:before="120" w:line="260" w:lineRule="atLeast"/>
        <w:rPr>
          <w:lang w:val="en-US" w:eastAsia="en-US" w:bidi="ar-SA"/>
        </w:rPr>
      </w:pPr>
      <w:r>
        <w:rPr>
          <w:lang w:val="en-US" w:eastAsia="en-US" w:bidi="ar-SA"/>
        </w:rPr>
        <w:br/>
      </w:r>
      <w:r>
        <w:rPr>
          <w:rFonts w:ascii="arial" w:eastAsia="arial" w:hAnsi="arial" w:cs="arial"/>
          <w:b/>
          <w:color w:val="000000"/>
          <w:sz w:val="20"/>
          <w:lang w:val="en-US" w:eastAsia="en-US" w:bidi="ar-SA"/>
        </w:rPr>
        <w:t xml:space="preserve">Two days before his fifth birthday, the plaintiff rode a bicycle into the side of a passing school bus, and sustained injuries — The plaintiff and several other children were playing on the front lawn of his house, which was not fenced — Action by the plaintiff against the defendant for damages resulting from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allowed in part — Third party notice by the defendant against the plaintiff's mother for failing to supervise her son allowed in part — The defendant should have seen the plaintiff — The plaintiff's mother should have been exercising greater care to supervise the plaintiff given the obvious attraction of a new bicycle and the nearby streets — The plaintiff's mother was also negligent by leaving the plaintiff unattended and unsupervised, and was equally liable.</w:t>
      </w:r>
    </w:p>
    <w:p>
      <w:pPr>
        <w:jc w:val="both"/>
        <w:rPr>
          <w:lang w:val="en-US" w:eastAsia="en-US" w:bidi="ar-SA"/>
        </w:rPr>
      </w:pPr>
      <w:bookmarkStart w:id="173" w:name="Counsel_25"/>
      <w:bookmarkEnd w:id="173"/>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155" style="position:absolute;z-index:251736064"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plaintiff: J.D. McGreevy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G. Ritchey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Third Party: A. Dhinsa</w:t>
      </w:r>
      <w:r>
        <w:rPr>
          <w:lang w:val="en-US" w:eastAsia="en-US" w:bidi="ar-SA"/>
        </w:rPr>
        <w:cr/>
      </w:r>
    </w:p>
    <w:p>
      <w:pPr>
        <w:spacing w:after="240"/>
        <w:rPr>
          <w:lang w:val="en-US" w:eastAsia="en-US" w:bidi="ar-SA"/>
        </w:rPr>
      </w:pPr>
      <w:bookmarkStart w:id="174" w:name="Judgment_25"/>
      <w:bookmarkEnd w:id="174"/>
      <w:r>
        <w:pict>
          <v:line id="_x0000_s1156" style="position:absolute;z-index:251787264" from="0,12pt" to="512pt,12pt" strokecolor="#009ddb" strokeweight="1.5pt">
            <v:stroke linestyle="single"/>
          </v:line>
        </w:pict>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175" w:name="HUMPHRIES J."/>
            <w:bookmarkEnd w:id="175"/>
            <w:r>
              <w:rPr>
                <w:rFonts w:ascii="arial" w:eastAsia="arial" w:hAnsi="arial" w:cs="arial"/>
                <w:b/>
                <w:color w:val="000000"/>
                <w:sz w:val="30"/>
                <w:lang w:val="en-US" w:eastAsia="en-US" w:bidi="ar-SA"/>
              </w:rPr>
              <w:t>HUMPHRIES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September 19, 1991, just two days before his fifth birthday, the plaintiff rode a bicycle straight into the side of a passing school bus, and sustained injuries. He has sued the driver of the bus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driver has issued a third party notice to the plaintiff's mother for failing to supervise her son. This trial concerns liability only.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at a T-intersection in a residential area in Surrey, B.C. on a clear sunny afternoon. 146th Street is a residential street with no centre line, running north and south. 88A Avenue is a dead end street, entering onto 146th Street from the west. There is a stop sign on 88A Avenue as it intersects with 146th Street. There is a school nearby, although the immediate area around the intersection is not a school zone. The area is flat.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lived on the east side of 146th Street, several houses down from the intersection with 88A Avenue. On this afternoon, he and several other children, including his brother and younger sister, were playing on the front lawn of his house after school. The front yard was not fenced, although the back yard was. Ms. Brewster was watching the children. Ms. Brewster's four children were aged 9, 5, 4, and 2. She was babysitting two other children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Brewster testified that the volume of traffic on the street was not bad until it intersected with 88th Avenue, and the children were not allowed to go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Ms. Brewster, who was a straightforward, credible witness, testified that she always walked the children to school and picked them up. She took them grocery shopping with her. She understood it was not safe to leave the children alone. She did not like them to cross 146th Street alone, but she was aware that Christopher would go anyway, and said children do not follow instructions 100 percent. He was not to leave the yard without his older sister, but she knew he disobeyed that direction from time to time.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Christopher had a bicycle, but was not to go outside the yard on it. She could not remember if he did go outside the yard on his bicycle, but knew that he did not always obey instructions. She testified she is sure she gave him safety instructions on riding a bicycle, but could not remember what they were. He did not have a helmet. There was no reference before me as to the state of the law regarding bicycle helmets in 1991.</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Another child arrived with a new bike and the children were taking turns riding it, although Ms. Brewster did not see Christopher on the bike that afternoon. Ms. Brewster went into the house for some reason, but at this late date cannot recall why. She said a few minutes later her oldest son came to tell her Christopher had been hit by a bus. She ran down the street and saw her son on a board supplied by the ambulance attendants who were already at the scene. She noticed his head appeared to be swollen.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Christopher, who is now 19, remembers nothing of the events, except that he borrowed some child's bike. He remembers that the accident scene was down the street from his house. He also remembers banging his head and running around on the street after the accident, and that he had blood in his eyes and couldn't see.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Audrey Taylor, who lives on the southwest corner of the intersection, was looking out through her front door. She saw the school bus driving along 146th Street in the middle of the road. The bus was going about 40 km/h and out of the corner of her eye Ms. Taylor saw a child riding a bicycle up 88A Avenue towards the intersection. The boy was right by a crack in the road, and Ms. Taylor said he was going at a steady pace, "very fast." What "very fast" might be, for a five year old on a child's bicycle was not clarified. Mr. Cliff, the plaintiff's accident reconstructionist, assumed the speed to be between 8.7 km/h and 15.1 km/h, based on his research.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Using the "to scale" drawing provided by Mr. Cliff, and putting it together with the evidence of Ms. Taylor, the boy would have been about 15 meters from the eventual point of contact with the bus when Ms. Taylor caught sight of him. Mr. Cliff estimated the distance at 11 meters, based on the bus travelling in the right lane of 146th Street, but he had not taken into account the evidence of Ms. Taylor that the bus was travelling in the middle of the road, not in the right lane. The bus, given a speed of 40 km/h, was about 60 meters back from the point of impact.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plaintiff continued without slowing down straight through the stop sign and into the side of the bus, colliding with it just behind the front stairs. Ms. Taylor said the bus stopped within a bus-length, although she had not noticed any sign of braking before the collision, nor had she heard a horn.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Taylor said there was nothing obstructing her view of the bus as it came along 146th Street, other than the power pole on the corner. There were no cars parked on the street. There is now a large tree on the corner which, according to the pictures attached to Mr. Cliff's report, completely obstructs the view of 88A Avenue from 146th Street. However, Ms. Taylor testified that she remembers watching a young girl and her step-father plant the tree just shortly before this incident and in 1991 it was only a seedling, about 12-15" high.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Taylor said there are more children in the area now, but even then, there were a lot of children who played in the area, particularly on 88A Avenue because it is a dead end. She said they did not play on 146th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When Ms. Taylor had been outside her house at some undefined earlier time, she had seen two other children on bicycles as well, but she said they did not come that far down the road, and she did not see any other children in the vicinity just before the accident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Ms. Taylor said she thought the boy on the bike had time to stop at the stop sign when she saw it, but at some point she knew he wasn't going to. By the time she realized the boy was not going to stop, in her view the bus driver did not have a chance to avoid the accident. The bus travelled less than a bus-length before stopping.</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defendant driver, Ms. Swain, did not testify, although excerpts from her discovery from September 8, 2005 were read in. She said: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Could you tell me in your own words exactly what happened that day, what you recall of the accident?</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recall - I believe it was 146th you said earlier. I was driving down the street and I saw a couple of kids playing in the - in the cross street to my right on bikes.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512"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 far back were you from the intersection when you saw these kids playing to your right?</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don't remember that. I just - I remember seeing them off to the right playing on bikes.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And did you slow down?</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don't remember slowing down.</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Okay. What happened next?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Hmm, I remember as I was - hmm, it has been so long. I heard a crash, brought the bus to a stop - that I remember - and I got up, got out to check the situation.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You remember seeing kids on bikes?</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remember seeing them at a distance riding bikes.</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 far from the intersection were they? Where they on 88A Avenue or were they on the street you were on?</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 they were well off the street I was on.</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So they were on the cross street?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Yeah, they were on the - that is what I said. They were on the cross street to my right, riding their bikes. I was aware of them there.</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lang w:val="en-US" w:eastAsia="en-US" w:bidi="ar-SA"/>
              </w:rPr>
            </w:pPr>
            <w:r>
              <w:rPr>
                <w:lang w:val="en-US" w:eastAsia="en-US" w:bidi="ar-SA"/>
              </w:rPr>
              <w:br/>
            </w:r>
          </w:p>
        </w:tc>
        <w:tc>
          <w:tcPr>
            <w:tcW w:w="717"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How fast were you going?</w:t>
            </w:r>
          </w:p>
        </w:tc>
        <w:tc>
          <w:tcPr>
            <w:tcW w:w="1024" w:type="dxa"/>
            <w:tcBorders>
              <w:bottom w:val="nil"/>
            </w:tcBorders>
            <w:tcMar>
              <w:top w:w="100" w:type="dxa"/>
              <w:bottom w:w="0" w:type="dxa"/>
            </w:tcMar>
            <w:vAlign w:val="top"/>
          </w:tcPr>
          <w:p>
            <w:pPr>
              <w:rPr>
                <w:lang w:val="en-US" w:eastAsia="en-US" w:bidi="ar-SA"/>
              </w:rPr>
            </w:pPr>
            <w:r>
              <w:rPr>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believe I was going 40-45.</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And you had no idea where those children you saw earlier were when you made contact?</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512"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lang w:val="en-US" w:eastAsia="en-US" w:bidi="ar-SA"/>
              </w:rPr>
            </w:pPr>
            <w:r>
              <w:rPr>
                <w:lang w:val="en-US" w:eastAsia="en-US" w:bidi="ar-SA"/>
              </w:rPr>
              <w:br/>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Do you have any explanation as to why you wouldn't see these children when you had noticed them earlier?</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 </w:t>
      </w:r>
    </w:p>
    <w:p>
      <w:pPr>
        <w:rPr>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lang w:val="en-US" w:eastAsia="en-US" w:bidi="ar-SA"/>
              </w:rPr>
            </w:pPr>
            <w:r>
              <w:rPr>
                <w:lang w:val="en-US" w:eastAsia="en-US" w:bidi="ar-SA"/>
              </w:rPr>
              <w:br/>
            </w:r>
          </w:p>
        </w:tc>
        <w:tc>
          <w:tcPr>
            <w:tcW w:w="717"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lang w:val="en-US" w:eastAsia="en-US" w:bidi="ar-SA"/>
              </w:rPr>
            </w:pPr>
            <w:r>
              <w:rPr>
                <w:lang w:val="en-US" w:eastAsia="en-US" w:bidi="ar-SA"/>
              </w:rPr>
              <w:br/>
            </w:r>
            <w:r>
              <w:rPr>
                <w:rFonts w:ascii="arial" w:eastAsia="arial" w:hAnsi="arial" w:cs="arial"/>
                <w:color w:val="000000"/>
                <w:sz w:val="18"/>
                <w:lang w:val="en-US" w:eastAsia="en-US" w:bidi="ar-SA"/>
              </w:rPr>
              <w:t>I have no explanation for that, no.</w:t>
            </w:r>
          </w:p>
        </w:tc>
        <w:tc>
          <w:tcPr>
            <w:tcW w:w="1024" w:type="dxa"/>
            <w:tcMar>
              <w:top w:w="100" w:type="dxa"/>
              <w:bottom w:w="0" w:type="dxa"/>
            </w:tcMar>
            <w:vAlign w:val="top"/>
          </w:tcPr>
          <w:p>
            <w:pPr>
              <w:rPr>
                <w:lang w:val="en-US" w:eastAsia="en-US" w:bidi="ar-SA"/>
              </w:rPr>
            </w:pPr>
            <w:r>
              <w:rPr>
                <w:lang w:val="en-US" w:eastAsia="en-US" w:bidi="ar-SA"/>
              </w:rPr>
              <w:br/>
            </w:r>
          </w:p>
        </w:tc>
      </w:tr>
    </w:tbl>
    <w:p>
      <w:pPr>
        <w:rPr>
          <w:lang w:val="en-US" w:eastAsia="en-US" w:bidi="ar-SA"/>
        </w:rPr>
      </w:pPr>
    </w:p>
    <w:p>
      <w:pPr>
        <w:spacing w:line="260" w:lineRule="atLeast"/>
        <w:jc w:val="both"/>
        <w:rPr>
          <w:lang w:val="en-US" w:eastAsia="en-US" w:bidi="ar-SA"/>
        </w:rPr>
      </w:pP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defendant also said she could not remember if she sounded her horn or put on her brakes.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accident reconstructionist filed a report containing a table with various scenarios for stopping distances, based on a range of speeds for the bus between 40 and 50 km/h, and a range of speeds for the bicycle of between 11.7 km/h and 15.1 km/h. He assumed a deceleration rate for the bus and a perception/reaction time for the plaintiff. He used various distances at which the boy should have been visible to the bus driver as she approached the intersection, given the house on the corner of 146th Street and 88A Avenue, across from Ms. Taylor's, which blocked the view. Some of the values would allow the driver to stop in time once she had an opportunity to see the boy; others, based on her first seeing him only at the stop sign, would not. Few of the facts underlying the report were proven.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Apparently Mr. Cliff reviewed the police report, pictures of the bus, and the damage report before doing his report, but none of that material was put before me. The trial took place fourteen years after the accident, and no pictures or evidence of an investigation done at the time were adduced. I heard no evidence of the size of the bicycle or of the bus, how many feet the front steps of the bus were from the front of the bus, or whether the bus had passengers that might have required the driver's attention.</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plaintiff says the driver was negligent because the area was frequented by children, and once she became aware of children in the vicinity, she had a greater duty of care. The boy was visible to Ms. Taylor, and there was no reason the defendant driver should not have seen him approaching the intersection. She had a duty to take extra precaution and could not assume the boy would stop at the stop sign.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refers to several cases for the proposition that, once observed in dangerous situations, a child must be given special attention so that precautionary action could be taken. In Chohan v. Wayenberg, </w:t>
      </w:r>
      <w:hyperlink r:id="rId835" w:history="1">
        <w:r>
          <w:rPr>
            <w:rFonts w:ascii="arial" w:eastAsia="arial" w:hAnsi="arial" w:cs="arial"/>
            <w:i/>
            <w:color w:val="0077CC"/>
            <w:sz w:val="20"/>
            <w:u w:val="single"/>
            <w:shd w:val="clear" w:color="auto" w:fill="FFFFFF"/>
            <w:lang w:val="en-US" w:eastAsia="en-US" w:bidi="ar-SA"/>
          </w:rPr>
          <w:t>(1990), 67 D.L.R. (4th) 318</w:t>
        </w:r>
      </w:hyperlink>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[1990] B.C.J. No. 320</w:t>
        </w:r>
      </w:hyperlink>
      <w:r>
        <w:rPr>
          <w:rFonts w:ascii="arial" w:eastAsia="arial" w:hAnsi="arial" w:cs="arial"/>
          <w:color w:val="000000"/>
          <w:sz w:val="20"/>
          <w:lang w:val="en-US" w:eastAsia="en-US" w:bidi="ar-SA"/>
        </w:rPr>
        <w:t xml:space="preserve">, a 9 year old child had crossed several lanes on a five-lane stretch of highway and was struck by the defendant. The jury found the plaintiff himself 90% at fault. The Court of Appeal was concerned that there was no evidence dealing with whether a small boy on a bicycle might be obscured from drivers as he was crossing the oncoming lanes, but found that it was open to the jury to find the defendant ought to have seen him. The court concluded the jury must have made that finding, and that finding was not appealed. The only issue before them was the apportionment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They acknowledged the need for constant vigilance for children on the roads, especially in suburban areas, as children cannot be expected always to act with the same care as that expected of adults and adjusted the jury's finding by apportioning blame equally.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Gonzales v. Stewart, </w:t>
      </w:r>
      <w:hyperlink r:id="rId836" w:history="1">
        <w:r>
          <w:rPr>
            <w:rFonts w:ascii="arial" w:eastAsia="arial" w:hAnsi="arial" w:cs="arial"/>
            <w:i/>
            <w:color w:val="0077CC"/>
            <w:sz w:val="20"/>
            <w:u w:val="single"/>
            <w:shd w:val="clear" w:color="auto" w:fill="FFFFFF"/>
            <w:lang w:val="en-US" w:eastAsia="en-US" w:bidi="ar-SA"/>
          </w:rPr>
          <w:t>[1995] B.C.J. No. 2456</w:t>
        </w:r>
      </w:hyperlink>
      <w:r>
        <w:rPr>
          <w:rFonts w:ascii="arial" w:eastAsia="arial" w:hAnsi="arial" w:cs="arial"/>
          <w:color w:val="000000"/>
          <w:sz w:val="20"/>
          <w:lang w:val="en-US" w:eastAsia="en-US" w:bidi="ar-SA"/>
        </w:rPr>
        <w:t xml:space="preserve">, aff'd </w:t>
      </w:r>
      <w:hyperlink r:id="rId837" w:history="1">
        <w:r>
          <w:rPr>
            <w:rFonts w:ascii="arial" w:eastAsia="arial" w:hAnsi="arial" w:cs="arial"/>
            <w:i/>
            <w:color w:val="0077CC"/>
            <w:sz w:val="20"/>
            <w:u w:val="single"/>
            <w:shd w:val="clear" w:color="auto" w:fill="FFFFFF"/>
            <w:lang w:val="en-US" w:eastAsia="en-US" w:bidi="ar-SA"/>
          </w:rPr>
          <w:t>(1997) 43 B.C.L.R. (3d) 286</w:t>
        </w:r>
      </w:hyperlink>
      <w:r>
        <w:rPr>
          <w:rFonts w:ascii="arial" w:eastAsia="arial" w:hAnsi="arial" w:cs="arial"/>
          <w:color w:val="000000"/>
          <w:sz w:val="20"/>
          <w:lang w:val="en-US" w:eastAsia="en-US" w:bidi="ar-SA"/>
        </w:rPr>
        <w:t xml:space="preserve"> the trial judge referred to Chohan and found the defendant 100% liable for striking the said six-year-old plaintiff whom she had seen standing on the side of the road well before the collision, and whom she realized was waiting to cross the street as soon as an oncoming car had passed. The trial judge found the defendant knew the child was unaware of her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It is the defendants' contention that there is no evidence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 plaintiff has failed to prove that the driver had any opportunity to avoid the accident once she became aware of the hazard created by the plaintiff's failure to stop at the stop sign. They rely on Walker v. Brownlee and Harmon, </w:t>
      </w:r>
      <w:hyperlink r:id="rId83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xml:space="preserve"> (S.C.C.) in which the court cited the following statement of Lord Atkinson in Toronto R.W. Co v. King </w:t>
      </w:r>
      <w:hyperlink r:id="rId839" w:history="1">
        <w:r>
          <w:rPr>
            <w:rFonts w:ascii="arial" w:eastAsia="arial" w:hAnsi="arial" w:cs="arial"/>
            <w:i/>
            <w:color w:val="0077CC"/>
            <w:sz w:val="20"/>
            <w:u w:val="single"/>
            <w:shd w:val="clear" w:color="auto" w:fill="FFFFFF"/>
            <w:lang w:val="en-US" w:eastAsia="en-US" w:bidi="ar-SA"/>
          </w:rPr>
          <w:t>[1908] A.C. 260</w:t>
        </w:r>
      </w:hyperlink>
      <w:r>
        <w:rPr>
          <w:rFonts w:ascii="arial" w:eastAsia="arial" w:hAnsi="arial" w:cs="arial"/>
          <w:color w:val="000000"/>
          <w:sz w:val="20"/>
          <w:lang w:val="en-US" w:eastAsia="en-US" w:bidi="ar-SA"/>
        </w:rPr>
        <w:t xml:space="preserve"> at 269:</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Traffic in the streets would be impossible if the driver of each vehicle did not proceed more or less upon the assumption that drivers of all the others vehicles will do what it is their duty to do, namely, observe the rules regulating traffic on the streets.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a driver in the servient position seeks to blame the driver having the right-of-way for a collision, he must show that at the point where the driver having the right-of-way became aware, or by the exercise of reasonable care should have become aware, of the servient driver's failure to obey the law, the driver with the right-of-way had sufficient opportunity to avoid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This reasoning has been applied to situations involving children as well (Bennett v. Allan </w:t>
      </w:r>
      <w:hyperlink r:id="rId840" w:history="1">
        <w:r>
          <w:rPr>
            <w:rFonts w:ascii="arial" w:eastAsia="arial" w:hAnsi="arial" w:cs="arial"/>
            <w:i/>
            <w:color w:val="0077CC"/>
            <w:sz w:val="20"/>
            <w:u w:val="single"/>
            <w:shd w:val="clear" w:color="auto" w:fill="FFFFFF"/>
            <w:lang w:val="en-US" w:eastAsia="en-US" w:bidi="ar-SA"/>
          </w:rPr>
          <w:t>(1990), 51 B.C.L.R. (2d) 183</w:t>
        </w:r>
      </w:hyperlink>
      <w:r>
        <w:rPr>
          <w:rFonts w:ascii="arial" w:eastAsia="arial" w:hAnsi="arial" w:cs="arial"/>
          <w:color w:val="000000"/>
          <w:sz w:val="20"/>
          <w:lang w:val="en-US" w:eastAsia="en-US" w:bidi="ar-SA"/>
        </w:rPr>
        <w:t xml:space="preserve">, </w:t>
      </w:r>
      <w:hyperlink r:id="rId841" w:history="1">
        <w:r>
          <w:rPr>
            <w:rFonts w:ascii="arial" w:eastAsia="arial" w:hAnsi="arial" w:cs="arial"/>
            <w:i/>
            <w:color w:val="0077CC"/>
            <w:sz w:val="20"/>
            <w:u w:val="single"/>
            <w:shd w:val="clear" w:color="auto" w:fill="FFFFFF"/>
            <w:lang w:val="en-US" w:eastAsia="en-US" w:bidi="ar-SA"/>
          </w:rPr>
          <w:t>[1991] 2 W.W.R. 378</w:t>
        </w:r>
      </w:hyperlink>
      <w:r>
        <w:rPr>
          <w:rFonts w:ascii="arial" w:eastAsia="arial" w:hAnsi="arial" w:cs="arial"/>
          <w:color w:val="000000"/>
          <w:sz w:val="20"/>
          <w:lang w:val="en-US" w:eastAsia="en-US" w:bidi="ar-SA"/>
        </w:rPr>
        <w:t xml:space="preserve">, and Boismier v. St. Louis, </w:t>
      </w:r>
      <w:hyperlink r:id="rId842" w:history="1">
        <w:r>
          <w:rPr>
            <w:rFonts w:ascii="arial" w:eastAsia="arial" w:hAnsi="arial" w:cs="arial"/>
            <w:i/>
            <w:color w:val="0077CC"/>
            <w:sz w:val="20"/>
            <w:u w:val="single"/>
            <w:shd w:val="clear" w:color="auto" w:fill="FFFFFF"/>
            <w:lang w:val="en-US" w:eastAsia="en-US" w:bidi="ar-SA"/>
          </w:rPr>
          <w:t>[1997] B.C.J. No. 1124</w:t>
        </w:r>
      </w:hyperlink>
      <w:r>
        <w:rPr>
          <w:rFonts w:ascii="arial" w:eastAsia="arial" w:hAnsi="arial" w:cs="arial"/>
          <w:color w:val="000000"/>
          <w:sz w:val="20"/>
          <w:lang w:val="en-US" w:eastAsia="en-US" w:bidi="ar-SA"/>
        </w:rPr>
        <w:t>), but of course, each case depends on its individual facts. The two cases involving children rest not so much on the driver with the right-of-way being able to assume justifiably that a small child will obey the rules of the road, but that the driver is presented unexpectedly with a situation which it is impossible to avoid. In Bennett, some 12-year-old boys had crossed against the traffic to the median on a busy highway and were fidgeting as they waited to cross the remainder of the highway. The boys dashed out against the light in front of the defendant driver. It was alleged that the driver, having seen the boys and realized the danger of their position, should have foreseen their actions and proceeded at a slower pace. The action was dismissed, and the Court of Appeal upheld the trial judge. One judge gave reasons following the Walker v. Brownlee reasoning, saying the driver had a right to expect a 12-year-old to obey traffic signals; the other two simply decided the trial judge had made no error. In Boismier, the defendant's view of the six-year old plaintiff, peddling hard on her bicycle towards him from the right, was blocked by a hedge. The evidence did not establish whether the defendant, once having seen the child, could have avoided the collision and the action was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defendants say that merely seeing children in the vicinity does not trigger a duty to slow down to a crawl or to stop one's vehicle or traffic would come to a standstill. The extra duty which comes into existence by the presence of children is triggered when the children are perceived to present a danger or a hazard. Here, there is no evidence that once the child actually became a hazard - that is, once the child did not stop at the stop sign - there was anything the driver could do. In fact, Ms. Taylor's evidence was that the accident was unavoidable at that point.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defendants do not plead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they have issued a third party notice to Ms. Brewster for failing to provide adequate supervision.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This is not a case like Gonzales where there is evidence before the court that the child was observed by the defendant in dangerous circumstances and the defendant then failed to take adequate precautions. The defendant driver said she saw the children on their bicycles on a cross street well off the street she was on. Merely seeing children on a side street does not constitute dangerous circumstances. Nor is this a case like Boismier where the defendant's evidence was that he saw the child at the last minute but did not have time to stop. Here, the defendant driver never did see the plaintiff before he struck the side of her bus. This case is more like Chohan, where, in order to support a finding of liability which had not been appealed, the court of appeal assumed the jury must have found the defendant ought to have seen the plaintiff.</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only issue is, then, whether the driver ought to have seen the child peddling towards the stop sign and paid proper attention so she could take appropriate precautions, given the unpredictability of children's behaviour.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defendant driver testified on discovery that she saw children on bicycles well off the street to her right and did not notice them again. However, I am satisfied the child was there to be seen. Given the house on the corner which blocked the view further along 88A Avenue, if the driver saw the children as she says she did, then she had to have seen them as she approached the intersection, and they could not have been more than 18 meters from the stop sign. Having seen the children at that point and continued towards the intersection, there was nothing to block her view of the plaintiff as he pedalled at full speed towards and through the stop sign. He was there to be seen and in all the circumstances, the driver should have seen him. In failing to keep her eye on the children as she approached the intersection, she is, to some degree, negligent.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is therefore necessary to deal with the counterclaim against Ms. Brewster for failing to supervise her son.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plaintiff was some distance from his home and had obviously been out of his mother's sight for more than a few minutes. His mother left him on the unfenced front lawn with the rest of the children, all of them taking turns on the neighbour child's new bicycle. She did not provide the children with any particular instructions, nor did she ensure that the plaintiff understood he was not to ride this bicycle. It is almost inevitable that he would want to try it out.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Left unattended, the plaintiff managed to cross 146th Street, travel down and reach 88A Avenue by some route, either on the bicycle himself or with the other children who were riding it. He then rode the bicycle through the intersection and into the bus. Ms. Brewster did not arrive until the child was already under the care of the ambulance attendants.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my view, his mother, though generally extremely careful with her children, should have been exercising greater care to supervise the plaintiff on this occasion, given the obvious attraction of a new bicycle and the nearby streets. She did not give him permission to ride the bicycle, but it was important that she tell him he could not do so, and could not leave the yard, given her knowledge that he would leave the yard, especially when other children were around. She knew all the children were trying out the bicycle, but she left the plaintiff unattended and unsupervised for some time, during which the accident happened. This is not simply a momentary error in judgment. I find Ms. Brewster negligent as well.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In hindsight, it would have been best if the driver, once having seen children on 88A Avenue, appreciated that they were a potential hazard even though they were doing nothing to cause immediate concern, stopped the bus far enough back from the intersection to assess what they were doing, and thus allowed the plaintiff to pedal unimpeded through the intersection and across 146th Street. Such extreme caution is not required, however, and would bring traffic to a standstill. What the driver failed to do was keep an eye on the children, particularly the plaintiff, who was there to be seen, so she could react in some manner to whatever might occur. Even so, the actions of the plaintiff were extremely reckless, and the responsibility for allowing him to behave in such a dangerous fashion unfortunately falls on his mother.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all of these circumstances, I apportion liability equally between the defendants and the third party. Unless there are considerations in respect of costs of which I am unaware, the plaintiff is entitled to his costs at Scale 3 from the defendants, who are entitled to recover 50% of the costs from the third party.</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HUMPHRIES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157" style="position:absolute;z-index:2518384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43"/>
          <w:headerReference w:type="default" r:id="rId844"/>
          <w:footerReference w:type="even" r:id="rId845"/>
          <w:footerReference w:type="default" r:id="rId846"/>
          <w:headerReference w:type="first" r:id="rId847"/>
          <w:footerReference w:type="first" r:id="rId848"/>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49" w:history="1">
        <w:r>
          <w:rPr>
            <w:rFonts w:ascii="arial" w:eastAsia="arial" w:hAnsi="arial" w:cs="arial"/>
            <w:b/>
            <w:bCs/>
            <w:i/>
            <w:color w:val="0077CC"/>
            <w:kern w:val="32"/>
            <w:sz w:val="28"/>
            <w:szCs w:val="32"/>
            <w:u w:val="single"/>
            <w:shd w:val="clear" w:color="auto" w:fill="FFFFFF"/>
            <w:lang w:val="en-US" w:eastAsia="en-US" w:bidi="ar-SA"/>
          </w:rPr>
          <w:t>Cameron v. British Columbia, [2016] B.C.J. No. 334</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G.P. Weatherill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28,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22,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S161422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New Westminster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334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279</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Scott Cameron, Plaintiff, and Her Majesty the Queen in Right of British Columbia,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58" style="position:absolute;z-index:2516858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76" w:name="Keywords_26"/>
      <w:bookmarkEnd w:id="176"/>
      <w:r>
        <w:rPr>
          <w:rFonts w:ascii="arial" w:eastAsia="arial" w:hAnsi="arial" w:cs="arial"/>
          <w:b/>
          <w:color w:val="000000"/>
          <w:sz w:val="20"/>
          <w:lang w:val="en-US" w:eastAsia="en-US" w:bidi="ar-SA"/>
        </w:rPr>
        <w:t xml:space="preserve">Civil litigation — Limitation of actions — Extension, interruption, suspension and inapplicability — Expiry of limitation periods — Application by B.C. to dismiss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claim as statute-barred allowed — Claim arose from beating Cameron received while in provincial custody, after advising officers he was target for gang violence — Cameron commenced claim outside two-year limitation period, arguing he could not bring claim while at risk of returning to same institution — Cameron's circumstances not so compelling as to warrant extension of limitation period — Cameron's delay of more than three years in commencing claim resulted from personal choices — Limitations Act, ss. 3(2)(a), 6(4)(b).</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77" w:name="Case Summary_25"/>
            <w:bookmarkEnd w:id="17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B.C. for an order dismissing Cameron's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as out of time. Cameron was arrested on December 20, 2010, charged with various criminal offences, and remanded in custody to the North Fraser Pretrial Centre. Cameron informed officers he was a high-ranking gang member, and that he anticipated conflicts with members of rival gangs also incarcerated there. He asked to be segregated from certain persons he identified by name. On February 5, 2011, Cameron was swarmed, assaulted and stabbed by some rival gang members in plain view of the NFPC's security bubble and cameras. No employee intervened to stop the assault or assist Cameron, who sustained significant, life-threatening injuries. He was released on bail the next day and was free in the community for the next two years. He did not breach any of his bail conditions. On the day of his release, Cameron spoke to his lawyer about filing a lawsuit against the NFPC and its staff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Cameron deposed his lawyer suggested that they wait until Cameron would not be returning to the NFPC before proceeding with his claim, to ensure the lawsuit was not used against him, compromising his personal safety. After his criminal trial, Cameron had to retain new counsel, as his lawyer left defence practice. Cameron also left the drug world and turned his life around. He lost his source of income from illegal drug activity, and was therefore obliged to seek legal aid funding for criminal matters. He had two different lawyers during the sentencing process. While serving the seven-year sentence imposed, Cameron retained Grace to represent him in the present case. His claim was filed May 27, 2014. Cameron conceded that the limitation period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two years.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78" w:name="Holdings of Court_22"/>
            <w:bookmarkEnd w:id="178"/>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Cameron's claim was dismissed. Cameron's circumstances were not so serious, significant and compelling as to warrant an extension of the limitation period for commencing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The choices Cameron made were matters of his personal priorities. He could have engaged a lawyer while he was on bail for two years. He could have filed his claim and waited to serve it until he was transferred out of the provincial system and into the federal system. He could have applied to have the names of the parties made anonymous, or to be transferred to a provincial facility other than NFPC while he awaited sentencing. There was no medical evidence to suggest his stressors were overwhelming. He was under no misapprehension about his right to bring a claim.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79" w:name="Legislation Cited_17"/>
      <w:bookmarkEnd w:id="17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59" style="position:absolute;z-index:2517370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Civil Rules, Rule 9-6(4), Rule 9-6(5)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Canadian Charter of Rights and Freedoms, 1982, R.S.C. 1985, App. II, No. 44, Schedule B, s. 7, s. 12, s. 24, s. 24(1)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Criminal Code, </w:t>
      </w:r>
      <w:hyperlink r:id="rId850"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CHAPTER 266, s. 3(2)(a), s. 6(4)(b)</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0" w:name="Counsel_26"/>
      <w:bookmarkEnd w:id="18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0" style="position:absolute;z-index:25178828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Appearing on his own behalf: S. Cameron.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P.D. Ameerali.</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1" w:name="Judgment_26"/>
      <w:bookmarkEnd w:id="181"/>
      <w:r>
        <w:pict>
          <v:line id="_x0000_s1161" style="position:absolute;z-index:25183948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2" w:name="G.P. WEATHERILL J."/>
            <w:bookmarkEnd w:id="182"/>
            <w:r>
              <w:rPr>
                <w:rFonts w:ascii="arial" w:eastAsia="arial" w:hAnsi="arial" w:cs="arial"/>
                <w:b/>
                <w:color w:val="000000"/>
                <w:sz w:val="30"/>
                <w:lang w:val="en-US" w:eastAsia="en-US" w:bidi="ar-SA"/>
              </w:rPr>
              <w:t>G.P. WEATHERILL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defendant seeks an order dismissing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because it was not commenced within the two-year limitation period contemplated by s. 3(2)(a)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act the parties agree applies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plaintiff opposes the application on the basis that the commencement of the two-year limitation period was postponed. He relies on s. 6(4)(b)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reasons that follow, the defendant's application is allowed and the plaintiff's claim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Previous Orders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This matter came on before Justice Bracken on November 17, 2015, who adjourned the matter to the Victoria registry for a full-day hearing to be heard not later than January 29, 2016. The adjournment was made peremptory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is 39 years of age. He has spent the majority of his life in the drug underworld, associating with society's criminal element.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On December 20, 2010, he was arrested for various offences under the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w:t>
      </w:r>
      <w:hyperlink r:id="rId850" w:history="1">
        <w:r>
          <w:rPr>
            <w:rFonts w:ascii="arial" w:eastAsia="arial" w:hAnsi="arial" w:cs="arial"/>
            <w:i/>
            <w:color w:val="0077CC"/>
            <w:sz w:val="20"/>
            <w:u w:val="single"/>
            <w:shd w:val="clear" w:color="auto" w:fill="FFFFFF"/>
            <w:lang w:val="en-US" w:eastAsia="en-US" w:bidi="ar-SA"/>
          </w:rPr>
          <w:t>R.S.C. 1985, c. C-46</w:t>
        </w:r>
      </w:hyperlink>
      <w:r>
        <w:rPr>
          <w:rFonts w:ascii="arial" w:eastAsia="arial" w:hAnsi="arial" w:cs="arial"/>
          <w:color w:val="000000"/>
          <w:sz w:val="20"/>
          <w:lang w:val="en-US" w:eastAsia="en-US" w:bidi="ar-SA"/>
        </w:rPr>
        <w:t>, and was remanded in custody to the North Fraser Pretrial Centre ("NFPC") in Port Coquitlam. NFPC is operated and staffed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his arrival at NFPC, the plaintiff informed the classifications officer that he was a high-ranking member of the Empire street gang. He anticipated he would have conflicts with members of rival gangs who may be incarcerated at NFPC, including the Red Scorpions and Independent Soldiers gangs.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plaintiff gave the classification officer the names of gang members he knew were or soon would be in custody at NFPC and asked to be separated from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On February 5, 2011, members of rival gangs who were incarcerated at NFPC swarmed, assaulted and stabbed the plaintiff (the "Assault"). The Assault took place in plain view of NFPC's security bubble and cameras; however, no employee of the NFPC intervened to stop the Assault or assist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There is no debate that the plaintiff received significant and life-threatening injuries in the Assault.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He was released on bail the following day, February 6, 2011. For the next two years, he was free in the community under the terms of his bail. There is no evidence or suggestion that he breached any bail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On February 8, 2011, he spoke to the lawyer he had earlier retained on the criminal matters for which he was incarcerated. They discussed filing a lawsuit against the NFPC and its staff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deposed in his affidavit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Shortly after my release, I spoke to my lawyer at the time, Alan Ip ("Mr. Ip"), about my desire to bring a lawsuit against [NFPC] in relation to the Assault. Among other things, we discussed the timing of filing the claim, and in particular, whether it would be a good idea to wait until I was completely free of [NFPC] before proceeding with 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deposed that he was concerned that if returned to NFPC he would be a target for further violence from the inmates who had attacked him or their friends and/or their associates. The plaintiff and Mr. Ip discussed him having to rely on NFPC staff members to house him in a safe unit and ensure his safety more generally.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plaintiff says he knew that at some point in the future he would likely be returning to NFPC. If so, he was concerned he would be placed into involuntary segregation or would be forced to assign himself into protective custody. If he was transferred to another provincial facility prior to being processed into the federal correctional system, he would be isolated from his friends, family and community support system. He was also seriously concerned that if he checked himself into protective custody at NFPC, he would be known by the inmate population at all institutions as a "hideout" and would become a target for further violence from other inmates.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 deposed that Mr. Ip suggested he wait until he would not be returning to NFPC before proceeding with his claim against the defendant. The plaintiff thought that if he was returned to NFPC, it would be important for him to cultivate a good relationship with NFPC staff so they would be willing to make safe non-protective custody arrangements for him. If he were to be placed in NFPC with a lawsuit against it pending, he felt his personal safety would be in jeopardy.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plaintiff's criminal charges proceeded to trial in August 2012. On January 28, 2013, the plaintiff was found guilty of a number of </w:t>
      </w:r>
      <w:r>
        <w:rPr>
          <w:rFonts w:ascii="arial" w:eastAsia="arial" w:hAnsi="arial" w:cs="arial"/>
          <w:i/>
          <w:color w:val="000000"/>
          <w:sz w:val="20"/>
          <w:lang w:val="en-US" w:eastAsia="en-US" w:bidi="ar-SA"/>
        </w:rPr>
        <w:t>Criminal Code</w:t>
      </w:r>
      <w:r>
        <w:rPr>
          <w:rFonts w:ascii="arial" w:eastAsia="arial" w:hAnsi="arial" w:cs="arial"/>
          <w:color w:val="000000"/>
          <w:sz w:val="20"/>
          <w:lang w:val="en-US" w:eastAsia="en-US" w:bidi="ar-SA"/>
        </w:rPr>
        <w:t xml:space="preserve"> offences. Mr. Ip represented him throughout these proceedings. However, following the plaintiff's conviction, Mr. Ip informed him that he was closing his practice as a defence lawyer. Mr. Ip had accepted a job as Crown counsel and could no longer represent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As a result, the plaintiff sought new counsel for his sentencing hearing and his proposed lawsuit against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Between his release on bail and when he returned to custody on February 15, 2013, the plaintiff was living in the community. During this time, he decided to withdraw from his life of crime, drugs and gang association.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He sought the assistance of Dr. Melamed, a family physician with a special interest in addiction medicine and pain management. Dr. Melamed began counselling the plaintiff on June 21, 2011, and became his drug addiction physician. She started him on heroin replacement therapy. The therapy ultimately proved successful and the plaintiff is no longer addicted to drugs. He remained in Dr. Melamed's care until he returned to custody on February 15,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On February 12, 2013, Dr. Melamed authored a letter of reference positively commenting on the plaintiff's successful rehabilitation from drugs. She stated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Scott is quiet, respectful and compliant with treatment in all respects. Based on my observations, I do not believe that Scott represents any danger to the community.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addition to dealing with his drug addiction issues, the plaintiff made drastic changes in his previously violent, gang- and drug-related criminal lifestyle. He renounced that environment in favour of becoming a productive member of society. Leaving the drug world is not something that is well tolerated and he feared for his safety. He went from living a lavish lifestyle to sleeping on the floor. He also ended an extremely toxic relationship with a female drug addict. As a result of completely reprogramming and rethinking his life choices, he reconnected with his family and faith as a Jehovah's Witness.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a result of losing his "source of income" from illegal drug activity, he was unable to pay lawyer's fees. After much effort, he managed to secure legal aid funding for his criminal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his conviction on January 28, 2013, the plaintiff retained Mr. Westell to represent him at a sentencing hearing. After Mr. Westell appeared for the plaintiff in court on a few occasions, he withdrew due to a conflict. The plaintiff then retained his third lawyer, Mr. Glouberman, who represented him at his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was sentenced to seven years' incarceration.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June 2013, while incarcerated in the federal corrections system, the plaintiff and his father discussed bringing a claim against the defendant. In September 2013, he retained Ms. Tonia Grace to represent him. Ms. Grace filed the notice of civil claim in this action on May 27,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 and Application to Dismiss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The claim against the defendant is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allegation is that the defendant's staff at NFPC failed to take reasonable care to ensure that the plaintiff would be safe while in its custody.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Initially, the plaintiff took the position that his claim was not for damages for personal injury but rather damages pursuant to s. 24 of the </w:t>
      </w:r>
      <w:r>
        <w:rPr>
          <w:rFonts w:ascii="arial" w:eastAsia="arial" w:hAnsi="arial" w:cs="arial"/>
          <w:i/>
          <w:color w:val="000000"/>
          <w:sz w:val="20"/>
          <w:lang w:val="en-US" w:eastAsia="en-US" w:bidi="ar-SA"/>
        </w:rPr>
        <w:t>Canadian Charter of Rights and Freedoms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seeking compensation, vindication and deterrence, which operates in a different fashion than personal injury damages. He alleged that because his claim was constitutional in nature, it was not tortious, contractual or a breach of statutory duty, within the meaning of s. 3(2)(a)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Although framed as an action under the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for breaches of ss. 7, 12 and 24(1), the plaintiff acknowledges that in reality his claim is for damages for personal injuries. The plaintiff seeks general damages, aggravated damages, exemplary damages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plaintiff has now formally abandoned his </w:t>
      </w:r>
      <w:r>
        <w:rPr>
          <w:rFonts w:ascii="arial" w:eastAsia="arial" w:hAnsi="arial" w:cs="arial"/>
          <w:i/>
          <w:color w:val="000000"/>
          <w:sz w:val="20"/>
          <w:lang w:val="en-US" w:eastAsia="en-US" w:bidi="ar-SA"/>
        </w:rPr>
        <w:t>Charter</w:t>
      </w:r>
      <w:r>
        <w:rPr>
          <w:rFonts w:ascii="arial" w:eastAsia="arial" w:hAnsi="arial" w:cs="arial"/>
          <w:color w:val="000000"/>
          <w:sz w:val="20"/>
          <w:lang w:val="en-US" w:eastAsia="en-US" w:bidi="ar-SA"/>
        </w:rPr>
        <w:t xml:space="preserve"> argument.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 xml:space="preserve">The </w:t>
      </w:r>
      <w:r>
        <w:rPr>
          <w:rFonts w:ascii="arial" w:eastAsia="arial" w:hAnsi="arial" w:cs="arial"/>
          <w:b/>
          <w:i/>
          <w:color w:val="000000"/>
          <w:sz w:val="20"/>
          <w:u w:val="single"/>
          <w:lang w:val="en-US" w:eastAsia="en-US" w:bidi="ar-SA"/>
        </w:rPr>
        <w:t>Limitation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The parties agree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governs this claim. The plaintiff concedes that the limitation period is two years and that unless postponed under s. 6(4)(b)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his claim against the defendant became statute barred on February 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relevant portions of section 6(4)(b) provide:</w:t>
      </w:r>
      <w:r>
        <w:rPr>
          <w:rFonts w:ascii="arial" w:eastAsia="arial" w:hAnsi="arial" w:cs="arial"/>
          <w:sz w:val="20"/>
          <w:lang w:val="en-US" w:eastAsia="en-US" w:bidi="ar-SA"/>
        </w:rPr>
        <w:cr/>
      </w:r>
    </w:p>
    <w:p>
      <w:pPr>
        <w:numPr>
          <w:numId w:val="50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Novak v. Bond</w:t>
      </w:r>
      <w:r>
        <w:rPr>
          <w:rFonts w:ascii="arial" w:eastAsia="arial" w:hAnsi="arial" w:cs="arial"/>
          <w:color w:val="000000"/>
          <w:sz w:val="20"/>
          <w:lang w:val="en-US" w:eastAsia="en-US" w:bidi="ar-SA"/>
        </w:rPr>
        <w:t xml:space="preserve">, </w:t>
      </w:r>
      <w:hyperlink r:id="rId851" w:history="1">
        <w:r>
          <w:rPr>
            <w:rFonts w:ascii="arial" w:eastAsia="arial" w:hAnsi="arial" w:cs="arial"/>
            <w:i/>
            <w:color w:val="0077CC"/>
            <w:sz w:val="20"/>
            <w:u w:val="single"/>
            <w:shd w:val="clear" w:color="auto" w:fill="FFFFFF"/>
            <w:lang w:val="en-US" w:eastAsia="en-US" w:bidi="ar-SA"/>
          </w:rPr>
          <w:t>[1999] 1 S.C.R. 808</w:t>
        </w:r>
      </w:hyperlink>
      <w:r>
        <w:rPr>
          <w:rFonts w:ascii="arial" w:eastAsia="arial" w:hAnsi="arial" w:cs="arial"/>
          <w:color w:val="000000"/>
          <w:sz w:val="20"/>
          <w:lang w:val="en-US" w:eastAsia="en-US" w:bidi="ar-SA"/>
        </w:rPr>
        <w:t xml:space="preserve">, is the leading case on s. 6(4)(b)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There, the Supreme Court of Canada ruled that the question that must be asked under s. 6(4)(b) is, "in light of his or her own particular circumstances and interests, at what point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the plaintiff reasonably have brought an action?" (at para. 39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Court emphasises the word "could" as opposed to "should". The test that the Supreme Court adopted is found in para. 81 of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 [Section] 6(4)(b) may be read as denoting a time at which a reasonable person would consider that someone in the plaintiff's position, acting reasonably in light of his or her own circumstances and interests, </w:t>
      </w:r>
      <w:r>
        <w:rPr>
          <w:rFonts w:ascii="arial" w:eastAsia="arial" w:hAnsi="arial" w:cs="arial"/>
          <w:i/>
          <w:color w:val="000000"/>
          <w:sz w:val="20"/>
          <w:lang w:val="en-US" w:eastAsia="en-US" w:bidi="ar-SA"/>
        </w:rPr>
        <w:t>could</w:t>
      </w:r>
      <w:r>
        <w:rPr>
          <w:rFonts w:ascii="arial" w:eastAsia="arial" w:hAnsi="arial" w:cs="arial"/>
          <w:color w:val="000000"/>
          <w:sz w:val="20"/>
          <w:lang w:val="en-US" w:eastAsia="en-US" w:bidi="ar-SA"/>
        </w:rPr>
        <w:t xml:space="preserve"> - not necessarily </w:t>
      </w:r>
      <w:r>
        <w:rPr>
          <w:rFonts w:ascii="arial" w:eastAsia="arial" w:hAnsi="arial" w:cs="arial"/>
          <w:i/>
          <w:color w:val="000000"/>
          <w:sz w:val="20"/>
          <w:lang w:val="en-US" w:eastAsia="en-US" w:bidi="ar-SA"/>
        </w:rPr>
        <w:t>should</w:t>
      </w:r>
      <w:r>
        <w:rPr>
          <w:rFonts w:ascii="arial" w:eastAsia="arial" w:hAnsi="arial" w:cs="arial"/>
          <w:color w:val="000000"/>
          <w:sz w:val="20"/>
          <w:lang w:val="en-US" w:eastAsia="en-US" w:bidi="ar-SA"/>
        </w:rPr>
        <w:t xml:space="preserve"> - bring an action. This approach is neither purely subjective nor purely objective. The question becomes: "in light of his or her own circumstances and interests, at what point could the plaintiff reasonably have brought an action?" The reasonable person would only consider that the plaintiff could not have brought an action at the time the right to do so first arose if the plaintiff's own interests and circumstances were serious, significant, and compelling. Purely tactical considerations have no place in this analysis. In my view, this approach best accords with the purposes of modern limitations statutes, gives a sensible meaning to the terms of s. 6(4)(b), and is most likely to result in clear and fair results in the majority of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This test was considered in </w:t>
      </w:r>
      <w:r>
        <w:rPr>
          <w:rFonts w:ascii="arial" w:eastAsia="arial" w:hAnsi="arial" w:cs="arial"/>
          <w:i/>
          <w:color w:val="000000"/>
          <w:sz w:val="20"/>
          <w:lang w:val="en-US" w:eastAsia="en-US" w:bidi="ar-SA"/>
        </w:rPr>
        <w:t>Kemp v. Metzner</w:t>
      </w:r>
      <w:r>
        <w:rPr>
          <w:rFonts w:ascii="arial" w:eastAsia="arial" w:hAnsi="arial" w:cs="arial"/>
          <w:color w:val="000000"/>
          <w:sz w:val="20"/>
          <w:lang w:val="en-US" w:eastAsia="en-US" w:bidi="ar-SA"/>
        </w:rPr>
        <w:t xml:space="preserve"> </w:t>
      </w:r>
      <w:hyperlink r:id="rId852" w:history="1">
        <w:r>
          <w:rPr>
            <w:rFonts w:ascii="arial" w:eastAsia="arial" w:hAnsi="arial" w:cs="arial"/>
            <w:i/>
            <w:color w:val="0077CC"/>
            <w:sz w:val="20"/>
            <w:u w:val="single"/>
            <w:shd w:val="clear" w:color="auto" w:fill="FFFFFF"/>
            <w:lang w:val="en-US" w:eastAsia="en-US" w:bidi="ar-SA"/>
          </w:rPr>
          <w:t>(1998), 56 B.C.L.R. (3d) 133</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Cowen v. Gray</w:t>
      </w:r>
      <w:r>
        <w:rPr>
          <w:rFonts w:ascii="arial" w:eastAsia="arial" w:hAnsi="arial" w:cs="arial"/>
          <w:color w:val="000000"/>
          <w:sz w:val="20"/>
          <w:lang w:val="en-US" w:eastAsia="en-US" w:bidi="ar-SA"/>
        </w:rPr>
        <w:t xml:space="preserve">, </w:t>
      </w:r>
      <w:hyperlink r:id="rId853" w:history="1">
        <w:r>
          <w:rPr>
            <w:rFonts w:ascii="arial" w:eastAsia="arial" w:hAnsi="arial" w:cs="arial"/>
            <w:i/>
            <w:color w:val="0077CC"/>
            <w:sz w:val="20"/>
            <w:u w:val="single"/>
            <w:shd w:val="clear" w:color="auto" w:fill="FFFFFF"/>
            <w:lang w:val="en-US" w:eastAsia="en-US" w:bidi="ar-SA"/>
          </w:rPr>
          <w:t>2001 BCSC 487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Fidler v. Forensic Psychiatric Institute</w:t>
      </w:r>
      <w:r>
        <w:rPr>
          <w:rFonts w:ascii="arial" w:eastAsia="arial" w:hAnsi="arial" w:cs="arial"/>
          <w:color w:val="000000"/>
          <w:sz w:val="20"/>
          <w:lang w:val="en-US" w:eastAsia="en-US" w:bidi="ar-SA"/>
        </w:rPr>
        <w:t xml:space="preserve">, </w:t>
      </w:r>
      <w:hyperlink r:id="rId854" w:history="1">
        <w:r>
          <w:rPr>
            <w:rFonts w:ascii="arial" w:eastAsia="arial" w:hAnsi="arial" w:cs="arial"/>
            <w:i/>
            <w:color w:val="0077CC"/>
            <w:sz w:val="20"/>
            <w:u w:val="single"/>
            <w:shd w:val="clear" w:color="auto" w:fill="FFFFFF"/>
            <w:lang w:val="en-US" w:eastAsia="en-US" w:bidi="ar-SA"/>
          </w:rPr>
          <w:t>2015 BCSC 1241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Kemp,</w:t>
      </w:r>
      <w:r>
        <w:rPr>
          <w:rFonts w:ascii="arial" w:eastAsia="arial" w:hAnsi="arial" w:cs="arial"/>
          <w:color w:val="000000"/>
          <w:sz w:val="20"/>
          <w:lang w:val="en-US" w:eastAsia="en-US" w:bidi="ar-SA"/>
        </w:rPr>
        <w:t xml:space="preserve"> a dentist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another dentist who performed oral surgery on her. Her action was brought outside the two-year limitation period and sought to invoke the postponement provisions of s. 6(4)(b)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on the basis of fear of jeopardizing her treatment if word got out that she was suing a fellow dentist. Justice Humphries did not accede to her argument, stating at paras. 19 and 20: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[19] The plaintiff's argument is based on the notion that, for fear of jeopardizing her treatment, she should not be required to commence an action against a professional practitioner while undergoing treatment from another practitioner who carries on business in another country. Even if the plaintiff thought there was some validity to the notion that all competent orthodontists in Washington and British Columbia will ignore their ethical obligations when faced with a law suit against one of their profession, she should, as a member of the dental profession herself, have made some investigation of this.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[20] To allow postponement of a limitation period in these circumstances would put an inordinate amount of power in the hands of a plaintiff and would be extremely prejudicial to the ability of potential defendants to mount a defence, as many years could go by without their having any knowledge that an action was pending against them. None of the cases referred to would go so far, the </w:t>
      </w:r>
      <w:r>
        <w:rPr>
          <w:rFonts w:ascii="arial" w:eastAsia="arial" w:hAnsi="arial" w:cs="arial"/>
          <w:i/>
          <w:color w:val="000000"/>
          <w:sz w:val="20"/>
          <w:lang w:val="en-US" w:eastAsia="en-US" w:bidi="ar-SA"/>
        </w:rPr>
        <w:t>Karsanjii</w:t>
      </w:r>
      <w:r>
        <w:rPr>
          <w:rFonts w:ascii="arial" w:eastAsia="arial" w:hAnsi="arial" w:cs="arial"/>
          <w:color w:val="000000"/>
          <w:sz w:val="20"/>
          <w:lang w:val="en-US" w:eastAsia="en-US" w:bidi="ar-SA"/>
        </w:rPr>
        <w:t xml:space="preserve"> </w:t>
      </w:r>
      <w:hyperlink r:id="rId855" w:history="1">
        <w:r>
          <w:rPr>
            <w:rFonts w:ascii="arial" w:eastAsia="arial" w:hAnsi="arial" w:cs="arial"/>
            <w:i/>
            <w:color w:val="0077CC"/>
            <w:sz w:val="20"/>
            <w:u w:val="single"/>
            <w:shd w:val="clear" w:color="auto" w:fill="FFFFFF"/>
            <w:lang w:val="en-US" w:eastAsia="en-US" w:bidi="ar-SA"/>
          </w:rPr>
          <w:t>[1990] B.C.J. No. 279</w:t>
        </w:r>
      </w:hyperlink>
      <w:r>
        <w:rPr>
          <w:rFonts w:ascii="arial" w:eastAsia="arial" w:hAnsi="arial" w:cs="arial"/>
          <w:color w:val="000000"/>
          <w:sz w:val="20"/>
          <w:lang w:val="en-US" w:eastAsia="en-US" w:bidi="ar-SA"/>
        </w:rPr>
        <w:t xml:space="preserve"> case dealing with an action against the treating physician himself, and the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case dealing with a woman who, having had her cancer misdiagnosed, reasonably, in the court's view, chose to devote herself to recovering her health while in remission, only suing when the cancer recurred.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Cowen</w:t>
      </w:r>
      <w:r>
        <w:rPr>
          <w:rFonts w:ascii="arial" w:eastAsia="arial" w:hAnsi="arial" w:cs="arial"/>
          <w:color w:val="000000"/>
          <w:sz w:val="20"/>
          <w:lang w:val="en-US" w:eastAsia="en-US" w:bidi="ar-SA"/>
        </w:rPr>
        <w:t xml:space="preserve"> involved a claim of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plaintiff's family doctor. The doctor prescribed the plaintiff Gravol, which she combined with alcohol, causing her to lose consciousness while driving. She suffered significant injuries as a result, including post-concussion syndrome, severe memory loss with black outs, chronic pain syndrome and major depression. Her action was also brought out of time. Justice Drost considered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and emphasised that the question is when "could" the plaintiff have brought the action, which is distinct from when "should" the plaintiff bring an action. At paras. 52 and 53 he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[52] Notwithstanding that Ms. Cowen suffered from a mental disability (loss of short term memory) as well as several physical illness, I am unable to find that her circumstances meet the requirements of s. 6(4)(b). While I accept that she suffered considerable pain and discomfort in the years following the accident, her interests and circumstances were not so "serious, significant, and compelling" as to warrant the postponement of the running of time until February 10, 1998.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[53] At no time was her hold on life "tenuous", either physically or mentally. The costs and strains of litigation would likely have been difficult for her, but there is no evidence to suggest they would have been "overwhelming". Nor do I believe that her circumstances combined to make it "unfeasible" for her to initiate an action earlier than she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Fidler</w:t>
      </w:r>
      <w:r>
        <w:rPr>
          <w:rFonts w:ascii="arial" w:eastAsia="arial" w:hAnsi="arial" w:cs="arial"/>
          <w:color w:val="000000"/>
          <w:sz w:val="20"/>
          <w:lang w:val="en-US" w:eastAsia="en-US" w:bidi="ar-SA"/>
        </w:rPr>
        <w:t xml:space="preserve"> was also a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that was commenced outside the two-year limitation period. The plaintiff applied under s. 6(4)(b) for a postponement of time for the commencement of the limitation period. He applied on the basis that he was required to focus on conducting his own defence in unrelated but concurrent criminal proceedings, which limited his ability to initiate the claim. After reviewing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Justice D.C. Harris found: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[76] The plaintiff has not directly raised any factors or circumstances which could lead him to conclude that he ought not bring an action. In his submissions, he makes reference to the necessity of conducting his own defence in his concurrent criminal proceedings as a factor that limited his ability to initiate his claim. I consider this situation to be similar to the circumstances in </w:t>
      </w:r>
      <w:r>
        <w:rPr>
          <w:rFonts w:ascii="arial" w:eastAsia="arial" w:hAnsi="arial" w:cs="arial"/>
          <w:i/>
          <w:color w:val="000000"/>
          <w:sz w:val="20"/>
          <w:lang w:val="en-US" w:eastAsia="en-US" w:bidi="ar-SA"/>
        </w:rPr>
        <w:t>Stewart</w:t>
      </w:r>
      <w:r>
        <w:rPr>
          <w:rFonts w:ascii="arial" w:eastAsia="arial" w:hAnsi="arial" w:cs="arial"/>
          <w:color w:val="000000"/>
          <w:sz w:val="20"/>
          <w:lang w:val="en-US" w:eastAsia="en-US" w:bidi="ar-SA"/>
        </w:rPr>
        <w:t xml:space="preserve">, </w:t>
      </w:r>
      <w:hyperlink r:id="rId856" w:history="1">
        <w:r>
          <w:rPr>
            <w:rFonts w:ascii="arial" w:eastAsia="arial" w:hAnsi="arial" w:cs="arial"/>
            <w:i/>
            <w:color w:val="0077CC"/>
            <w:sz w:val="20"/>
            <w:u w:val="single"/>
            <w:shd w:val="clear" w:color="auto" w:fill="FFFFFF"/>
            <w:lang w:val="en-US" w:eastAsia="en-US" w:bidi="ar-SA"/>
          </w:rPr>
          <w:t>[2014] B.C.J. No. 735</w:t>
        </w:r>
      </w:hyperlink>
      <w:r>
        <w:rPr>
          <w:rFonts w:ascii="arial" w:eastAsia="arial" w:hAnsi="arial" w:cs="arial"/>
          <w:color w:val="000000"/>
          <w:sz w:val="20"/>
          <w:lang w:val="en-US" w:eastAsia="en-US" w:bidi="ar-SA"/>
        </w:rPr>
        <w:t xml:space="preserve"> where the plaintiff sought postponement of a limitation period because he was engaged in pursuing a sentence appeal, in custody for significant periods, and did not fully understand the procedural nature of his case (at para. 135). In that case, Mr. Justice Walker held that "[n]one of the reasons or excuses [the plaintiff] has provided amount to serious, significant, and compelling circumstances' as described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(at para. 138).</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[77] I do not consider the plaintiff's involvement in his concurrent criminal proceedings to be serious, significant and compelling circumstances which would lead a reasonable person to conclude that he could not reasonably bring an action. The plaintiff was familiar with the legal system. He has consistently refused the assistance of counsel and conducts his own proceedings, evidently with some success. He was not under any misapprehension about his right to bring his claim before the court, and he was aware of the actions that gave rise to his claim.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[80] However, the facts of this case do not lead to the same conclusion as those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the commencement of a malpractice lawsuit would have been directly contrary to the plaintiff's ongoing attempt to remain positive in her fight against cancer. In this case Mr. Fidler has not argued, nor does the evidence suggest, that avoiding his current action was a necessary component to his recovery from the alleged ill effects of his stays at the FPI. While Mr. Fidler may have decided, for health reasons, to leave British Columbia for a time following his release from the FPI in 2007, there is no evidence that suggests that initiating this claim would have been counterproductive to aim of restoring his health.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defendant brings this application under the summary judgment provisions of Rule 9-6(4) and (5)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The defendant argues that the plaintiff's claim is statute barred by the two-year limitation period set out in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Save for his argument that the commencement of the two-year limitation period was postponed until he had been transferred from the provincial corrections system to the federal corrections system, the plaintiff has abandoned all other arguments, including that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does not apply to his claim or that the limitation period is six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basis of the plaintiff's claim that his own interests and circumstances were serious, significant, and compelling and therefore fall within the requirements of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assaulted while incarcerated as a provincial prisoner. Even though he was granted bail from February 6, 2011 to February 15, 2013, he knew it was very likely he would return to provincial custody before his sentencing. He felt it was important to his safety that he avoid signing into protective custody, given that the protective custody label would travel with him from institution to institution, making him a target of violence by inmates wherever he was. He also knew that he had to cultivate a good relationship with the corrections officers who were charged with keeping him safe. Therefore, it was not safe for him to file a claim until he was completely free of provincial custody, sentenced and transferred to federal custody.</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his high-profile gang status, assaults by inmates who were members of rival gangs, such as the Red Scorpions and Independent Soldiers, were of particular concern.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followed Mr. Ip's February 8, 2011 advice that he should defer his suit against the defendant until he was free from the provincial corrections system, because starting the action earlier would put him at significant risk of violence from other inmates. Fear of being placed into the same area as rival gangs gave him real and genuine concern for his physical safety and he wanted to keep a low profile.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had never represented himself in civil court and did not have the educational background to adequately do so.</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very clear to the plaintiff that he would be returned to NFPC if his bail was revoked or if he was convicted of the charges against him. Requesting a transfer to another provincial institution while awaiting trial or sentencing was not an option because he would be removed from his family, friends and support network.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 says that for these reasons, he had no choice but to wait until June 2013, when he was free from provincial custody, to commence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Relying on s. 6(4)(b) of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the plaintiff urges the Court to postpone the commencement of the two-year limitation period to sometime after May 27, 2012. This would bring the commencement of the action within the two-year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burden of proving "serious, significant, and compelling" circumstances is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Section 6(4)(b) requires the court to adopt the perspective of a reasonable person who knows the facts that are within the plaintiff's knowledge and has taken the appropriate advice a reasonable person would seek on those facts: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at para. 81. Time does not begin to run until this reasonable person would conclude that someone in the plaintiff's position </w:t>
      </w:r>
      <w:r>
        <w:rPr>
          <w:rFonts w:ascii="arial" w:eastAsia="arial" w:hAnsi="arial" w:cs="arial"/>
          <w:color w:val="000000"/>
          <w:sz w:val="20"/>
          <w:u w:val="single"/>
          <w:lang w:val="en-US" w:eastAsia="en-US" w:bidi="ar-SA"/>
        </w:rPr>
        <w:t>could</w:t>
      </w:r>
      <w:r>
        <w:rPr>
          <w:rFonts w:ascii="arial" w:eastAsia="arial" w:hAnsi="arial" w:cs="arial"/>
          <w:color w:val="000000"/>
          <w:sz w:val="20"/>
          <w:lang w:val="en-US" w:eastAsia="en-US" w:bidi="ar-SA"/>
        </w:rPr>
        <w:t>, acting reasonably in light of his or her own circumstances and interests, bring an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plaintiff agrees that he "could" have brought the action within two years of the Assault. Indeed, he discussed bringing the action with his lawyer two days after the Assault occurred. He argues, however, that his unique circumstances bring him within the "serious, significant, and compelling" test set out in </w:t>
      </w:r>
      <w:r>
        <w:rPr>
          <w:rFonts w:ascii="arial" w:eastAsia="arial" w:hAnsi="arial" w:cs="arial"/>
          <w:i/>
          <w:color w:val="000000"/>
          <w:sz w:val="20"/>
          <w:lang w:val="en-US" w:eastAsia="en-US" w:bidi="ar-SA"/>
        </w:rPr>
        <w:t>Novak.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 do not agree.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As impressive and compelling the plaintiff's rebound from his previous criminal- and gang-related lifestyle is, he was nevertheless subject to the </w:t>
      </w:r>
      <w:r>
        <w:rPr>
          <w:rFonts w:ascii="arial" w:eastAsia="arial" w:hAnsi="arial" w:cs="arial"/>
          <w:i/>
          <w:color w:val="000000"/>
          <w:sz w:val="20"/>
          <w:lang w:val="en-US" w:eastAsia="en-US" w:bidi="ar-SA"/>
        </w:rPr>
        <w:t>Act.</w:t>
      </w:r>
      <w:r>
        <w:rPr>
          <w:rFonts w:ascii="arial" w:eastAsia="arial" w:hAnsi="arial" w:cs="arial"/>
          <w:color w:val="000000"/>
          <w:sz w:val="20"/>
          <w:lang w:val="en-US" w:eastAsia="en-US" w:bidi="ar-SA"/>
        </w:rPr>
        <w:t xml:space="preserve"> He was required to commence this proceeding within two years of the Assault, namely by February 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In my view, the choices made by the plaintiff in this case were matters of his own personal priorities. He could have commenced this action at any time after the Assault on February 5, 2011.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Firstly, he was released on bail on February 6, 2011, and was in the community for the entire two-year limitation period. While I am persuaded that the plaintiff had significant stressors in his life following his release from custody, including his efforts to remove himself from his past life of crime and overcome his extreme drug addiction, I am not persuaded that he could not have engaged a lawyer to commence the action before February 5, 2013. He had a number of options, including filing the notice of civil claim and not serving it until June 2013, when he had been transferred to the federal correctional system. He could also have applied to have the names of the parties made anonymous, or been transferred to a provincial facility other than NFPC while he awaited sentencing.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There is no medical evidence to suggest that the plaintiff's stressors or circumstances were overwhelming him to the point of meeting the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threshold.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He was under no misapprehension about his right to bring a claim. He could have brought the claim anytime between February 5, 2011 and February 5, 2013; however, he chose not to for his own personal and tactical reasons. It was a matter of choice to put this claim on hold.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In sum, the plaintiff has not satisfied me that his circumstances meet the </w:t>
      </w:r>
      <w:r>
        <w:rPr>
          <w:rFonts w:ascii="arial" w:eastAsia="arial" w:hAnsi="arial" w:cs="arial"/>
          <w:i/>
          <w:color w:val="000000"/>
          <w:sz w:val="20"/>
          <w:lang w:val="en-US" w:eastAsia="en-US" w:bidi="ar-SA"/>
        </w:rPr>
        <w:t>Novak</w:t>
      </w:r>
      <w:r>
        <w:rPr>
          <w:rFonts w:ascii="arial" w:eastAsia="arial" w:hAnsi="arial" w:cs="arial"/>
          <w:color w:val="000000"/>
          <w:sz w:val="20"/>
          <w:lang w:val="en-US" w:eastAsia="en-US" w:bidi="ar-SA"/>
        </w:rPr>
        <w:t xml:space="preserve"> test, or that the two-year limitation period should be postponed. His claim against the defendant became statute barred on February 5,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defendant's application is allowed and the plaintiff's claim is dismissed with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G.P. WEATHERILL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2" style="position:absolute;z-index:25188249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57"/>
          <w:headerReference w:type="default" r:id="rId858"/>
          <w:footerReference w:type="even" r:id="rId859"/>
          <w:footerReference w:type="default" r:id="rId860"/>
          <w:headerReference w:type="first" r:id="rId861"/>
          <w:footerReference w:type="first" r:id="rId86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63" w:history="1">
        <w:r>
          <w:rPr>
            <w:rFonts w:ascii="arial" w:eastAsia="arial" w:hAnsi="arial" w:cs="arial"/>
            <w:b/>
            <w:bCs/>
            <w:i/>
            <w:color w:val="0077CC"/>
            <w:kern w:val="32"/>
            <w:sz w:val="28"/>
            <w:szCs w:val="32"/>
            <w:u w:val="single"/>
            <w:shd w:val="clear" w:color="auto" w:fill="FFFFFF"/>
            <w:lang w:val="en-US" w:eastAsia="en-US" w:bidi="ar-SA"/>
          </w:rPr>
          <w:t>Chau v. Crawford, [2015] B.C.J. No. 2099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G.S. Funt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5,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September 30,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M131123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[2015] B.C.J. No. 2099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2015 BCSC 1756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Tai Chi Chau, Plaintiff, and Michael David Crawford, Defendant, and The Owners, Strata Plan LMS 3869, ABC Property Management Company Ltd., ABC Company Ltd. and John Doe,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(31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3" style="position:absolute;z-index:2516869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83" w:name="Keywords_27"/>
      <w:bookmarkEnd w:id="183"/>
      <w:r>
        <w:rPr>
          <w:rFonts w:ascii="arial" w:eastAsia="arial" w:hAnsi="arial" w:cs="arial"/>
          <w:b/>
          <w:color w:val="000000"/>
          <w:sz w:val="20"/>
          <w:lang w:val="en-US" w:eastAsia="en-US" w:bidi="ar-SA"/>
        </w:rPr>
        <w:t xml:space="preserve">Workplace health, safety and compensation law — Workers' compensation — Legislation — Effect of statute on other causes of action — Application by Strata Corporation to stay third party proceedings pending issuance of s. 257 certificate allowed — Plaintiff was washing townhouse complex on Strata property when defendant's vehicle collided with equipment, causing plaintiff to fall from ladder — Defendant alleged accident was wholly caused by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plaintiff and/or Strata — Intent underlying s. 257 was to ensure matters within Tribunal's jurisdiction were addressed prior to unnecessary duplicative steps being taken in court — Whether plaintiff was worker or Strata was employer were live issues — Any prejudice could be addressed through costs — Workers Compensation Act, s. 257.</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84" w:name="Case Summary_26"/>
            <w:bookmarkEnd w:id="18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a Strata Corporation to stay third party proceedings pending issuance of a certificate under s. 257 of the Workers Compensation Act. The plaintiff was a construction labourer who suffered serious personal injuries in a collision involving the defendant. The plaintiff was standing on a ladder, power washing a townhouse complex on the Strata Corporation's property, when the defendant's vehicle struck the plaintiff's equipment, causing him to fall from the ladder. The defendant denied the plaintiff's account, including the fact that a collision occurred. The defendant alleged that the accident was wholly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and/or the Strata Corporation. Among other things, the defendant pled the provisions of the Workers Compensation Act. The defendant sought a stay pending issuance of a certificate under the Act. The defendant opposed the relief sought. The plaintiff took no position.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85" w:name="Holdings of Court_23"/>
            <w:bookmarkEnd w:id="185"/>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intent underlying s. 257 of the Act was to ensure matters within the jurisdiction of the Act were addressed by the Tribunal before unnecessary or duplicative steps were taken in court. The Tribunal had a broad mandate with broad statutory powers and exclusive jurisdiction to fulfill that mandate. If a stay was refused, there would be concern that ongoing discoveries would yield information relevant to the Tribunal's jurisdiction, causing proceedings to become disjointed. Given issues such as whether the plaintiff was a worker at the time of the accident, and whether the Strata was his employer, greater overall efficiency would be achieved with a stay. Any prejudice could be addressed through costs.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86" w:name="Legislation Cited_18"/>
      <w:bookmarkEnd w:id="18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64" style="position:absolute;z-index:2517381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Workers Compensation Act, R.S.B.C. 1996, c. 492, s. 2(1), s. 10(1), s. 10(7), s. 254(c), s. 257, s. 257(1)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187" w:name="Counsel_27"/>
      <w:bookmarkEnd w:id="18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5" style="position:absolute;z-index:25178931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D.F. Corrin (Not appearing for this hearing).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E.C. Watson.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The Owners, Strata Plan LMS 3869: R.P. Dueckman.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88" w:name="Judgment_27"/>
      <w:bookmarkEnd w:id="188"/>
      <w:r>
        <w:pict>
          <v:line id="_x0000_s1166" style="position:absolute;z-index:25184051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89" w:name="G.S. FUNT J."/>
            <w:bookmarkEnd w:id="189"/>
            <w:r>
              <w:rPr>
                <w:rFonts w:ascii="arial" w:eastAsia="arial" w:hAnsi="arial" w:cs="arial"/>
                <w:b/>
                <w:color w:val="000000"/>
                <w:sz w:val="30"/>
                <w:lang w:val="en-US" w:eastAsia="en-US" w:bidi="ar-SA"/>
              </w:rPr>
              <w:t>G.S. FUNT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 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Owners, Strata Plan LMS 3869 (the "Strata Corporation") is a strata corporation. The Strata Corporation is a third party in these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Strata Corporation seek that the third party proceedings be stayed pending the issuance of a certificate under s. 257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492</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defendant opposes the application. The plaintiff takes no position respecting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For the reasons that follow, the stay the Strata Corporation seeks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plaintiff, a construction labourer, has sued the defendant claiming that he sustained serious personal injury as a result of a collision caused by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pleaded that on or about April 13, 2011, he was standing on a ladder power washing a townhouse complex (the Strata Corporation's strata property) when a car driven by the defendant ran over and pulled or struck the plaintiff's power washing equipment causing the plaintiff to fall from the ladder and sustain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defendant denies all of the plaintiff's key pleaded facts, including that a collision occurred. In further answer the defendant has pleaded:</w:t>
      </w:r>
      <w:r>
        <w:rPr>
          <w:rFonts w:ascii="arial" w:eastAsia="arial" w:hAnsi="arial" w:cs="arial"/>
          <w:sz w:val="20"/>
          <w:lang w:val="en-US" w:eastAsia="en-US" w:bidi="ar-SA"/>
        </w:rPr>
        <w:cr/>
      </w:r>
    </w:p>
    <w:p>
      <w:pPr>
        <w:numPr>
          <w:numId w:val="50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answer to the whole of the notice of civil claim, the defendant says that if an incident occurred at the time and place as set out in paragraph 4 of the notice of civil claim, which is not admitted but specifically denied, and if as a result thereof the plaintiff sustained any injury, loss, damage, or expense which is not admitted but specifically denied, the defendant says that the Collision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 and occurred solely as a result of, or was contributed to,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the plaintiff's employer, Strata Plan LMS 3869 (the "Strata Corp.") and/or the management company employed by the Strata Corp. The defendant is under no liability to the plaintiff whatsoever.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include, but are not limited to:</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reasonable or proper or any precautions to avoid the incident;</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take any or, in the alternative, any proper care for his own safety;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Operating and erecting the power washing equipment on a roadway when he knew or ought to have known it would be unsafe to do so;</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Running the hose of the power washer across a roadway without protecting the hose from passing vehicles;</w:t>
      </w:r>
    </w:p>
    <w:p>
      <w:pPr>
        <w:numPr>
          <w:numId w:val="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operate the power washer as recommended by the manufacturer and as set out in the operating instructions of same;</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wear protective and/or a safety harness to protect himself from injury should he lose balance or fall from the ladder;</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Failing to ensure the ladder was properly installed and secured as recommended by the manufacturer and as set out in the operating instructions of same;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report to his supervisor or employer the absence of or defect in any protective equipment, device or clothing, or the existence of any other hazard, that he considered likely to endanger him or any other person pursuant to s. 116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take reasonable care to protect his health and safety and the health and safety of other persons who may be affected by his acts or omissions at work pursuant to s. 116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carry out his work in accordance with established safe work procedures as required by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 and,</w:t>
      </w:r>
    </w:p>
    <w:p>
      <w:pPr>
        <w:numPr>
          <w:numId w:val="15"/>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ensure that his ability to work without risk to his safety was not impaired by alcohol, drugs or other causes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plaintiff's employer include, but are not limited to:</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ensure the health and safety of all workers working for the employer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provide and maintain in good condition protective equipment, devices and clothing as required by regulation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ensure that the protective equipment, devices and clothing provided and maintained by the employer were being used by the workers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provide the worker the information, instruction, training and supervision necessary to ensure the health and safety of those workers in carrying out their work and to ensure the health and safety of other workers at the workplace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take that care that in all the circumstances that is reasonable to see that a person on the premises would be reasonably safe in using the premises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c.337</w:t>
      </w:r>
      <w:r>
        <w:rPr>
          <w:rFonts w:ascii="arial" w:eastAsia="arial" w:hAnsi="arial" w:cs="arial"/>
          <w:color w:val="000000"/>
          <w:sz w:val="20"/>
          <w:lang w:val="en-US" w:eastAsia="en-US" w:bidi="ar-SA"/>
        </w:rPr>
        <w:t xml:space="preserve"> and amendments and regulations thereto.</w:t>
      </w:r>
    </w:p>
    <w:p>
      <w:pPr>
        <w:numPr>
          <w:numId w:val="2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Particulars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Strata Corp. and/ or the management company retained by the Strata Corp. include, but are not limited to:</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ensure the health and safety of all workers working for the Strata Corp. and/or the management company retained by the Strata Corp.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provide and maintain in good condition protective equipment, devices and clothing as required by regulation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ensure that the protective equipment, devices and clothing provided and maintained by the Strata Corp. and/or the management company retained by the Strata Corp. are being used by the workers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provide the worker the information, instruction, training and supervision necessary to ensure the health and safety of those workers in carrying out their work and to ensure the health and safety of other workers at the workplace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give to the Strata Corp. and/or the management company retained by the Strata Corp. or prime contractor at the workplace the information known to the Strata Corp. and/or the management company retained by the Strata Corp. that is necessary to identify and eliminate or control hazards to the health or safety of persons at the workplace, namely, the location of a safe water outlet which the plaintiff could have hooked up his power washer to, pursuant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c.492</w:t>
      </w:r>
      <w:r>
        <w:rPr>
          <w:rFonts w:ascii="arial" w:eastAsia="arial" w:hAnsi="arial" w:cs="arial"/>
          <w:color w:val="000000"/>
          <w:sz w:val="20"/>
          <w:lang w:val="en-US" w:eastAsia="en-US" w:bidi="ar-SA"/>
        </w:rPr>
        <w:t>, and amendments and regulations thereto; and,</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Failing to take that care that in all the circumstances that is reasonable to see that a person on the premises would be reasonably safe in using the premises pursuant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c.337</w:t>
      </w:r>
      <w:r>
        <w:rPr>
          <w:rFonts w:ascii="arial" w:eastAsia="arial" w:hAnsi="arial" w:cs="arial"/>
          <w:color w:val="000000"/>
          <w:sz w:val="20"/>
          <w:lang w:val="en-US" w:eastAsia="en-US" w:bidi="ar-SA"/>
        </w:rPr>
        <w:t xml:space="preserve"> and amendments and regulations thereto.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Consistent with his further answer in his response to the plaintiff's notice of civil claim, the defendant has claimed against the third parties, including the Strata Corporation.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defendant in his third party notice incorporates the facts set forth in his response to the plaintiff's notice of civil claim. The defendant in the third party notice also pleads:</w:t>
      </w:r>
      <w:r>
        <w:rPr>
          <w:rFonts w:ascii="arial" w:eastAsia="arial" w:hAnsi="arial" w:cs="arial"/>
          <w:sz w:val="20"/>
          <w:lang w:val="en-US" w:eastAsia="en-US" w:bidi="ar-SA"/>
        </w:rPr>
        <w:cr/>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ABC Property Management Company Ltd., is a property management company unknown to the Claiming Party and retained by and providing property management services for The Owners, Strata Plan LMS 3869.</w:t>
      </w:r>
    </w:p>
    <w:p>
      <w:pPr>
        <w:numPr>
          <w:numId w:val="32"/>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ABC Company Ltd., is a company unknown to the Claiming Party which was, at all material times, retained by one or both of The Owners, Strata Plan LMS 3869 and/or ABC Property Management Company Ltd. to undertake maintenance of the subject strata plan and which employed the plaintiff to carry out certain services at the townhouse complex as described in Part 1, paragraph 4 of the Notice of Civil Claim.</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third party, John Doe, is an individual unknown to the Claiming Party, who was, at all material times, retained by one or both of The Owners, Strata Plan LMS 3869 and/or ABC Property Management Company Ltd. to undertake maintenance of the subject strata plan and which employed the plaintiff to carry out certain services at the townhouse complex as described in Part 1, paragraph 4 of the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The defendant in the third party notice pleads that he relies on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i/>
          <w:color w:val="000000"/>
          <w:sz w:val="20"/>
          <w:lang w:val="en-US" w:eastAsia="en-US" w:bidi="ar-SA"/>
        </w:rPr>
        <w:t xml:space="preserv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III. 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For the application at bar, the key statutory provisions are found in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and read: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(1) This Part applies to all employers, as employers, and all workers in British Columbia except employers or workers exempted by order of the Board.</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(1) The provisions of this Part are in lieu of any right and rights of action, statutory or otherwise, founded on a breach of duty of care or any other cause of action, whether that duty or cause of action is imposed by or arises by reason of law or contract, express or implied, to which a worker, dependant or member of the family of the worker is or may be entitled against the employer of the worker, or against any employer within the scope of this Part, or against any worker, in respect of any personal injury, disablement or death arising out of and in the course of employment and no action in respect of it lies. This provision applies only when the action or conduct of the employer, the employer's servant or agent, or the worker, which caused the Breach of duty arose out of and in the course of employment within the scope of this Part. ...</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in an action brought by a worker or dependant of a worker or by the Board, it is found that the injury, disablement or death, as the case may be, was due partly to a breach of duty of care of one or more employers or workers under this Part, no damages, contributions or indemnity are recoverable for the portion of the loss or damage caused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that employer of worker; but the portion of the loss or damage caused by that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must be determined although the employer or worker is not a party to the action.</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254 The appeal tribunal [the Workers' Compensation Appeal Tribunal "WCAT"] has exclusive jurisdiction to inquire into, hear and determine all those matters and questions of fact, law and discretion arising or required to be determined under this Part and to make any order permitted to be made, including the following: ...</w:t>
      </w:r>
    </w:p>
    <w:p>
      <w:pPr>
        <w:numPr>
          <w:numId w:val="3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 matters that the appeal tribunal is requested to determine under section 257;</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an action is commenced based on ...</w:t>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personal injury, or ...</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court or a party to the action may request the appeal tribunal to make a determination under subsection (2) and to certify that determination to the court.</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subsection (1), the appeal tribunal may determine any matter that is relevant to the action and within the Board's jurisdiction under this Act, including determining whether</w:t>
      </w:r>
    </w:p>
    <w:p>
      <w:pPr>
        <w:numPr>
          <w:numId w:val="39"/>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person was, at the time the cause of action arose, a worker,</w:t>
      </w:r>
    </w:p>
    <w:p>
      <w:pPr>
        <w:numPr>
          <w:numId w:val="4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injury, disability or death of a worker arose out of, and in the course of, the worker's employment,</w:t>
      </w:r>
    </w:p>
    <w:p>
      <w:pPr>
        <w:numPr>
          <w:numId w:val="41"/>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or the employer's servant or agent was, at the time the cause of action arose, employed by another employer, or</w:t>
      </w:r>
    </w:p>
    <w:p>
      <w:pPr>
        <w:numPr>
          <w:numId w:val="42"/>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 employer was, at the time the cause of action arose, engaged in an industry within the meaning of Part 1.</w:t>
      </w:r>
    </w:p>
    <w:p>
      <w:pPr>
        <w:numPr>
          <w:numId w:val="4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This Part, except section 253 (4), applies to proceedings under this section as if the proceedings were an appeal under this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IV. THE STRATA CORPORATION'S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Strata Corporation's argument is that the claim against them by the defendant should be stayed pending a certificate issued under s. 257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which will help determine many matters relevant to the litigation (e.g. whether the plaintiff was a worker; whether the claimed injury arose in the course of employment).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With a stay pending the issuance of the s. 257 certificate, the Strata Corporation argues that the litigation will proceed more efficiently and without creating unnecessary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 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The defendant makes various arguments. First, the defendant says that the pleadings reflect aspects that are not covered by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The defendant directed the Court's attention to the pleadings related to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In a similar vein, the defendant argued that the bar to proceedings in s. 10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applies only to "employers, as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Second, the defendant says there was no evidence as to what the plaintiff's activities were at the time of the accident. In particular, there was no evidence that the plaintiff was being paid or the contractual relationship he had, if any.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Third, the defendant argued that examinations for discovery at this time would not be a waste of resources because the WCAT would be able to use the discovery transcripts (the defendant wishes that a s. 257 certificate be sought after discoveries) and in any event, the defendant could bring a motion asking to depose a representative of the Strata Corporation and to seek document production.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Fourth, the defendant argued that in all likelihood the WCAT would not investigate matters. In this regard, the defendant referred the Court to a WCAT booklet entitled "Legal Act Guide, Section 257 Certificate" in which it is stated at p. 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MUST I PROVIDE TO WCAT TO OBTAIN A SECTION </w:t>
      </w:r>
      <w:r>
        <w:rPr>
          <w:rFonts w:ascii="arial" w:eastAsia="arial" w:hAnsi="arial" w:cs="arial"/>
          <w:i/>
          <w:color w:val="000000"/>
          <w:sz w:val="20"/>
          <w:lang w:val="en-US" w:eastAsia="en-US" w:bidi="ar-SA"/>
        </w:rPr>
        <w:t>257</w:t>
      </w:r>
      <w:r>
        <w:rPr>
          <w:rFonts w:ascii="arial" w:eastAsia="arial" w:hAnsi="arial" w:cs="arial"/>
          <w:color w:val="000000"/>
          <w:sz w:val="20"/>
          <w:lang w:val="en-US" w:eastAsia="en-US" w:bidi="ar-SA"/>
        </w:rPr>
        <w:t xml:space="preserve"> CERTIFICATE?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addition to the application documents and information that you give to us, you will need to make submissions that clearly identify the issues, set out the factual background, and provide all the evidence and argument necessary for WCAT to consider the issues.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we have the right to seek additional evidence, please do not assume that we will investigate further. Ensure that you provide us with all relevant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Fifth, the defendant says that any prejudice occasioned to the Strata Corporation could be addressed by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Dominion Canners Ltd. v. Costanza</w:t>
      </w:r>
      <w:r>
        <w:rPr>
          <w:rFonts w:ascii="arial" w:eastAsia="arial" w:hAnsi="arial" w:cs="arial"/>
          <w:color w:val="000000"/>
          <w:sz w:val="20"/>
          <w:lang w:val="en-US" w:eastAsia="en-US" w:bidi="ar-SA"/>
        </w:rPr>
        <w:t xml:space="preserve">, </w:t>
      </w:r>
      <w:hyperlink r:id="rId864" w:history="1">
        <w:r>
          <w:rPr>
            <w:rFonts w:ascii="arial" w:eastAsia="arial" w:hAnsi="arial" w:cs="arial"/>
            <w:i/>
            <w:color w:val="0077CC"/>
            <w:sz w:val="20"/>
            <w:u w:val="single"/>
            <w:shd w:val="clear" w:color="auto" w:fill="FFFFFF"/>
            <w:lang w:val="en-US" w:eastAsia="en-US" w:bidi="ar-SA"/>
          </w:rPr>
          <w:t>[1923] S.C.R. 46</w:t>
        </w:r>
      </w:hyperlink>
      <w:r>
        <w:rPr>
          <w:rFonts w:ascii="arial" w:eastAsia="arial" w:hAnsi="arial" w:cs="arial"/>
          <w:color w:val="000000"/>
          <w:sz w:val="20"/>
          <w:lang w:val="en-US" w:eastAsia="en-US" w:bidi="ar-SA"/>
        </w:rPr>
        <w:t xml:space="preserve"> provides guidance in the present case. In </w:t>
      </w:r>
      <w:r>
        <w:rPr>
          <w:rFonts w:ascii="arial" w:eastAsia="arial" w:hAnsi="arial" w:cs="arial"/>
          <w:i/>
          <w:color w:val="000000"/>
          <w:sz w:val="20"/>
          <w:lang w:val="en-US" w:eastAsia="en-US" w:bidi="ar-SA"/>
        </w:rPr>
        <w:t>Dominion Canners</w:t>
      </w:r>
      <w:r>
        <w:rPr>
          <w:rFonts w:ascii="arial" w:eastAsia="arial" w:hAnsi="arial" w:cs="arial"/>
          <w:color w:val="000000"/>
          <w:sz w:val="20"/>
          <w:lang w:val="en-US" w:eastAsia="en-US" w:bidi="ar-SA"/>
        </w:rPr>
        <w:t xml:space="preserve">, the plaintiff's employees claimed to have suffered typhoid fever attributable to well water that served the domestic needs of the plaintiffs as dwellers in a tenement of the defendant employer. Both the Supreme Court of Ontario and the Appellate Division held that the plaintiffs had not been injured "by accident" within the meaning of the Ontario workers' compensation legislation. The Ontario legislation shares common legislative purposes with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The defendant employer appealed to the Supreme Court of Canada on the grounds that the plaintiff's claim was statute-barred because of the exclusive jurisdiction granted to the Workmen's Compensation Board by the </w:t>
      </w:r>
      <w:r>
        <w:rPr>
          <w:rFonts w:ascii="arial" w:eastAsia="arial" w:hAnsi="arial" w:cs="arial"/>
          <w:i/>
          <w:color w:val="000000"/>
          <w:sz w:val="20"/>
          <w:lang w:val="en-US" w:eastAsia="en-US" w:bidi="ar-SA"/>
        </w:rPr>
        <w:t>Workmen's Compensation Act</w:t>
      </w:r>
      <w:r>
        <w:rPr>
          <w:rFonts w:ascii="arial" w:eastAsia="arial" w:hAnsi="arial" w:cs="arial"/>
          <w:color w:val="000000"/>
          <w:sz w:val="20"/>
          <w:lang w:val="en-US" w:eastAsia="en-US" w:bidi="ar-SA"/>
        </w:rPr>
        <w:t xml:space="preserve">, R.S.O. 1914, c. 25. In considering the jurisdiction of the Supreme Court of Ontario relative to the Ontario Workmen's Compensation Board, Justice Anglin,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majority, stated at p. 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seems to be quite clear that the question of the plaintiffs' right to bring and maintain this action "arises under" Part I and also that it is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 matter or thing in respect to which power, authority or discretion is conferred on the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by giving to the board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exclusive jurisdiction to examine into, hear and determine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all such matters and questions the legislature intended to oust and did oust the jurisdiction of the ordinary courts to entertain them, and required that they should be examined into, heard and determined solely by the board.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reaching this conclusion I have not forgotten that the jurisdiction of superior courts is not taken away unless by express language in, or necessary inference from, a statute. </w:t>
      </w:r>
      <w:r>
        <w:rPr>
          <w:rFonts w:ascii="arial" w:eastAsia="arial" w:hAnsi="arial" w:cs="arial"/>
          <w:i/>
          <w:color w:val="000000"/>
          <w:sz w:val="20"/>
          <w:lang w:val="en-US" w:eastAsia="en-US" w:bidi="ar-SA"/>
        </w:rPr>
        <w:t>Balfour v. Malcolm</w:t>
      </w:r>
      <w:r>
        <w:rPr>
          <w:rFonts w:ascii="arial" w:eastAsia="arial" w:hAnsi="arial" w:cs="arial"/>
          <w:color w:val="000000"/>
          <w:sz w:val="20"/>
          <w:lang w:val="en-US" w:eastAsia="en-US" w:bidi="ar-SA"/>
        </w:rPr>
        <w:t xml:space="preserve"> [[1842] 8 Cl. &amp; F. 485 at 500]; </w:t>
      </w:r>
      <w:r>
        <w:rPr>
          <w:rFonts w:ascii="arial" w:eastAsia="arial" w:hAnsi="arial" w:cs="arial"/>
          <w:i/>
          <w:color w:val="000000"/>
          <w:sz w:val="20"/>
          <w:lang w:val="en-US" w:eastAsia="en-US" w:bidi="ar-SA"/>
        </w:rPr>
        <w:t>Oram v. Brearey</w:t>
      </w:r>
      <w:r>
        <w:rPr>
          <w:rFonts w:ascii="arial" w:eastAsia="arial" w:hAnsi="arial" w:cs="arial"/>
          <w:color w:val="000000"/>
          <w:sz w:val="20"/>
          <w:lang w:val="en-US" w:eastAsia="en-US" w:bidi="ar-SA"/>
        </w:rPr>
        <w:t xml:space="preserve"> [[1877] 2 Ex. D. 346 at 348]. I find here a positive and clear enactment that the jurisdiction of the board shall be "exclusive" -- and nothing to warrant a refusal to give to that word its full effect.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purpose of the legislature apparently was to secure uniformity in the determination of what classes of cases fall within the operation of the [Workmen's] Compensation Act by having a single tribunal deal with that question, and also to ensure that no workman injured in the course of his employment should find himself in the position of having been denied damages by the courts because he was, in their opinion, entitled to compensation under the Act, and refused compensation by the board because he was, in its view, not so entitled.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With respect to issuing a stay, Anglin J., also </w:t>
      </w:r>
      <w:r>
        <w:rPr>
          <w:rFonts w:ascii="arial" w:eastAsia="arial" w:hAnsi="arial" w:cs="arial"/>
          <w:i/>
          <w:color w:val="000000"/>
          <w:sz w:val="20"/>
          <w:lang w:val="en-US" w:eastAsia="en-US" w:bidi="ar-SA"/>
        </w:rPr>
        <w:t>per</w:t>
      </w:r>
      <w:r>
        <w:rPr>
          <w:rFonts w:ascii="arial" w:eastAsia="arial" w:hAnsi="arial" w:cs="arial"/>
          <w:color w:val="000000"/>
          <w:sz w:val="20"/>
          <w:lang w:val="en-US" w:eastAsia="en-US" w:bidi="ar-SA"/>
        </w:rPr>
        <w:t xml:space="preserve"> majority, stated at p. 63: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Under the amended statute, in my opinion, </w:t>
      </w:r>
      <w:r>
        <w:rPr>
          <w:rFonts w:ascii="arial" w:eastAsia="arial" w:hAnsi="arial" w:cs="arial"/>
          <w:color w:val="000000"/>
          <w:sz w:val="20"/>
          <w:u w:val="single"/>
          <w:lang w:val="en-US" w:eastAsia="en-US" w:bidi="ar-SA"/>
        </w:rPr>
        <w:t>whenever this question arises as a substantial issue in the course of an action the proper course to take is to stay proceedings in the action until it has been adjudicated upon by the board.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Simpson v. Crowle</w:t>
      </w:r>
      <w:r>
        <w:rPr>
          <w:rFonts w:ascii="arial" w:eastAsia="arial" w:hAnsi="arial" w:cs="arial"/>
          <w:color w:val="000000"/>
          <w:sz w:val="20"/>
          <w:lang w:val="en-US" w:eastAsia="en-US" w:bidi="ar-SA"/>
        </w:rPr>
        <w:t xml:space="preserve"> [[1921] 3 K.B. 243] at pages 250, 255. In view of the provisions of s. 20 the workman-plaintiff will be well advised in every case where there is any conceivable ground for contending that his claim falls within the Act to seek the determination of the board at the earliest possible date. [Emphasis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The granting of a stay or an adjournment is a matter within the Court's discretion and depends on the circumstances of each case: </w:t>
      </w:r>
      <w:r>
        <w:rPr>
          <w:rFonts w:ascii="arial" w:eastAsia="arial" w:hAnsi="arial" w:cs="arial"/>
          <w:i/>
          <w:color w:val="000000"/>
          <w:sz w:val="20"/>
          <w:lang w:val="en-US" w:eastAsia="en-US" w:bidi="ar-SA"/>
        </w:rPr>
        <w:t>Hommel v. Cooke et al</w:t>
      </w:r>
      <w:r>
        <w:rPr>
          <w:rFonts w:ascii="arial" w:eastAsia="arial" w:hAnsi="arial" w:cs="arial"/>
          <w:color w:val="000000"/>
          <w:sz w:val="20"/>
          <w:lang w:val="en-US" w:eastAsia="en-US" w:bidi="ar-SA"/>
        </w:rPr>
        <w:t xml:space="preserve">., </w:t>
      </w:r>
      <w:hyperlink r:id="rId865" w:history="1">
        <w:r>
          <w:rPr>
            <w:rFonts w:ascii="arial" w:eastAsia="arial" w:hAnsi="arial" w:cs="arial"/>
            <w:i/>
            <w:color w:val="0077CC"/>
            <w:sz w:val="20"/>
            <w:u w:val="single"/>
            <w:shd w:val="clear" w:color="auto" w:fill="FFFFFF"/>
            <w:lang w:val="en-US" w:eastAsia="en-US" w:bidi="ar-SA"/>
          </w:rPr>
          <w:t>2005 BCSC 658</w:t>
        </w:r>
      </w:hyperlink>
      <w:r>
        <w:rPr>
          <w:rFonts w:ascii="arial" w:eastAsia="arial" w:hAnsi="arial" w:cs="arial"/>
          <w:color w:val="000000"/>
          <w:sz w:val="20"/>
          <w:lang w:val="en-US" w:eastAsia="en-US" w:bidi="ar-SA"/>
        </w:rPr>
        <w:t xml:space="preserve"> at para. 32. However, when issues are raised under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that are within the exclusive jurisdiction of WCAT, the usual course taken by the Court has been to stay or adjourn the proceedings to allow WCAT to render a determination: </w:t>
      </w:r>
      <w:r>
        <w:rPr>
          <w:rFonts w:ascii="arial" w:eastAsia="arial" w:hAnsi="arial" w:cs="arial"/>
          <w:i/>
          <w:color w:val="000000"/>
          <w:sz w:val="20"/>
          <w:lang w:val="en-US" w:eastAsia="en-US" w:bidi="ar-SA"/>
        </w:rPr>
        <w:t>Clack v. Duffus</w:t>
      </w:r>
      <w:r>
        <w:rPr>
          <w:rFonts w:ascii="arial" w:eastAsia="arial" w:hAnsi="arial" w:cs="arial"/>
          <w:color w:val="000000"/>
          <w:sz w:val="20"/>
          <w:lang w:val="en-US" w:eastAsia="en-US" w:bidi="ar-SA"/>
        </w:rPr>
        <w:t xml:space="preserve"> </w:t>
      </w:r>
      <w:hyperlink r:id="rId866" w:history="1">
        <w:r>
          <w:rPr>
            <w:rFonts w:ascii="arial" w:eastAsia="arial" w:hAnsi="arial" w:cs="arial"/>
            <w:i/>
            <w:color w:val="0077CC"/>
            <w:sz w:val="20"/>
            <w:u w:val="single"/>
            <w:shd w:val="clear" w:color="auto" w:fill="FFFFFF"/>
            <w:lang w:val="en-US" w:eastAsia="en-US" w:bidi="ar-SA"/>
          </w:rPr>
          <w:t>(1995), 5 B.C.L.R. (3d) 120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Davidson v. Kokanee Park Marine Ltd.</w:t>
      </w:r>
      <w:r>
        <w:rPr>
          <w:rFonts w:ascii="arial" w:eastAsia="arial" w:hAnsi="arial" w:cs="arial"/>
          <w:color w:val="000000"/>
          <w:sz w:val="20"/>
          <w:lang w:val="en-US" w:eastAsia="en-US" w:bidi="ar-SA"/>
        </w:rPr>
        <w:t xml:space="preserve">, </w:t>
      </w:r>
      <w:hyperlink r:id="rId867" w:history="1">
        <w:r>
          <w:rPr>
            <w:rFonts w:ascii="arial" w:eastAsia="arial" w:hAnsi="arial" w:cs="arial"/>
            <w:i/>
            <w:color w:val="0077CC"/>
            <w:sz w:val="20"/>
            <w:u w:val="single"/>
            <w:shd w:val="clear" w:color="auto" w:fill="FFFFFF"/>
            <w:lang w:val="en-US" w:eastAsia="en-US" w:bidi="ar-SA"/>
          </w:rPr>
          <w:t>2001 BCSC 263</w:t>
        </w:r>
      </w:hyperlink>
      <w:r>
        <w:rPr>
          <w:rFonts w:ascii="arial" w:eastAsia="arial" w:hAnsi="arial" w:cs="arial"/>
          <w:color w:val="000000"/>
          <w:sz w:val="20"/>
          <w:lang w:val="en-US" w:eastAsia="en-US" w:bidi="ar-SA"/>
        </w:rPr>
        <w:t xml:space="preserve"> at para. 4; </w:t>
      </w:r>
      <w:r>
        <w:rPr>
          <w:rFonts w:ascii="arial" w:eastAsia="arial" w:hAnsi="arial" w:cs="arial"/>
          <w:i/>
          <w:color w:val="000000"/>
          <w:sz w:val="20"/>
          <w:lang w:val="en-US" w:eastAsia="en-US" w:bidi="ar-SA"/>
        </w:rPr>
        <w:t>Hazell v. Toews</w:t>
      </w:r>
      <w:r>
        <w:rPr>
          <w:rFonts w:ascii="arial" w:eastAsia="arial" w:hAnsi="arial" w:cs="arial"/>
          <w:color w:val="000000"/>
          <w:sz w:val="20"/>
          <w:lang w:val="en-US" w:eastAsia="en-US" w:bidi="ar-SA"/>
        </w:rPr>
        <w:t xml:space="preserve">, </w:t>
      </w:r>
      <w:hyperlink r:id="rId868" w:history="1">
        <w:r>
          <w:rPr>
            <w:rFonts w:ascii="arial" w:eastAsia="arial" w:hAnsi="arial" w:cs="arial"/>
            <w:i/>
            <w:color w:val="0077CC"/>
            <w:sz w:val="20"/>
            <w:u w:val="single"/>
            <w:shd w:val="clear" w:color="auto" w:fill="FFFFFF"/>
            <w:lang w:val="en-US" w:eastAsia="en-US" w:bidi="ar-SA"/>
          </w:rPr>
          <w:t>[1997] B.C.J. No. 2495</w:t>
        </w:r>
      </w:hyperlink>
      <w:r>
        <w:rPr>
          <w:rFonts w:ascii="arial" w:eastAsia="arial" w:hAnsi="arial" w:cs="arial"/>
          <w:color w:val="000000"/>
          <w:sz w:val="20"/>
          <w:lang w:val="en-US" w:eastAsia="en-US" w:bidi="ar-SA"/>
        </w:rPr>
        <w:t xml:space="preserve"> (S.C.) at para. 20; </w:t>
      </w:r>
      <w:r>
        <w:rPr>
          <w:rFonts w:ascii="arial" w:eastAsia="arial" w:hAnsi="arial" w:cs="arial"/>
          <w:i/>
          <w:color w:val="000000"/>
          <w:sz w:val="20"/>
          <w:lang w:val="en-US" w:eastAsia="en-US" w:bidi="ar-SA"/>
        </w:rPr>
        <w:t>Hommel</w:t>
      </w:r>
      <w:r>
        <w:rPr>
          <w:rFonts w:ascii="arial" w:eastAsia="arial" w:hAnsi="arial" w:cs="arial"/>
          <w:color w:val="000000"/>
          <w:sz w:val="20"/>
          <w:lang w:val="en-US" w:eastAsia="en-US" w:bidi="ar-SA"/>
        </w:rPr>
        <w:t xml:space="preserve">. This course is consistent with </w:t>
      </w:r>
      <w:r>
        <w:rPr>
          <w:rFonts w:ascii="arial" w:eastAsia="arial" w:hAnsi="arial" w:cs="arial"/>
          <w:i/>
          <w:color w:val="000000"/>
          <w:sz w:val="20"/>
          <w:lang w:val="en-US" w:eastAsia="en-US" w:bidi="ar-SA"/>
        </w:rPr>
        <w:t>Dominion Canners</w:t>
      </w:r>
      <w:r>
        <w:rPr>
          <w:rFonts w:ascii="arial" w:eastAsia="arial" w:hAnsi="arial" w:cs="arial"/>
          <w:color w:val="000000"/>
          <w:sz w:val="20"/>
          <w:lang w:val="en-US" w:eastAsia="en-US" w:bidi="ar-SA"/>
        </w:rPr>
        <w:t>, as discussed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defendant objects to the granting of a stay at this point in the proceedings. The defendant argues that only some of the issues in this matter are related to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and that there is no evidence yet as to the plaintiff's activities at the time of the accident. The defendant wishes the examinations for discovery to proceed. On these points, absent exceptional circumstances, the reasoning of Justice Clancy in </w:t>
      </w:r>
      <w:r>
        <w:rPr>
          <w:rFonts w:ascii="arial" w:eastAsia="arial" w:hAnsi="arial" w:cs="arial"/>
          <w:i/>
          <w:color w:val="000000"/>
          <w:sz w:val="20"/>
          <w:lang w:val="en-US" w:eastAsia="en-US" w:bidi="ar-SA"/>
        </w:rPr>
        <w:t>Hazell</w:t>
      </w:r>
      <w:r>
        <w:rPr>
          <w:rFonts w:ascii="arial" w:eastAsia="arial" w:hAnsi="arial" w:cs="arial"/>
          <w:color w:val="000000"/>
          <w:sz w:val="20"/>
          <w:lang w:val="en-US" w:eastAsia="en-US" w:bidi="ar-SA"/>
        </w:rPr>
        <w:t xml:space="preserve"> at para. 20 applies: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[20] I conclude that the authorities binding on me and to which I am obliged to give deference make it clear that, at any stage of the proceedings, the issue may be raised and if that is done on any conceivable grounds, the proper course is to stay the action and refer the matter to the Board for a determination.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Dominion Canners</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Workmen's Compensation Act</w:t>
      </w:r>
      <w:r>
        <w:rPr>
          <w:rFonts w:ascii="arial" w:eastAsia="arial" w:hAnsi="arial" w:cs="arial"/>
          <w:color w:val="000000"/>
          <w:sz w:val="20"/>
          <w:lang w:val="en-US" w:eastAsia="en-US" w:bidi="ar-SA"/>
        </w:rPr>
        <w:t xml:space="preserve">, while allowing (after its amendment) "any party" to apply to the Workmen's Compensation Board for a determination, did not, like s. 257(1)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 xml:space="preserve">, contemplate specifically the court making such request. In my view, the fact that the court may request a s. 257 determination shows the Legislature's intent that the court should ensure matters within WCAT's jurisdiction are addressed by WCAT before unnecessary or duplicative steps are taken in court. Judicial resources are also conserved: see </w:t>
      </w:r>
      <w:r>
        <w:rPr>
          <w:rFonts w:ascii="arial" w:eastAsia="arial" w:hAnsi="arial" w:cs="arial"/>
          <w:i/>
          <w:color w:val="000000"/>
          <w:sz w:val="20"/>
          <w:lang w:val="en-US" w:eastAsia="en-US" w:bidi="ar-SA"/>
        </w:rPr>
        <w:t>Hommel</w:t>
      </w:r>
      <w:r>
        <w:rPr>
          <w:rFonts w:ascii="arial" w:eastAsia="arial" w:hAnsi="arial" w:cs="arial"/>
          <w:color w:val="000000"/>
          <w:sz w:val="20"/>
          <w:lang w:val="en-US" w:eastAsia="en-US" w:bidi="ar-SA"/>
        </w:rPr>
        <w:t xml:space="preserve"> at para. 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To put matters in colloquial terms, the underlying legislative goal in giving the court the power to request a s. 257 determination by WCAT is to avoid having "two cooks in the kitchen". WCAT has the expertise to deal with workers' compensation matters, has access to records which may be relevant to its determinations, and has the statutory authority to investigate matters and to conduct hearings: see Part 4, Division 3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noted defendant counsel's argument that WCAT's policy is not to investigate matters. With respect, I do not read WCAT's policy to be so firm. WCAT simply advises parties not to assume that it will initiate its own investigation in every case. WCAT has broad statutory powers, including, as noted, the power to investigate. Where a worker has been seriously injured, I expect that WCAT would use its powers to have before it all relevant information. WCAT has a broad mandate and has been granted exclusive jurisdiction to fulfill its mandate. WCAT should be able to proceed as it determines is proper in the circumstances of a particular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If a stay were not granted, I am concerned that as information was discovered by a particular party, it would be sent to WCAT after it had already begun considering matters, causing its deliberations to become disjointed. Ongoing discovery obligations arising in the course of the court proceedings give rise to this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Answers to such questions as whether the plaintiff was a worker working at the time of the accident and if so, who his employer was, underlie many aspects of the litigation as currently framed by the pleadings. The Court therefore views that greater overall efficiency and conservation of resources will be achieved with a stay.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Court is also of the view that the possible prejudice to the Strata Corporation of needing to address matters that may prove superfluous could not be fully addressed by an award of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VII.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Court orders that proceedings as against the Strata Corporation be stayed pending the issuance of the relevant certificate(s) under s. 257 of the </w:t>
      </w:r>
      <w:r>
        <w:rPr>
          <w:rFonts w:ascii="arial" w:eastAsia="arial" w:hAnsi="arial" w:cs="arial"/>
          <w:i/>
          <w:color w:val="000000"/>
          <w:sz w:val="20"/>
          <w:lang w:val="en-US" w:eastAsia="en-US" w:bidi="ar-SA"/>
        </w:rPr>
        <w:t>Workers Compensation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G.S. FUNT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67" style="position:absolute;z-index:2518835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69"/>
          <w:headerReference w:type="default" r:id="rId870"/>
          <w:footerReference w:type="even" r:id="rId871"/>
          <w:footerReference w:type="default" r:id="rId872"/>
          <w:headerReference w:type="first" r:id="rId873"/>
          <w:footerReference w:type="first" r:id="rId87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75" w:history="1">
        <w:r>
          <w:rPr>
            <w:rFonts w:ascii="arial" w:eastAsia="arial" w:hAnsi="arial" w:cs="arial"/>
            <w:b/>
            <w:bCs/>
            <w:i/>
            <w:color w:val="0077CC"/>
            <w:kern w:val="32"/>
            <w:sz w:val="28"/>
            <w:szCs w:val="32"/>
            <w:u w:val="single"/>
            <w:shd w:val="clear" w:color="auto" w:fill="FFFFFF"/>
            <w:lang w:val="en-US" w:eastAsia="en-US" w:bidi="ar-SA"/>
          </w:rPr>
          <w:t>Dobie v. Dlin, [2002] B.C.J. No. 507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Cohen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10 - 12, 15 - 19, 22 - 26, 29, 31,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November 1 and 2,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March 8,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C985610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507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356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111 A.C.W.S. (3d) 1206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B.C.T.C. 356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Douglas Bruce Dobie, plaintiff, and Dr. Arnold D. Dlin, Dr. Charles R. Kerr and Dr. John G. Gillis,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(213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68" style="position:absolute;z-index:2516879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0" w:name="Keywords_28"/>
      <w:bookmarkEnd w:id="190"/>
      <w:r>
        <w:rPr>
          <w:rFonts w:ascii="arial" w:eastAsia="arial" w:hAnsi="arial" w:cs="arial"/>
          <w:b/>
          <w:color w:val="000000"/>
          <w:sz w:val="20"/>
          <w:lang w:val="en-US" w:eastAsia="en-US" w:bidi="ar-SA"/>
        </w:rPr>
        <w:t xml:space="preserve">Medicine — Liability of practitioners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or fault — Standard of care — Failure to refer — Failure to treat.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1" w:name="Case Summary_27"/>
            <w:bookmarkEnd w:id="19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Dobie for damages for personal injuries arising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doctors Dlin and Kerr. Dobie suffered a disabling stroke apparently caused by a blood clot originating in his heart as a result of his irregular heart rhythm. Dobie stated that his stroke was preventable through the use of anticoagulant medication or aspirin. He stated that, although Dlin and Kerr knew of or should have known of the risk of stroke, such medication was not recommended or even discussed. Dobie was diagnosed with atrial flutter. He was referred by his family physician, Dlin, to a cardiologist, Kerr. Kerr stated that he could ultimately develop atrial fibrillation as well as flutter and recommended reassessment in one to two years after 1993. Dobie did not return to Kerr. Atrial fibrillation was known to be a risk for stroke. In 1995, Dlin saw Dobie and suspected fibrillation. However, an electrocardiogram was interpreted as showing flutter, not fibrillation. Dobie had no change in symptoms. Dobie suffered a stroke in 1997. At that time, the cause of the stroke was said to be a long-standing atrial fibrillation. Anticoagulant medication was known to prevent strokes in patients with atrial fibrillation. In 1997, atrial flutter began to be treated with the same medication in patients with risk factors. Dobie was 42 years old and did not have the risk factors for stroke that would mandate such medication. There was no consensus as to the use of aspirin for prevention of stroke prior to 1997.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2" w:name="Holdings of Court_24"/>
            <w:bookmarkEnd w:id="192"/>
            <w:r>
              <w:rPr>
                <w:rFonts w:ascii="arial" w:eastAsia="arial" w:hAnsi="arial" w:cs="arial"/>
                <w:color w:val="000000"/>
                <w:sz w:val="20"/>
                <w:lang w:val="en-US" w:eastAsia="en-US" w:bidi="ar-SA"/>
              </w:rPr>
              <w:t>HELD: Action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one to two time year period suggested by Kerr for follow-up was not unreasonable. Kerr acted in accordance with the weight of a reputable body of medical opinion in not placing Dobie on anticoagulation therapy in 1993. Kerr did not fall below the standard of care of a reasonable cardiologist in his treatment of Dobie. Dlin's treatment of Dobie was in accordance with the standard of care of an ordinary reasonable general practitioner in similar circumstances. His decision not to refer Dobie to Kerr in 1995 was not unreasonable given the lack of change of symptoms. His failure to recommend anticoagulant medication or aspirin prior to 1997 was in accordance with the weight of medical opinion.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3" w:name="Counsel_28"/>
      <w:bookmarkEnd w:id="19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69" style="position:absolute;z-index:25173913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N.H. Smith, Q.C., for the plaintiff. J.M. Lepp and K.F. Douglas,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194" w:name="Judgment_28"/>
      <w:bookmarkEnd w:id="194"/>
      <w:r>
        <w:pict>
          <v:line id="_x0000_s1170" style="position:absolute;z-index:25179033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195" w:name="COHEN J."/>
            <w:bookmarkEnd w:id="195"/>
            <w:r>
              <w:rPr>
                <w:rFonts w:ascii="arial" w:eastAsia="arial" w:hAnsi="arial" w:cs="arial"/>
                <w:b/>
                <w:color w:val="000000"/>
                <w:sz w:val="30"/>
                <w:lang w:val="en-US" w:eastAsia="en-US" w:bidi="ar-SA"/>
              </w:rPr>
              <w:t>COHEN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137"/>
        <w:gridCol w:w="56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07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INDEX</w:t>
            </w:r>
          </w:p>
        </w:tc>
        <w:tc>
          <w:tcPr>
            <w:tcW w:w="553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PARAGRAPH NUMBER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313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CLAIM</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4182"/>
        <w:gridCol w:w="292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BACKGROUND</w:t>
            </w:r>
          </w:p>
        </w:tc>
        <w:tc>
          <w:tcPr>
            <w:tcW w:w="286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3"/>
        <w:gridCol w:w="5541"/>
        <w:gridCol w:w="1568"/>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III.</w:t>
            </w:r>
          </w:p>
        </w:tc>
        <w:tc>
          <w:tcPr>
            <w:tcW w:w="542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LIABILITY - THE PARTIES' POSITIONS</w:t>
            </w:r>
          </w:p>
        </w:tc>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23</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4914"/>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Plaintiff's Position</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23</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81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Defendants' Position</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30</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324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IV.</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LAW</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59"/>
        <w:gridCol w:w="5333"/>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Onus of Proof on the Plaintiff</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35</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Duty of Care</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36</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22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Standard of Care</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37</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869"/>
        <w:gridCol w:w="3241"/>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REASONS</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48</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437"/>
        <w:gridCol w:w="104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Dr. Dlin Breach his Duty of Care</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the Plaintiff?</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705"/>
        <w:gridCol w:w="2718"/>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Plaintiff's Position</w:t>
            </w:r>
          </w:p>
        </w:tc>
        <w:tc>
          <w:tcPr>
            <w:tcW w:w="266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48</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60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Decision</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72</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437"/>
        <w:gridCol w:w="104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Dr. Kerr Breach his Duty of Care</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81</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the Plaintiff?</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601"/>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Medical Literature</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36"/>
        <w:gridCol w:w="3346"/>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Introduction</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83</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36"/>
        <w:gridCol w:w="4182"/>
        <w:gridCol w:w="1046"/>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Treatment of Atrial Flutter</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87</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36"/>
        <w:gridCol w:w="3973"/>
        <w:gridCol w:w="125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(iii)</w:t>
            </w:r>
          </w:p>
        </w:tc>
        <w:tc>
          <w:tcPr>
            <w:tcW w:w="3891"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Atrial Fibrillation and</w:t>
            </w:r>
          </w:p>
        </w:tc>
        <w:tc>
          <w:tcPr>
            <w:tcW w:w="1229"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95</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Stroke Risk Factors</w:t>
            </w:r>
          </w:p>
        </w:tc>
        <w:tc>
          <w:tcPr>
            <w:tcW w:w="122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601"/>
        <w:gridCol w:w="2823"/>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Plaintiff's Position</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104</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Defendants' Position</w:t>
            </w:r>
          </w:p>
        </w:tc>
        <w:tc>
          <w:tcPr>
            <w:tcW w:w="2765"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122</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50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Decision</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126</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36"/>
        <w:gridCol w:w="3346"/>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w:t>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Follow-up Care</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126</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05"/>
        <w:gridCol w:w="836"/>
        <w:gridCol w:w="3869"/>
        <w:gridCol w:w="1359"/>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35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(ii)</w:t>
            </w:r>
          </w:p>
        </w:tc>
        <w:tc>
          <w:tcPr>
            <w:tcW w:w="378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Appropriate Treatment</w:t>
            </w:r>
          </w:p>
        </w:tc>
        <w:tc>
          <w:tcPr>
            <w:tcW w:w="133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139</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4182"/>
        <w:gridCol w:w="198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 The Expert Evidence on</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139</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Appropriate Treatment of</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the Plaintiff -</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Anticoagulation Therapy,</w:t>
            </w:r>
          </w:p>
        </w:tc>
        <w:tc>
          <w:tcPr>
            <w:tcW w:w="194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09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Aspirin or Nothing?</w:t>
            </w:r>
          </w:p>
        </w:tc>
        <w:tc>
          <w:tcPr>
            <w:tcW w:w="194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3241"/>
        <w:gridCol w:w="523"/>
        <w:gridCol w:w="2823"/>
        <w:gridCol w:w="1882"/>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317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w:t>
            </w:r>
          </w:p>
        </w:tc>
        <w:tc>
          <w:tcPr>
            <w:tcW w:w="276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163</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568"/>
        <w:gridCol w:w="419"/>
        <w:gridCol w:w="5437"/>
        <w:gridCol w:w="1045"/>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3.</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If Either of the Defendants Acted in</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176</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Breach of Their Duty to the Plaintiff,</w:t>
            </w:r>
          </w:p>
        </w:tc>
        <w:tc>
          <w:tcPr>
            <w:tcW w:w="1024"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53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532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Did Their Breach Cause His Damage?</w:t>
            </w:r>
          </w:p>
        </w:tc>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1946"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4286"/>
        <w:gridCol w:w="313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Plaintiff's Position</w:t>
            </w:r>
          </w:p>
        </w:tc>
        <w:tc>
          <w:tcPr>
            <w:tcW w:w="3072"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177</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419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Decision</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color w:val="000000"/>
                <w:sz w:val="18"/>
                <w:lang w:val="en-US" w:eastAsia="en-US" w:bidi="ar-SA"/>
              </w:rPr>
              <w:t>203</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3973"/>
        <w:gridCol w:w="3137"/>
        <w:gridCol w:w="1987"/>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VI.</w:t>
            </w:r>
          </w:p>
        </w:tc>
        <w:tc>
          <w:tcPr>
            <w:tcW w:w="389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CONCLUSION</w:t>
            </w:r>
          </w:p>
        </w:tc>
        <w:tc>
          <w:tcPr>
            <w:tcW w:w="307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212</w:t>
            </w:r>
          </w:p>
        </w:tc>
        <w:tc>
          <w:tcPr>
            <w:tcW w:w="1946"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50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plaintiff, Douglas Bruce Dobie, claims damages for personal injuries arising from the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Drs. Arnold D. Dlin and Charles R. Kerr. He seeks wage loss, cost of future care, non-pecuniary and 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On March 20, 1997 the plaintiff suffered a disabling stroke at the age of 42. The stroke was apparently caused by a blood clot that originated in the plaintiff's heart as a result of a condition of irregular heart rhythm. The plaintiff alleges that his stroke was preventable, either through the use of anticoagulant medication, namely Warfarin, or simple aspirin. He also alleges that although the defendants knew of, or should have known of the risk such medication was never recommended, or even discussed with him.</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In 1988, the plaintiff complained to his family physician, the defendant, Dr. Dlin, about occasional light-headedness, rapid heartbeat and shortness of breath in association with exercise. Dr. Dlin referred him to a cardiologist, the defendant Dr. John G. Gillis, who diagnosed atrial flutter. Atrial flutter is an irregular heart rhythm (referred to by counsel as a regular irregularity) originating in the upper chamber of the heart, the atrium.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1990, Dr. Dlin referred the plaintiff to another cardiologist, the defendant, Dr. Kerr. Dr. Kerr is a cardiologist and electrophysiologist with a highly specialised practice focused on cardiac arrhythmias.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Because Dr. Gillis' involvement was superseded by that of Dr. Kerr, the plaintiff consented to a dismissal of the action as against Dr. Gillis.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In 1990 Dr. Kerr performed an electrophysiology study that was not successful in identifying the cause of the abnormal rhythm. In his discharge summary describing that procedure Dr. Kerr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will follow up with Dr. Dlin, and if necessary be reassessed by myself in about one to two years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Dr. Kerr put the plaintiff on Sotalol, a medication to control his irregular heart rhythm. The plaintiff saw Dr. Kerr again in July 1992.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After seeing the plaintiff on July 10, 1992 Dr. Kerr decided to take him off his medication, and told him to return in one week for a stress test and an echocardiogram (a method of graphically recording the position and motion of the heart walls or internal structures of the heart and neighbouring tissue by the echo obtained from the beams of ultrasonic waves directed through the chest wall). The purpose of taking him off the medication was to see if his irregular heart rhythm could be induced and documented.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fact, the stress test confirmed atrial flutter. The plaintiff was able to exercise for only four and a half minutes before stopping with a rapid heartbeat and a sick feeling.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echocardiogram performed the same day, in addition to confirming atrial flutter, showed that the plaintiff's left atrium diameter was enlarged. A previous echocardiogram, performed on March 31, 1989, had measured the plaintiff's left atrium at 30 mm, with normal being equal to or less than 39 mm. Dr. Kerr had received a copy of that report when the plaintiff was first referred to him. The echocardiogram, ordered by Dr. Kerr, showed a left atrium diameter of 51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According to the plaintiff there were two critical events in the history of his treatment by the defendants. The first is when the plaintiff saw Dr. Kerr on August 30, 1993. On that day, Dr. Kerr wrote to Dr. Dlin reporting on the results of the stress test and the echocardiogram,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 clearly has an abnormality of the structure of his atrium and therefore may ultimately begin to develop atrial fibrillation as well as flutter.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Atrial fibrillation is an irregular heart rhythm that is related to, but more common and more serious than atrial flutter (referred to by counsel as an irregular irregularity). Atrial fibrillation presents a more disorganized pattern and was known at the time to bring with it a risk of stroke. It was also well known that patients with atrial flutter could develop atrial fibrillation, and that an individual patient may be in atrial flutter at some times, and atrial fibrillation at others. Further, the patient probably could not tell the difference between the two conditions on the basis of symptoms, and a physician probably could not tell the difference without an electrocardiogram (the making of graphic records of the variations in electrical potential caused by electrical activity of the heart muscle and detected at the body surface, as a method for studying the action of the heart muscle).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Dr. Kerr concluded his August 30th letter to Dr. Dlin by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suggested he return in 1-2 years time but I would be glad to see him earlier should problems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 plaintiff never saw Dr. Kerr again after August 30, 1993.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The next critical event was on May 31, 1995 when the plaintiff saw Dr. Dlin for a complete physical examination. During the course of that examination, Dr. Dlin heard an irregular heart rhythm and made a note on the plaintiff's file querying whether the plaintiff was fibrillating. He asked the plaintiff to have an electrocardiogram. Although Dr. Dlin said that he wanted the electrocardiogram done that day, the plaintiff, who did not recall this instruction, had it done a week later. In any event, the electrocardiogram was interpreted as showing atrial flutter, not atrial fibrillation.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At the time the plaintiff suffered his major stroke on March 20, 1997 an echocardiogram done at Vancouver General Hospital showed that he was in atrial fibrillation with, "a markedly dilated left atrium at 51 mm and dilated right atrium at 54 mm".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Dr. S.W. Rabkin, the cardiologist who saw the plaintiff in hospital, made the following diagnosis at the time: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likely source [of the stroke] would be an embolic event from his left atrium. The left atrium is markedly dilated and certainly would, in conjunction with atrial fibrillation, indicate a likely source of the embolus. His dilated left atrium would also suggest his atrial fibrillation has been long-standing.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Dr. Kerr accepts Dr. Rabkin's opinion as to the cause of the stroke. No other explanation has been offered.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At the relevant time, Warfarin was known to prevent strokes in patients with atrial fibrillation. Whether or not Warfarin was given to a patient with atrial fibrillation depended on the presence of certain identified risk factors, and there continued to be some differences in the medical literature about what the relevant risk factors were.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Dr. Kerr's evidence was that if he had seen the plaintiff after 1993, he would not have considered him a suitable candidate for Warfarin, even if atrial fibrillation had been identified. However, he said if atrial fibrillation was identified he would by some point in time have discussed aspirin with the plaintiff as a preventative measure. By that time, the medical literature was indicating that aspirin also prevented strokes in atrial fibrillation patients, although to a lesser degree than Warfarin.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Because the plaintiff was not seen by Dr. Kerr after August 30, 1993, and no electrocardiogram was done after June 1995, it is not possible to say when he went into the atrial fibrillation that caused his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remains disabled from his stroke and no improvement is expected. He has not returned to his former occupation as a high school teacher with a speciality in computers, and it is common ground that he will remain competitively unemployable in that, or any other occupation. However, the defendants claim that the plaintiff has retained significant cognitive abilities and computer skills and could consider a volunteer position teaching part-time computer training. The plaintiff has been actively engaged since his stroke in what he describes as low key sophisticated web page design.</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LIABILITY - THE PARTIES' POSITIONS</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plaintiff claims that following his visit to Dr. Kerr on August 30, 1993, Dr. Kerr was aware of the plaintiff's potential problems and his need to be monitored by a cardiologist. The plaintiff's evidence of his understanding on leaving Dr. Kerr's office on August 30th, was that there was nothing more Dr. Kerr could do for him, and that he had been discharged from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When the plaintiff saw Dr. Dlin on May 31, 1995, Dr. Dlin specifically considered his cardiac status and arranged for an electrocardiogram. Although Dr. Dlin had the letter from Dr. Kerr dated August 30, 1993 stating his suggestion to the plaintiff that he return to see Dr. Kerr in one to two years time, Dr. Dlin did not inquire of the plaintiff on May 31st whether the plaintiff had, or was intending to see Dr. Kerr again, and Dr. Dlin made no effort to initiate a re-referral of the plaintiff to Dr. Kerr.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 had not been re-examined by Dr. Kerr, or any other cardiologist when he suffered a stroke on March 20, 1997. The plaintiff was found to be in atrial fibrillation and the dilated left atrium was noted, with the stroke attributed to those causes.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Given this background, plaintiff's counsel submitted that the defendants are separately guilty of two distinct and independent acts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First, the presence of the plaintiff's dilated left atrium put him in a higher risk category for stroke and there was a need for anticoagulant therapy, or at the very least aspirin, to prevent the onset of a stroke. In addition, as a higher risk patient he needed more frequent follow-up care by a cardiologist to monitor his condition. By failing to put the plaintiff on the appropriate medication, or even to discuss the options with him, the plaintiff claims that Dr. Kerr failed to meet the standard of his profession, and that failure caused or contributed to the plaintiff's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Secondly, the plaintiff asserts that the situation was compounded by the failure of Dr. Dlin to consider whether the plaintiff was getting even the limited cardiologist follow-up care that Dr. Kerr had suggested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plaintiff contends that when the issue of his cardiac status was raised on May 31, 1995 a reasonable family physician would have reviewed the plaintiff's chart and noted that he was due, perhaps overdue, to see Dr. Kerr, and that such a physician would have reminded the plaintiff of the need to be followed-up by a cardiologist, and arranged for the necessary re-referral to Dr. Kerr. Because Dr. Dlin failed to do that, the plaintiff went almost four years without seeing a cardiologist. The plaintiff claims that if Dr. Kerr had seen him in the interim, the atrial fibrillation that was present by the time of his stroke could have been recognised earlier. Therefore, the plaintiff submits that even if the court finds that Dr. Kerr's failure to consider anticoagulant therapy in 1993 was not a breach of his duty to the plaintiff, Dr. Dlin's failure to ensure that the plaintiff returned to see a cardiologist in 1995 was a separate breach of duty that caused or contributed to the plaintiff's stroke.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defence submitted that up to the time of his stroke the plaintiff was not a candidate for anticoagulation therapy, even if he had been in atrial fibrillation.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As for atrial flutter, the defendants contended that it was not until 1997 that there was any good evidence that cardiologists should consider treating patients in atrial flutter the same way as those in atrial fibrillation, namely with Warfarin, but then only if additional risk factors were present.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Moreover, on the plaintiff's position that Dr. Dlin ought to have referred him to a cardiologist in 1995 for further assessment, the defence claims that such a referral was not necessary in the circumstances, given the plaintiff's stable medical condition which was then well-controlled 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Defence counsel submitted that the evidence which bears upon the issue of Dr. Dlin's failure to re-refer the plaintiff to a cardiologist in 1995 is not in dispute: the plaintiff was generally doing well on his medication at the time, and had experienced no change in his symptoms. On the plaintiff's evidence, that meant that once every two or three months he experienced a racing heart and light-headedness for two to five minutes with exercise. Thereafter, he would be fine. The defence submitted that the plaintiff was a high school teacher and an intelligent individual who could reasonably be expected to know that he could return to see a cardiologist if he had any concerns about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addition, the defendants submitted that in the circumstances neither Dr. Dlin nor the plaintiff thought it necessary to have further input from a cardiologist in 1995, or thereafter. The defence also claims that, in any event, whether or not Dr. Dlin referred the plaintiff to a cardiologist in 1995 makes no difference to the treatment the plaintiff would have received at the hands of a cardiologist. They submitted that the evidence of Dr. Kerr and the defence experts is that the plaintiff would certainly not have been anticoagulated with Warfarin, or have been prescribed aspirin prior to 1997.</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LAW</w:t>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Onus of Proof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order to establish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bears the onus of proving, on a balance of probabilities: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owed him a duty of care;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defendants breached their duty of care to him; and</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 breach of duty by the defendants has caused him damage.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defendants admit that they owed the plaintiff a duty of care to provide medical treatment consistent with that of a reasonable general practitioner and a reasonable cardiologist.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If the defendants' treatment of the plaintiff conformed to the requisite standard of care, they will have discharged their duty to the plaintiff, and they will not be found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Counsel are on common ground that the leading case on standard of care is the judgment of the Supreme Court of Canada in Wilson v. Swanson, </w:t>
      </w:r>
      <w:hyperlink r:id="rId87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At p. 811-812, Rand J. set out the duty owed by a physician towards his patient: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What the surgeon by his ordinary engagement undertakes with the patient is that he possesses the skill, knowledge and judgment of the generality or average of the special group or class of technicians to which he belongs and will faithfully exercise them. In a given situation some may differ from others in that exercise, depending on the significance they attribute to the different factors in the light of their own experience. The dynamics of the human body of each individual are themselves individual and there are lines of doubt and uncertainty at which a clear course of action may be precluded.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here only the question of judgment; what of that? The test can be no more than this: was the decision the result of the exercise of the surgical intelligence professed? Or was what was done such that, disregarding it may be the exceptional case or individual, in all the circumstances, at least the preponderant opinion of the group would have been against it? If a substantial opinion confirms it, there is no breach or failure.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The law of medical malpractice was discussed in detail by the Supreme Court of Canada in ter Neuzen v. Korn, </w:t>
      </w:r>
      <w:hyperlink r:id="rId877" w:history="1">
        <w:r>
          <w:rPr>
            <w:rFonts w:ascii="arial" w:eastAsia="arial" w:hAnsi="arial" w:cs="arial"/>
            <w:i/>
            <w:color w:val="0077CC"/>
            <w:sz w:val="20"/>
            <w:u w:val="single"/>
            <w:shd w:val="clear" w:color="auto" w:fill="FFFFFF"/>
            <w:lang w:val="en-US" w:eastAsia="en-US" w:bidi="ar-SA"/>
          </w:rPr>
          <w:t>[1995] 3 S.C.R. 674</w:t>
        </w:r>
      </w:hyperlink>
      <w:r>
        <w:rPr>
          <w:rFonts w:ascii="arial" w:eastAsia="arial" w:hAnsi="arial" w:cs="arial"/>
          <w:color w:val="000000"/>
          <w:sz w:val="20"/>
          <w:lang w:val="en-US" w:eastAsia="en-US" w:bidi="ar-SA"/>
        </w:rPr>
        <w:t xml:space="preserve">. That decision reiterated that the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whether a doctor has acted in accordance with the recognised and respected practice of others in the profession. Sopinka J. speaking for the court on this point, stated, at para. 38: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generally accepted that when a doctor acts in accordance with a recognized and respectable practice of the profession, he or she will not be found to be negligent. This is because courts do not ordinarily have the expertise to tell professionals that they are not behaving appropriately in their field. In a sense, the medical profession as a whole is assumed to have adopted procedures which are in the best interests of patients and are not inherently negligent. As L'Heureux-Dubé J. stated in Lapointe, in the context of the Quebec Civil Code (at pp. 363-64):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Given the number of available methods of treatment from which medical professionals must at times choose, and the distinction between error and fault, </w:t>
      </w:r>
      <w:r>
        <w:rPr>
          <w:rFonts w:ascii="arial" w:eastAsia="arial" w:hAnsi="arial" w:cs="arial"/>
          <w:color w:val="000000"/>
          <w:sz w:val="20"/>
          <w:u w:val="single"/>
          <w:lang w:val="en-US" w:eastAsia="en-US" w:bidi="ar-SA"/>
        </w:rPr>
        <w:t>a doctor will not be found liable if the diagnosis and treatment given to a patient correspond to those recognised by medical science at the time, even in the face of competing theories</w:t>
      </w:r>
      <w:r>
        <w:rPr>
          <w:rFonts w:ascii="arial" w:eastAsia="arial" w:hAnsi="arial" w:cs="arial"/>
          <w:color w:val="000000"/>
          <w:sz w:val="20"/>
          <w:lang w:val="en-US" w:eastAsia="en-US" w:bidi="ar-SA"/>
        </w:rPr>
        <w:t>. As expressed more eloquently by André Nadeau in "La responsabilité médicale" (1946), 6 R. du B. 153, at p. 155:</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[TRANSLATION] The courts do not have jurisdiction to settle scientific disputes or to choose among divergent opinions of physicians on certain subjects. </w:t>
      </w:r>
      <w:r>
        <w:rPr>
          <w:rFonts w:ascii="arial" w:eastAsia="arial" w:hAnsi="arial" w:cs="arial"/>
          <w:color w:val="000000"/>
          <w:sz w:val="20"/>
          <w:u w:val="single"/>
          <w:lang w:val="en-US" w:eastAsia="en-US" w:bidi="ar-SA"/>
        </w:rPr>
        <w:t>They may only make a finding of fault where a violation of universally accepted rules of medicine has occurred. The courts should not involve themselves in controversial questions of assessment having to do with diagnosis or the treatment of preference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in original]</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Referring to specialists, Sopinka J. stated, at para. 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well settled that physicians have a duty to conduct their practice in accordance with the conduct of a prudent and diligent doctor in the same circumstances. In the case of a specialist, such as a gynaecologist and obstetrician, the doctor's behaviour must be assessed in light of the conduct of other ordinary specialists, who possess a reasonable level of knowledge, competence and skill expected of professionals in Canada, in that field. A specialist, such as the respondent, who holds himself out as possessing a special degree of skill and knowledge, must exercise the degree of skill of an average specialist in his field: see Wilson v. Swanson, </w:t>
      </w:r>
      <w:hyperlink r:id="rId876" w:history="1">
        <w:r>
          <w:rPr>
            <w:rFonts w:ascii="arial" w:eastAsia="arial" w:hAnsi="arial" w:cs="arial"/>
            <w:i/>
            <w:color w:val="0077CC"/>
            <w:sz w:val="20"/>
            <w:u w:val="single"/>
            <w:shd w:val="clear" w:color="auto" w:fill="FFFFFF"/>
            <w:lang w:val="en-US" w:eastAsia="en-US" w:bidi="ar-SA"/>
          </w:rPr>
          <w:t>[1956] S.C.R. 804</w:t>
        </w:r>
      </w:hyperlink>
      <w:r>
        <w:rPr>
          <w:rFonts w:ascii="arial" w:eastAsia="arial" w:hAnsi="arial" w:cs="arial"/>
          <w:color w:val="000000"/>
          <w:sz w:val="20"/>
          <w:lang w:val="en-US" w:eastAsia="en-US" w:bidi="ar-SA"/>
        </w:rPr>
        <w:t xml:space="preserve">, at p. 817, Lapointe v. Hopital Le Gardeur, </w:t>
      </w:r>
      <w:r>
        <w:rPr>
          <w:rFonts w:ascii="arial" w:eastAsia="arial" w:hAnsi="arial" w:cs="arial"/>
          <w:i/>
          <w:color w:val="000000"/>
          <w:sz w:val="20"/>
          <w:lang w:val="en-US" w:eastAsia="en-US" w:bidi="ar-SA"/>
        </w:rPr>
        <w:t>[1992] 1 S.C.R. 351</w:t>
      </w:r>
      <w:r>
        <w:rPr>
          <w:rFonts w:ascii="arial" w:eastAsia="arial" w:hAnsi="arial" w:cs="arial"/>
          <w:color w:val="000000"/>
          <w:sz w:val="20"/>
          <w:lang w:val="en-US" w:eastAsia="en-US" w:bidi="ar-SA"/>
        </w:rPr>
        <w:t xml:space="preserve">, at p. 361, and McCormick v. Marcotte, </w:t>
      </w:r>
      <w:hyperlink r:id="rId878" w:history="1">
        <w:r>
          <w:rPr>
            <w:rFonts w:ascii="arial" w:eastAsia="arial" w:hAnsi="arial" w:cs="arial"/>
            <w:i/>
            <w:color w:val="0077CC"/>
            <w:sz w:val="20"/>
            <w:u w:val="single"/>
            <w:shd w:val="clear" w:color="auto" w:fill="FFFFFF"/>
            <w:lang w:val="en-US" w:eastAsia="en-US" w:bidi="ar-SA"/>
          </w:rPr>
          <w:t>[1972] S.C.R. 18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addition to the general test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case considered whether it is appropriate for courts to find that the recognised and respected practice of those in the profession is itself negligent. In ter Neuzen v. Korn, supra, the plaintiff sued the defendant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and on the basis of other causes of action, after she contracted the AIDS virus as a result of an attempted artificial insemination procedure performed by the defendant. At trial the jury concluded that the defendant had been negligent notwithstanding the fact that the expert evidence indicated that the defendant had conducted himself in the same manner as other experts in the field. Sopinka J. stated, at para. 44: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Courts and juries do not have the necessary expertise to assess technical matters relating to the diagnosis or treatment of patients. Where a common and accepted course of conduct is adopted based on the specialized and technical expertise of professionals, it is unsatisfactory for a finder of fact to conclude that such a standard was inherently negligent. On the other hand, matters falling within the ordinary common sense of juries can be judged to be negligent. For example, where there are obvious existing alternatives which any reasonable person would utilize in order to avoid a risk, one could conclude that the failure to adopt such measures is negligent notwithstanding that it is the prevailing practice among practitioners in that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further at para. 51: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a general rule, where a procedure involves difficult or uncertain questions of medical treatment or complex, scientific or highly technical matters that are beyond the ordinary experience and understanding of a judge or jury, it will not be open to find a standard medical practice negligent. On the other hand, as an exception to the general rule, if a standard practice fails to adopt obvious and reasonable precautions which are readily apparent to the ordinary finder of fact, then it is no excuse for a practitioner to claim that he or she was merely conforming to such a negligent common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Defence counsel submitted that the instant case is not one where the court can find the defendants negligent despite conformity with common practice. Defence counsel submitted that the instant case revolves around the application of published guidelines as to the treatment of arrhythmias, the evolution over time of those guidelines and the application by physicians of those guidelines in their clinical practice. Counsel said that the medical management of patients with cardiac arrhythmias is a practice based on specialised and technical expertise of cardiologists, and that this is not a case where the trier of fact can properly conclude that the standard medical practice was inherently negligent. Rather, as set out in ter Neuzen v. Korn, supra, at para. 38, provided that they acted in accordance with the recognised and respectable practice of their professions, the court does not have the expertise to tell the defendants that they are not behaving appropriately in their fields.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Further, counsel said that the diagnosis and treatment decisions made by the defendants in treating the plaintiff were unquestionably based on specialised and technical expertise and the issues raised by this case involve difficult questions of medical treatment that are beyond the ordinary experience and understanding of a judge or jury. Counsel submitted that, in other words, resolution of this case carries with it the necessity of judging matters requiring diagnostic or clinical expertise and, accordingly, requires expert evidence because it is beyond the knowledge of the average judge. See ter Neuzen v. Korn, supra, at paras. 40, 44, 51 and 55.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agree with counsel for the defendants on both points. In particular, I agree with counsel for the defendants' submission that the medical management of patients with cardiac arrhythmias is a practice based on specialised and technical expertise.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Further, the importance of expert medical evidence is clear. Particularly with regard to anticoagulation therapy, the medical literature and its application in practice is particularly important in determining whether Dr. Kerr's conduct fell below the standard of care of other cardiologists. Similarly, expert evidence will be important in determining whether the plaintiff's follow-up care was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In my view, it is also important to note that the defendants must be judged in accordance with the appropriate standard at the relevant time the various events occurred. On this point, Sopinka J. stated in ter Neuzen v. Korn, supra, as follows, at para. 34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also particularly important to emphasize, in the context of this case, that the conduct of physicians must be judged in the light of the knowledge that ought to have been reasonably possessed at the time of the alleged act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As Denning L.J. eloquently stated in Roe v. Ministry of Health, [1954] 2 All E.R. 131 (C.A.), at p. 137, "[w]e must not look at the 1947 accident with 1954 spectacles". That is, courts must not, with the benefit of hindsight, judge too harshly doctors who act in accordance with prevailing standards of professional knowledge. This point was also emphasized by this Court in Lapointe, supra, at pp. 362-63:</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courts should be careful not to rely upon the perfect vision afforded by hindsight. In order to evaluate a particular exercise of judgment fairly, the doctor's limited ability to foresee future events when determining a course of conduct must be borne in mind. Otherwise, the doctor will not be assessed according to the norms of the average doctor of reasonable ability in the same circumstances, but rather will be held accountable for mistakes that are apparent only after the fact.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It is with the above principles in mind that I must assess the conduct of the defendants. In particular, I must determine whether, in their treatment of the plaintiff, their decisions were in accordance with the skill, knowledge and judgement of others in the profession at the relevant time. Counsel for the defence submitted, and I agree, that in order to prove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must tender medical evidence that the treatment provided by the defendants fell below the standard of care required of an ordinary reasonable general practitioner and cardiologist in similar circumstances. Failing that, his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V. REASONS</w:t>
      </w:r>
      <w:r>
        <w:rPr>
          <w:rFonts w:ascii="arial" w:eastAsia="arial" w:hAnsi="arial" w:cs="arial"/>
          <w:sz w:val="20"/>
          <w:lang w:val="en-US" w:eastAsia="en-US" w:bidi="ar-SA"/>
        </w:rPr>
        <w:cr/>
      </w:r>
    </w:p>
    <w:p>
      <w:pPr>
        <w:numPr>
          <w:numId w:val="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Dlin Breach his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his letter to Dr. Dlin of August 30, 1993 Dr. Kerr said he suggested to the plaintiff that he return to see him in one to two years time. The plaintiff's recollection of that conversation is that Dr. Kerr told him there was nothing more he could do for him and that he was returning him to Dr. Dlin's care. The plaintiff's wife recalls the plaintiff returning from that appointment and telling her that he no longer had a cardiologist. Plaintiff's counsel submitted that, clearly, there was a miscommunication between the plaintiff and Dr. Kerr.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However, counsel noted that Dr. Dlin, unlike the plaintiff, had a written record of Dr. Kerr's suggestion. He said that Dr. Dlin's chart for the plaintiff would have been present in the examining room when Dr. Dlin examined the plaintiff on May 31, 1995. Dr. Dlin said that, based on the way the plaintiff's chart would have been organized at the time, Dr. Kerr's letter would be at, or near the top of the plaintiff's patient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Counsel submitted that the wording of Dr. Kerr's August 30th letter is to be contrasted with his earlier referral letter written in 1990. At that time, Dr. Kerr said the patient should follow-up with Dr. Dlin, and that he would see him again if necessary. Counsel submitted that by contrast, Dr. Kerr's letter of August 30th clearly stated a desire to see the plaintiff again in one to two years time, even if there was no change in his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Counsel also submitted that the issues that arise are whether Dr. Dlin was required to read Dr. Kerr's letter when he saw the plaintiff on May 31, 1995; whether he did in fact read the letter; and what he was required to do about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Dr. G. Feinstadt, an expert in family practice medicine, was called by the plaintiff to testify on this issue. His evidence was,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Just looking specifically at Dr. Kerr's letter again. Having received a letter like that and presumably read it at the time, are there subsequent occasions when a reasonable general practitioner would be reviewing that correspondence?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certainly in the context of this case, given that this is a significant health concern for this particular patient, on virtually any visit the matter of this patient's cardiac status would be discussed, and there would certainly be -- should certainly be an awareness that there is a cardiologist involved and that cardiologist has requested that he see the patient again and the time-frame has been specified.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having come up, what in your viewwould a reasonable family physician do?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there would -- there would be a reminder that the cardiologist had wished to see the patient again and it's within this time-frame.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would the office -- would the general practitioner take any steps to bring that about?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the normal course would be, "Oh, it's time for you to see Dr. Kerr again. We will arrange that appointment for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In Dr. Feinstadt's opinion, the wording of Dr. Kerr's August 30th letter was such that Dr. Dlin was not left with any discretion about whether the plaintiff should see Dr. Kerr again within the suggested timeframe. He also rejected the suggestion of Dr. D.P. Dwyer, an expert in family practice called by the defence on behalf of Dr. Dlin, that the responsibility to remember the recommendation and arrange follow up rested on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Dr. Dwyer's opinion, if I can summarize it, appears to be that when a specialist tells a patient that he wants to see him in two years it is the sole responsibility of the patient to remember that and follow up on that. Do you agree with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do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why not?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Again, that is a verbal communication which may or may not have been presented with a great deal of other information and recommendations, whereas the family physician has a written communication and is obliged to -- to make note of that and that that be entered in the chart in a way that is quite clear.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People have misconceptions of the passage of time, so whereas someone may think they had seen someone last year it could have been three or four years ago. It happens in my office all the time. And again, a verbal communication to a patient may be misinterpreted.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Counsel submitted that Dr. Kerr's words, when read in the context of the circumstances, meant that Dr. Dlin had no discretion but to arrange for, or suggest to the plaintiff a re-referral to Dr. Kerr. Counsel argued that the court does not need an expert to reach this conclusion because when a doctor tells a patient something there is often lots of information and advice being imparted to the patient which can easily be forgotten by the patient. Counsel suggested that this is why specialists write to general practitioners setting out their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Dr. Dlin said that at the relevant time he had between 2,000 and 2,500 patients, and would see about 30 a day. Prior to May 31, 1995 his last involvement with the plaintiff had been almost a year earlier, when he had refilled a prescription. Dr. Dlin maintained that he had a good memory for his regular patients, but agreed that this did not exclude the need to consult his chart: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you would consider it prudent to keep and use your chart on the basis that in a given case you remember very little, or what you think you remember may not be complete or may not be accurate?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why, when you were about to see a patient, someone in your office would probably pull a chart for that patient and make sure it was there in the examining room when you were seeing the patient?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Sort of. It's not in the examining room but usually on the door or on my desk or something.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It's available to you when the patient is there?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I brought it into the examining room with 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Counsel referred to the following evidence of Dr. Dlin on the question of what the chart would be consulted for in such a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next question you would logically ask yourself is when did he last see the cardiologist?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important to you?</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Sometimes.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something you wouldn't necessarily remember off the top of your head?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Not necessarily, no. I would look it 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 And you would have to look it up because if the patient hadn't seen the cardiologist in five years, that may lead to a difference in your approach compared to a situation if he had seen the cardiologist six months ago?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 not necessarily, but possibly.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You'd have to consider that anyway?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a factor that is considered at all times, 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next question, having determined when the patient last saw the cardiologist, is what, if anything, did the cardiologist do or say at that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that obviously would affect your focus of treatment?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wouldn't say obviously, but it's a factor that is considered certainly.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One of the things you would want to know is whether the cardiologist had specifically left any aspect of the patient's care to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Because it can vary from cardiologist to</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cardiologist and patient to patient?</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want to know what the cardiologist had said about any medications and the dosage of medications?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Because, for one reason, you may -- once again in the position as you were a year earlier where you were being asked to refill a prescription?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want to know if the cardiologist had made any changes in the medication regime?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would want to know what the cardiologist's plans or recommendations were for follow-up?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Dr. Dwyer said in his report that previous specialist reports are not generally reviewed when a general practitioner is seeing a patient in his office. However, on cross-examination, he agreed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But if the patient comes in to see you with complaints related to his heart, or if during the course of an examination you become concerned about his cardiac status, then the previous material in your chart relating to that -- the heart condition becoming relevant?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But you still -- it still may be of some interest to you if the patient saw the cardiologist six months ago or hasn't been back to the cardiologist in five years?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Certainly. I would look and have a look at the -- when the last time he was seen.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said, just continuing on with that sentence -- or that paragraph we've been referring to in your report on page 3, you say: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"In this case Mr. Dobie was seen with atrial flutter, which had been discussed with Dr. Kerr, and the patient would have had an explanation of his medical situation given to him by the specialist."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Now, again, for the purpose of the general practitioner seeing the patient perhaps for the first time in a year or two, would want to have at least some idea of what in fact the specialist had said or what explanation had been given to the patient, wouldn't he?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Yeah.</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Counsel submitted that the need for Dr. Dlin to consult Dr. Kerr's August 30th letter when he was seeing the plaintiff in May, 1995 was beyond dispute. Counsel said that is the opinion of Dr. Feinstadt, and both Dr. Dlin and Dr. Dwyer conceded that the letter contained information that would be relevant to a family practitioner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Counsel submitted further that this is an example of the kind of case where the court could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even in the absence of expert evidence. He said it was a matter of ordinary common sense and experience that all professionals require accurate and complete information in order to advise their patients or clients. He also said it was equally obvious that a busy professional cannot be expected to remember all relevant details about every patient or client, and that is why patient charts are kept and the information in them can be of no use to the practitioner if it is never looked at.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Counsel also contended that the court does not need an expert to conclude that when a general practitioner is considering a patient's heart condition he has a duty to be familiar with the history of that condition and what has or has not been done in the past. He said that the most valuable and most important source of that information must be the most recent report of a specialist who has seen a patient for that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Counsel noted that the plaintiff is not suggesting that Dr. Dlin had a duty to diarize follow-up recommendations made by specialists, or to call the plaintiff to remind him about appointments with specialists, although he gave evidence that he does so with some patients in certain situations. He also noted that the plaintiff is not suggesting that Dr. Dlin had a duty to be constantly combing through patient charts and reminding patients about appointments with specialists; nor was he suggesting that there was any duty on Dr. Dlin to review cardiologist reports when the plaintiff was seen in the office for unrelated conditions. However, counsel did submit that it is obvious, reasonable and necessary that at least the most recent report of the cardiologist be consulted when the patient is seen in the office and the general practitioner specifically turns his mind to the patient's cardiac status. Plaintiff's counsel submitted that if Dr. Dlin did not consult Dr. Kerr's August 30th letter on May 31st his failure to do so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any event, plaintiff's counsel submitted that Dr. Dlin probably did consult Dr. Kerr's August 30th letter during that visit. On listening to the plaintiff's heart rate, he specifically made a note on the plaintiff's chart querying whether the plaintiff was in fibrillation. When he later received the electrocardiogram report recording atrial flutter he made a point of writing in his chart that it was atrial flutter, not atrial fibrillation.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Counsel submitted that based on his own medical knowledge and training, Dr. Dlin was not completely familiar with the relationship between atrial flutter and atrial fibrillation, or with the fact that a patient with atrial flutter could develop atrial fibrillation. Counsel said that the only reason he would have had for that level of specific concern would have been the opinion contained in Dr. Kerr's August 30th letter that, because of the plaintiff's dilated left atrium, the plaintiff could go on to develop atrial fibrillation. In fact, after initially saying he could not recall whether he looked at Dr. Kerr's August 30th letter or not, Dr. Dlin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So now you're telling us that, in fact, you think on May 31st, 1995 you did look directly at Dr. Kerr's letter?</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sure, as I say, if I -- I knew what it was in, okay, I'm aware of the contents of that letter. I'm not sure if I'm doing a physical on the patient or when I'm talking to the patient I'm rude enough to be reading his chart, you know, but I may have read the letter after the patient left. I may have read the letter before the patient arrived.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Doctor --</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may have read it the night before actually.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I'm not suggesting to you that you are necessarily going to be reading the chart while at the same time you're listening to his heart beat or doing whatever you do as part of your physical examination. But you would, upon hearing, as you say, hearing some irregularity in his heart, would then turn your mind specifically to the question of what's happened in the past on this -- with this condition.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There's no reason I would not read the letter.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if you had read the letter, you would have also have seen Dr. Kerr's comments about follow-up?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Plaintiff's counsel argued that if Dr. Dlin saw, or should have seen Dr. Kerr's comment about follow-up care, it is clear that he should have had at least some discussion with the plaintiff about whether or not he had recently seen, or made plans to see Dr. Kerr again, given that by then it was almost two years since Dr. Kerr had suggested that the plaintiff return to see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his report, Dr. Dwyer referred to Dr. Kerr's follow-up suggestion as an "instruction", and as a "directive" given to the patient that implies an "obligation" on the patient to follow-up. However, Dr. Dwyer agreed that patients will sometimes forget, misunderstand or misinterpret what a doctor has told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when it comes to your attention that that has happened, you take the opportunity to remind the patient or put him straight;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Sure. Absolutely.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if a family physician has a patient in his office and refers back to the consultation letter from Dr. Kerr and says that the patient has been told to go back in a year or two to Dr. Kerr, and let's assume it's now close to two years after that letter -- that recommendation was made, the general practitioner will at least on seeing that ask the patient, "Oh, have you seen Dr. Kerr lately?", or, "Do you have an appointment to see him in the near future?"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Yeah, he probably would.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 patient may say "Oh, I don't recall him saying that. Yes, give me a referral"; right? That's one thing that might happen?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Could say that.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Or the patient might say something like, "Well, gee, I would like to see another cardiologist, but I really didn't like Dr. Kerr," for some reason, and you'd see about sending him to another cardiologist; 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M'mm-hmm. 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Dr. Dlin gave similar evidence about the conversation that would follow if he noted the follow-up suggestion.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Counsel submitted that if Dr. Dlin had a conversation with the plaintiff about a re-referral to Dr. Kerr, there can be little doubt that the plaintiff, or a reasonable patient in his position, would want to return to see Dr. Kerr or another cardiologist, especially given the plaintiff's evidence that he believed that Dr. Kerr had discharged him from his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Plaintiff's counsel contended that the need for some kind of ongoing follow-up care was, or should have been clear in the circumstances. Dr. Dlin queried the presence of atrial fibrillation on May 31st because apparently he believed the plaintiff's heart rate sounded particularly irregular that day. Counsel said that the evidence is clear that the fact an electrocardiogram done on June 7th showed atrial flutter did not rule out the possibility that Dr. Dlin had been right when he suspected atrial fibrillation a week earlier, nor did it rule out the possibility of the plaintiff being in atrial fibrillation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Moreover, counsel said that the plaintiff not only did not see Dr. Kerr again prior to his stroke, he also did not have any follow-up care by Dr. Dlin on his cardiac status after May 31st. Dr. Dwyer agreed that if a family physician in such a situation decides that there is no reason for the patient to see the cardiologist again, he must consider what he will himself do in terms of ongoing follow-up care. Dr. Dlin gave the following evidence on this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as of May and June of '95, there were a number of things which you knew about the patient's condition that the patient maybe didn't know or didn't have as full an understanding of. And I'm going to take you through some. First of all, you knew, from what Dr. Kerr had told you, that the patient was at risk of going into atrial fibrillation?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fibrillation was a more sinister condition?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fibrillation would introduce some, at least, potential risk of stroke?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the patient wouldn't notice any difference in terms of symptoms between flutter and fibrillation?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you might not even be able to tell the difference clinically?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the only way to document fibrillation if the patient was getting it was with an electrocardiogram?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you knew that an electrocardiogram is really only a snapshot of the heart at a precise very brief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all of those, I suggest to you, would have been reasons to stress to the patient the importance of regular follow-up, at least with you if not with the cardiologist?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Plaintiff's counsel submitted that there is no evidence that any such discussion about follow-up care ever occurred. The plaintiff went almost four years not only without being seen again by a cardiologist, but with his family physician addressing his cardiac status on only one occasion, and with only one electrocardiogram to check the status of his heart rhythm.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Plaintiff's counsel submitted that on all of the evidence Dr. Dlin failed to meet the standard of care to be expected of a reasonable family physician in the circumstances. He failed to discuss with the plaintiff the specific follow-up recommendation made by Dr. Kerr, and, in the absence of another referral to Dr. Kerr, he failed to turn his mind to what he should be doing to monitor the plaintiff's cardiac status. Counsel argued that it did not matter whether Dr. Dlin actually looked at Dr. Kerr's August 30th letter when he saw the plaintiff on May 31st - the key to Dr. Dlin's liability is that on August 30, 1993 Dr. Kerr suggested to the plaintiff that he see him in one to two years time, regardless of a change in the plaintiff's condition. Dr. Dlin acknowledged that this suggestion was in his file to be seen, and he did nothing about 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Dr. Dlin testified that he does not base his decisions to refer, or re-refer his patients to specialists on how long it has been since they have last seen one. Rather, he looks at the whole situation and exercises his clinical judgement based upon what he considers appropriate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While on May 31, 1995, during a routine physical examination of the plaintiff, Dr. Dlin detected an irregular heart rhythm on examination which he thought might be atrial fibrillation, he later received the electrocardiogram results which confirmed that the plaintiff was in atrial flutter. He was also aware that the plaintiff had experienced no change in his symptoms which had remained constant in frequency and severity for years and were being well-controlled on medication which produced no adverse side effects. This evidence is uncontradicted and consistent with that given by the plaintiff who testified that he experienced symptoms of rapid heart beat and light-headedness once every two or three months. The plaintiff confirmed that the frequency and severity of those symptoms remained the same up to the time of his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In my opinion, while it would have been reasonable for Dr. Dlin to have re-referred the plaintiff to Dr. Kerr in 1995, or to have had a conversation with him about a re-referral to Dr. Kerr, his decision not to re-refer the plaintiff to Dr. Kerr was not a breach of his duty to the plaintiff for the reasons that follow.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First, I am satisfied that Dr. Kerr's suggestion to the plaintiff, as confirmed in his letter to Dr. Dlin of August 30, 1993 was not intended to, nor did it remove Dr. Dlin's discretion to decide whether or not he should re-refer the plaintiff to Dr. Kerr. According to Dr. Kerr, the patient's general practitioner is the "quarterback" who determines when and to whom referrals are appropriately made, and when it is necessary for a patient to see a specialist again in follow-up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Dr. Feinstadt interpreted Dr. Kerr's August 30th letter to Dr. Dlin which "suggested" that the plaintiff return in one to two years time, or earlier if there were problems, as a mandatory direction to Dr. Dlin which eliminated the exercise of any discretion on his part. However, in cross-examination, Dr. Feinstadt agreed that the wording used by a specialist in his or her consultation report is significant to the referring general practitioner, and that other competent physicians may not share his opinion that there is no difference in interpretation between a suggestion and a directive in a specialist's report.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Most importantly, Dr. Feinstadt agreed, in cross-examination, that a referral must be medically indicated and that the decision by a family physician to refer a patient to a specialist necessarily involves the exercise of clinical judgement and common sense. In light of the need for clinical judgement, he testified, in cross-examination,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making the decision the GP does the best he or she can to exercise good judgment and common sense?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that context, Dr. Feinstadt, you'll agree that there is room within the acceptable parameters of good clinical practice for competent, reasonable GPs to exercise their judgment differently?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There is, 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In determining whether or not to make a referral, Dr. Feinstadt agreed that the family physician assesses a number of factors, including, inter alia: the patient's clinical status; any relevant history; any relevant test results; and whether the physician can deliver the appropriate treatment. In this regard, Dr. Feinstadt conceded that by June 7, 1995 Dr. Dlin knew the plaintiff's diagnosis (atrial flutter), the treatment (Sotalol), and that he was in a position to deliver the treatment (which had been in place since 1990).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Secondly, Dr. Dwyer, who has been in full-time practice for approximately 31 years, and was accepted by Dr. Feinstadt as a respected and experienced family physician of some standing in the Vancouver medical community, opined that a re-referral of the plaintiff to Dr. Kerr by Dr. Dlin was not warranted in May 1995, as the plaintiff had experienced no change in his symptoms, had encountered no new problems and was being effectively managed on the medication he was then taking. Dr. Dwyer disagreed with Dr. Feinstadt's interpretation of Dr. Kerr's use of the word "suggested" in his August 30th letter as leaving no room for the exercise of discretion or clinical judgement by Dr. Dlin.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In the result, I find that Dr. Dlin's treatment of the plaintiff was in accordance with the standard of care required of an ordinary reasonable general practitioner in similar circumstances, and therefore he cannot be found negligent.</w:t>
      </w:r>
      <w:r>
        <w:rPr>
          <w:rFonts w:ascii="arial" w:eastAsia="arial" w:hAnsi="arial" w:cs="arial"/>
          <w:sz w:val="20"/>
          <w:lang w:val="en-US" w:eastAsia="en-US" w:bidi="ar-SA"/>
        </w:rPr>
        <w:cr/>
      </w:r>
    </w:p>
    <w:p>
      <w:pPr>
        <w:numPr>
          <w:numId w:val="7"/>
        </w:numPr>
        <w:tabs>
          <w:tab w:val="num" w:pos="760"/>
          <w:tab w:val="clear" w:pos="220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Did Dr. Kerr Breach his Duty of Care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xml:space="preserve">  As set out earlier, the plaintiff's allegation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Dr. Kerr is that the presence of the plaintiff's dilated left atrium put him in a higher risk category for stroke and there was therefore a need for anticoagulent therapy, or at the very least prescribing aspirin, to prevent the onset of stroke. In addition, the plaintiff submitted that as a higher risk patient the plaintiff needed more frequent follow-up care by a cardiologist to monitor his condition. Finally, the plaintiff submitted that by failing to put the plaintiff on the appropriate medication, or even to discuss the options with him Dr. Kerr failed to meet the standard of care of his profession.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Before dealing with the plaintiff's position on this issue, or the reasons why I find that the plaintiff has failed to prove his claim against Dr. Kerr, it is necessary to review the evidence about the medical literature available to Dr. Kerr at the material time dealing with the prevention of stroke in patients with atrial flutter or atrial fibrillation.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Medical Literature</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At the material time involved in this lawsuit it became generally known by the medical profession that Warfarin was usually efficacious in the prevention of stroke. However, the issues for the medical profession were how effective it was in patients with atrial fibrillation, and to whom of those in atrial fibrillation should Warfarin, a drug known to be associated with very significant adverse risks, including major bleeding and death, be prescribed.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Before 1989, little was known about the usefulness of Warfarin in patients with atrial fibrillation. Even less was then known about who might be an appropriate candidate for anticoagulation therapy, namely those patients for whom the benefits of anticoagulation therapy outweighed the risks. Between 1989 and 1992, the results of five randomized clinical trials ("clinical trials") studying patients in atrial fibrillation were published: P. Petersen et al., "Placebo-Controlled, Randomised Trial of Warfarin and Aspirin for Prevention of Thromboembolic Complications in Chronic Atrial Fibrillation" (1989) The Lancet 175 ("AFASAK"); Boston Area Anticoagulation Trial for Atrial Fibrillation Investigators, "The Effect of Low-Dose Warfarin on the Risk of Stroke in Patients with Nonrheumatic Atrial Fibrillation" (1990) 323 The New England Journal of Medicine 1505 ("Boston Area Study"); Stroke Prevention in Atrial Fibrillation Investigators, "Stroke Prevention in Atrial Fibrillation Study" (1991) 84 SPAF Investigators 527 ("SPAF"); S.J. Connolly et al., "Canadian Atrial Fibrillation Anticoagulation (CAFA) Study" (1991) 18 JAAC 349; and M.D. Ezekowitz et al., "Warfarin in the Prevention of Stroke Associated with Nonrheumatic Atrial Fibrillation" (1992) 327 The New England Journal of Medicine 1406. These clinical trials did not include patients in atrial flutter, and no one suggested that Warfarin should be given to this patient population.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Defence counsel explained that in broad terms, there were two kinds of reviews of the then existing medical literature:</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Consensus guidelines produced by Canadian and American Consensus Conferences. For the purposes of this litigation, the important ones are the 1992 and 1995 American Consensus Conferences guidelines on antithrombotics, and the 1996 Canadian Consensus Conference guidelines: A. Laupacis et al. "Antithrombotic Therapy in Atrial Fibrillation" (1992) 102 Chest 426S; A. Laupacis et al. "Antithrombotic Therapy in Atrial Fibrillation" (1995) 108 Chest 352S; S.J. Connolly and A.G.C. Turpie, "Antithrombotic therapy in atrial fibrillation" (1996) 12 Can. J. Cardiol. 17A; and</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Scientific reviews of available information. These reviews were similarly a collective effort and produced papers in 1994 and 1998: Atrial Fibrillation Investigators, "Risk Factors for Stroke and Efficacy of Antithrombotic Therapy in Atrial Fibrillation" (1994) 154 Arch. Intern. Med. 1449; Atrial Fibrillation Investigators, "Echocardiographic Predictors of Stroke in Patients with Atrial Fibrillation" (1998) 158 Arch. Intern. Med. 1316.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I turn then to the evidence of the medical literature dealing with atrial flutter and atrial fibrillation.</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Treatment of Atrial Flutter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Dr. Kerr explained atrial flutter as an abnormal rhythm arising in the atria of the heart usually experienced as symptoms of a racing heart (regular or irregular), shortness of breath on exertion, fatigue, light-headedness, and a sensation of pounding of the heart. Dr. Kerr testified that the atria continue to contract in atrial flutter and that, although the contractions may be very fast, the pattern of contraction remains well organized. Prior to the plaintiff's stroke in March 1997, he was diagnosed by Dr. Kerr with "paroxysmal" atrial flutter. "Paroxysmal" refers to an arrhythmia which has a spontaneous onset and offset.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Dr. Kerr testified that prior to 1997 there was very little evidence that atrial flutter was associated with any increased risk of stroke. This was thought to be the case because of the relatively organized contraction of the atria. Dr. Kerr also testified that prior to 1997 the medical literature did not indicate any need to anticoagulate patients in atrial flutter, other than possibly at the time of cardioversion (the restoration of normal rhythm of the heart by electrical shock).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Dr. L.B. Mitchell, a Calgary cardiologist and electrophysiologist, whose practice focuses on the management of cardiac arrhythmias, testified for the defence that it was not until the late 1990s that cardiologists began treating patients in atrial flutter the same way as patients in atrial fibrillation. He said that recommendations to the effect that atrial flutter patients should, in the absence of clinical data to the contrary, be treated like patients with atrial fibrillation emerged in the late 1990s. The first persuasive report that Dr. Mitchell could locate purporting to indicate an elevated risk of thromboembolic events in patients with atrial flutter was dated April 1997. That report, K.A. Wood et al., "Risk of Thromboembolism in Chronic Atrial Flutter" (1997) 79 American Journal of Cardiology 1043, states, inter alia,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Surprisingly, the incidence of thromboembolism events in patients with chronic atrial flutter has not been carefully studied. The major investigational trials, for example, have not addressed these issues in patients with atrial flutter, and the risk for systemic embolic events in flutter is unclear. Historically, medical therapy for patients with atrial flutter has not included anticoagulation. The conventional practice of recommending no anticoagulation therapy in patients with flutter has been based on sparse clinical experience and is still currently debated.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Dr. Mitchell confirmed that epidemiologic studies have demonstrated that the apparent risk of thromboembolic events in patients with atrial flutter is about one third that in patients with either atrial fibrillation alone, or atrial fibrillation combined with atrial flutter.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Dr. A. Laupacis, a general internist and epidemiologist, and a consultant to three medical schools, including the University of Toronto, University of Ottawa and University of Western Ontario, has a Masters Degree in Design Management in Evaluation from the Department of Clinical Epidemiology and Biostatistics at McMaster University, and has extensive experience as a researcher, particular in the area of clinical trials and health services research. Dr. Laupacis has been actively involved in a number of clinical trials involving antithrombotic therapy (Warfarin and aspirin) for atrial fibrillation. Inter alia, Dr. Laupacis chaired the chapter on atrial fibrillation in the American Consensus Conference on Antithrombotic Therapy in Atrial Fibrillation published in Chest in 1992 and 1995, as well as in 1998: A. Laupacis et al., "Antithrombotic Therapy in Atrial Fibrillation" (1998) 114 Chest 579S.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According to Dr. Laupacis, who also testified for the defence, the evidence regarding the risk of stroke in atrial flutter patients, and the efficacy of antithrombotic therapy in these patients is "scanty". He explained that there are no randomized clinical trials of antithrombotic therapy for patients in atrial flutter.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1995, the American Consensus Conference guidelines made no recommendations for the management of chronic atrial flutter. There had, however, been several case reports of embolization following cardioversion in patients with pure atrial flutter. It was therefore suggested that consideration be given to managing flutter patients similarly to atrial fibrillation at the time of cardioversion, although this was a grade C recommendation (meaning that it was based upon poor scientific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Thus, the evidence is that the medical literature prior to March 1997 did not support anticoagulating patients with atrial flutter. It was only in 1998 that the American Consensus Conference guidelines indicated the possibility of an increased risk of stroke in patients in chronic atrial flutter and, even in that publication, it was noted that a firm recommendation regarding oral anticoagulant therapy for patients in atrial flutter could not be made.</w:t>
      </w:r>
      <w:r>
        <w:rPr>
          <w:rFonts w:ascii="arial" w:eastAsia="arial" w:hAnsi="arial" w:cs="arial"/>
          <w:sz w:val="20"/>
          <w:lang w:val="en-US" w:eastAsia="en-US" w:bidi="ar-SA"/>
        </w:rPr>
        <w:cr/>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Atrial Fibrillation and Stroke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treatment of patients with atrial fibrillation evolved in the 1990s leading up to the time of the plaintiff's stroke in March 1997. The medical literature during this period studied a number of issues, including which patients were appropriate for Warfarin therapy based on the overall risk of stroke as balanced against the risks of Warfarin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In 1992, when the American Consensus Conference published its guidelines, there was no recommendation regarding anticoagulation for those with an enlarged left atrium. Dr. Kerr testified that throughout the 1990s there was conflicting data in the medical literature and no clear evidence that echocardiographic data was an independent predictor for stroke. Even the SPAF study, which showed a relationship between left atrial size and stroke, suggested that left atrial size had to be corrected for body surface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Dr. Kerr testified that the pooled data analysis of the clinical trials published in 1994 was extremely important, as it combined the results from all of the clinical trials and permitted conclusions from a consolidated data pool: see "Risk Factors for Stroke and Efficacy of Antithrombotic Therapy in Atrial Fibrillation", supra. This analysis permitted the investigators to iron out inconsistencies in information and to stratify patients at risk. He said that it was a pivotal study which led to the Consensus Conference which ultimately determined practice guidelines. He also said that because this multivariant analysis involved the pooling of several thousand patients, it was a much more powerful study than any one of the clinical trials viewed in isolation.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According to Dr. Mitchell, the pooled data analysis was a "seminal" publication, a "critical analysis" and "required reading" by everyone who dealt with arrhythmia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Dr. Kerr testified that the pooled data analysis outlined firm risk factors for stroke in patients with atrial fibrillation, including hypertension, previous stroke, increased age and diabetes. He said that these became, and remain, with subtle changes, the current predictors of stroke. He pointed out that the risk of stroke or embolic events in patients under the age of 65 years without these risk factors was considered to be very low and less than 1% per year, and that none of the patients in the studies under the age of 60 years without clinical risk factors had had a stroke. In addition, this analysis, referencing the SPAF study, simply said that "the addition of echocardiographic data may allow more refined classification of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The 1995 American Consensus Conference guidelines, did not list echocardiographic risk factors and simply made mention of the results of the SPAF study. The 1996 Canadian Consensus Conference guidelines were to a similar effect, although they added "moderate to severe" ventricular dysfunction, or congestive heart failure to the list of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Dr. Mitchell testified that the Consensus Conference guidelines are very important in clinical practice. He said that while they are not intended to be rules, they are guidelines to direct clinical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Dr. Mitchell confirmed that apart from the SPAF study none of the other clinical trials suggested a correlation between echocardiographic data and the risk of stroke. The Boston Area Study concluded that although many patients had abnormally large left atria, there was no association between the occurrence of stroke and left atrial size, stating: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Similarly, there was no association between the occurrence of stroke and left atrial size, sex, hypertension, and a variety of other clinical conditions and echocardiographic features.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Dr. Mitchell testified that there is a body of older medical literature, developed before an understanding of multivariant analysis, that performed univariant analysis of left atrial size. Some of the medical literature concluded that left atrial size was predictive, while some did not. Dr. Mitchell explained that this information is "not useful at all" because univariant analyses fails to consider the significance of a patient's clinical history, physical examination or various other relevant factors.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Plaintiff's counsel said that when Dr. Kerr last saw the plaintiff on August 30, 1993 he knew that the plaintiff had a left atrium that was not only enlarged, but which had increased in size over the previous three years. Although Dr. Mitchell said that the plaintiff's enlarged left atrium was not significant given the plaintiff's body size, counsel noted that Dr. Kerr did not discount it on this basis at the time. Dr. Kerr also recognised that the plaintiff could go on to develop atrial fibrillation.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his discovery evidence, Dr. Kerr said atrial enlargement can occur as a direct result of atrial flutter, or can be the result of some other unknown cause. He also said that the larger the atrium becomes, the more prone the patient is to developing abnormal rhythm, and if he already has atrial flutter there may be a predisposition to atrial fibrillation.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Counsel contended that by the time of the plaintiff's last visit to Dr. Kerr on August 30, 1993 the clinical trials all confirmed that Warfarin was effective in preventing stroke, and when properly used was quite safe.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Counsel also noted that at the material time the medical literature was still evolving and that the studies, and the analyses of them that followed play a major role in this case. But, he also argued that it is important to remember both what was actually done or said, and when it was done or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On this point plaintiff's counsel submitted that the overwhelming majority of patients in the clinical trials were over 65, and even most of those under 65 were probably closer to 65 than 40. He also said that when one considers the medical literature and applies it to the plaintiff one also has to consider how many patients in the studies are similar to the plaintiff, and how the impact of the studies may be lessened regarding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Dr. Laupacis testified that there were very few patients in the studies as young as the plaintiff. Dr. Mitchell gave the following evidence on the use of medical literature in clinical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Now, when a physician is considering medical studies or guidelines in the context of the treatment of a single patient, one thing that has to be considered is the extent to which the study can be seen to be valid for that patient?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generally speaking, for example, if you have a study that's only looked at a very small number of patients, that would affect the degree on which you can safely rely on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that's the frequent question that everybody asks about a study: Did they look at enough patients to justify drawing the conclusions they've drawn?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even when the total number of patients being looked at may be sufficient, the [doctor]still has to consider how many of those patients were reasonably comparable to the patients sitting in front of him?</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Plaintiff's counsel also said that the clinical trials only followed patients for an average of a year or two. He submitted that when, for example, expert witnesses point out that there were no strokes in the low risk patients, there is no way of knowing how many of those low risk patients may have had strokes after further time had elapsed.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Plaintiff's counsel noted that there was inconsistency among the clinical trials as to the clinical and other factors that should be regarded by the medical profession as increasing the risk of stroke in a patient. Moreover, plaintiff's counsel argued that the pooled data analysis was not published until 1994, and therefore would not have been available to Dr. Kerr when he last saw the plaintiff on August 30, 1993. Furthermore, plaintiff's counsel claimed that even the pooled data analysis did not address the issue of echocardiographic risk factors. He noted that such factors were the subject of a subsequent analysis that was not published until 1998, after the plaintiff's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Plaintiff's counsel argued that as of 1993, Dr. Kerr was aware that one of the studies from the clinical trials had identified an enlarged left atrium as a risk factor for stroke in atrial fibrillation patients. Counsel said that although the significance of this finding was discounted in 1998, at all times relevant to the plaintiff's treatment by Dr. Kerr suggestions that atrial dilation was a risk factor continued to be repeated by respected authors in the medical literature. Counsel pointed out that in fact one of those suggestions came from Dr. Kerr himself, or from students working under his supervision, at a major cardiology conference in 1996. Counsel said that this was not, like some of the other literature, simply a repetition of the findings of one earlier study, rather, according to Dr. Kerr's evidence, it was based on findings from a Canadian database that Dr. Kerr and others were developing.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Plaintiff's counsel said that Dr. Kerr agreed that while there were still conflicting views being expressed in the medical literature, he had to proceed on the basis that either side may turn out to be 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the position a cardiologist like yourself was in at that time is you had conflicting comments or conflicting conclusions from respected researchers?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of course when you're sitting there with the patient in front of you you can't always wait until these debates are resolved; sometimes you have to make a decision?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 in weighing your decision, you had to at least give some thought to the possibility that either side may be right, didn't you?</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Plaintiff's counsel submitted that this consideration would have had even greater force when Dr. Kerr's own research, although preliminary, was offering some support for the significance of atrial enlargement as a risk factor. He said that this evidence goes to whether, or what he would have done if Dr. Kerr had seen the plaintiff in 1995, or afterwards.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Plaintiff's counsel also submitted that any suggestion that the plaintiff's left atrium was large simply because the plaintiff is a big man was rebutted by the fact that three years prior to his visit to Dr. Kerr in August 1993 his left atrium had been much smaller. Plaintiff's counsel contended that the plaintiff's condition of atrial flutter may have caused it to grow in size. He pointed out that Dr. R. K. Mito, the plaintiff's expert cardiologist from Seattle, opined that the theory that the growth was caused by the atrial flutter was most likely. Dr. Kerr also said it could have been atrial flutter, or some other factor, but that he did not know what the exact cause was. Plaintiff's counsel said that, in any event, by August 30th Dr. Kerr concluded that the plaintiff's left atrium size was abnormal, and counsel submitted that by that time there was some medical literature to suggest that the combination of a large left atrium with atrial fibrillation increased a patient's risk of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Plaintiff's counsel also referred to the evidence of Dr. Mito who said: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again, how -- why is a clot more likely to form in a larger atrium than a smaller one?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Well, the size of the atrium -- I would phrase it this way: When the atrium enlarging is more likely a by-product of the arrythmia not vice versa. So having a large left atrium would imply that, in fact, this person is having a considerable amount of arrythmia, which then would increase the risk of blood clots forming.</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Dr. Mito said, and all expert witnesses agreed, that the same patient can have incidents of both atrial flutter and atrial fibrillation, or that a patient with atrial flutter can go on to develop atrial fibrillation without recognizing any difference on the basis of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Plaintiff's counsel also referred to the following testimony of Dr. Mito regarding what a cardiologist seeing the plaintiff in the early 1990s should have done: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 in 1993 you said the patient -- you should -- at least those options should be discussed with the patient. Would the use or the discussion of aspirin or anticoagulant have been dependent upon whether the patient was in atrial flutter or atrial fibrillation at that point?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 dilemma, and I think we always have this dilemma, is that someone who has atrial flutter could also have atrial fibrillation, whether they have it in the office when they come in and see us, whether they have it on a Holter monitor or any other means of monitoring we have available. And because of that, I think there is a -- a higher risk of clot formation with atrial flutter even if we can't document atrial fibrillation when they come into the office. My concern would be this patient has periods of atrial fibrillation which are not documented and he cannot symptomatically tell us that that is what is going on. So I would -- I would consider treating him along the lines of him having atrial fib, at least part of the time. It may not be all of the time but I think the risk is there and I would approach it as such.</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just for clarity, what treatment would that mean?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Initially I think in the early '90s for Mr. Dobie, I think aspirin should have been considered.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Plaintiff's counsel said that according to the medical literature, at least some eminent cardiologists were recommending the use of aspirin in low risk atrial fibrillation patients as early as 1991. Dr. Laupacis said, in his report dated February 5, 2001, that aspirin would have been a reasonable option in the early 1990s. While he testified that he would not personally have recommended aspirin at that stage, plaintiff's counsel argued that the duty of a physician to disclose relevant information to the patient is one that arises as a matter of law and does not depend on what medical experts think should be disclosed. He submitted that Dr. Laupacis' evidence was curious, and queried how is it a reasonable option if the option is not mentioned to the patient.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Finally, counsel referred to Dr. Mito who expressed the opinion that the plaintiff was a patient who required more frequent follow-up care by a cardiologist than the one to two years that Dr. Kerr suggested in 1993. Dr. Kerr also gave evidence that when a patient has atrial flutter, it is important to watch for signs that show he has moved on to atrial fibrillation. While he did not necessarily agree with the view, Dr. Kerr agreed, on cross-examination, that, at the relevant time, there were suggestions in the medical literature that stroke risk may be highest shortly after the onset of atrial fibrillation.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Referring to the defence experts' evidence that under the Canadian medical system patients do not see cardiologists as easily, or as frequently as they do in the United States where Dr. Mito practices, plaintiff's counsel pointed to Dr. Kerr's evidence, on cross-examination, that if he had considered there to be a need to see the plaintiff more frequently he would have done so. Counsel said that, in any case, restraints imposed by the health care system have not been accepted as a defence by this court when the care of an individual patient has been compromised: see Law Estate v. Simice </w:t>
      </w:r>
      <w:hyperlink r:id="rId879" w:history="1">
        <w:r>
          <w:rPr>
            <w:rFonts w:ascii="arial" w:eastAsia="arial" w:hAnsi="arial" w:cs="arial"/>
            <w:i/>
            <w:color w:val="0077CC"/>
            <w:sz w:val="20"/>
            <w:u w:val="single"/>
            <w:shd w:val="clear" w:color="auto" w:fill="FFFFFF"/>
            <w:lang w:val="en-US" w:eastAsia="en-US" w:bidi="ar-SA"/>
          </w:rPr>
          <w:t>(1994) 21 C.C.L.T. (2d) 228</w:t>
        </w:r>
      </w:hyperlink>
      <w:r>
        <w:rPr>
          <w:rFonts w:ascii="arial" w:eastAsia="arial" w:hAnsi="arial" w:cs="arial"/>
          <w:color w:val="000000"/>
          <w:sz w:val="20"/>
          <w:lang w:val="en-US" w:eastAsia="en-US" w:bidi="ar-SA"/>
        </w:rPr>
        <w:t xml:space="preserve"> (B.C.S.C.), aff'd </w:t>
      </w:r>
      <w:hyperlink r:id="rId880" w:history="1">
        <w:r>
          <w:rPr>
            <w:rFonts w:ascii="arial" w:eastAsia="arial" w:hAnsi="arial" w:cs="arial"/>
            <w:i/>
            <w:color w:val="0077CC"/>
            <w:sz w:val="20"/>
            <w:u w:val="single"/>
            <w:shd w:val="clear" w:color="auto" w:fill="FFFFFF"/>
            <w:lang w:val="en-US" w:eastAsia="en-US" w:bidi="ar-SA"/>
          </w:rPr>
          <w:t>17 B.C.L.R. (3d) 1</w:t>
        </w:r>
      </w:hyperlink>
      <w:r>
        <w:rPr>
          <w:rFonts w:ascii="arial" w:eastAsia="arial" w:hAnsi="arial" w:cs="arial"/>
          <w:color w:val="000000"/>
          <w:sz w:val="20"/>
          <w:lang w:val="en-US" w:eastAsia="en-US" w:bidi="ar-SA"/>
        </w:rPr>
        <w:t xml:space="preserve"> (C.A.).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Defendants'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The defendants submitted that all of the Consensus Conferences and scientific reviews confirmed that the plaintiff was at no time a candidate for anticoagulation therapy prior to his stroke in 1997 for the following reasons:</w:t>
      </w:r>
      <w:r>
        <w:rPr>
          <w:rFonts w:ascii="arial" w:eastAsia="arial" w:hAnsi="arial" w:cs="arial"/>
          <w:sz w:val="20"/>
          <w:lang w:val="en-US" w:eastAsia="en-US" w:bidi="ar-SA"/>
        </w:rPr>
        <w:cr/>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his stroke, the plaintiff was in atrial flutter, not atrial fibrillation;</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young and otherwise healthy; and</w:t>
      </w:r>
    </w:p>
    <w:p>
      <w:pPr>
        <w:numPr>
          <w:numId w:val="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symptoms were well-controlled on medication.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defendants further claim that even if the plaintiff had been in atrial fibrillation prior to his stroke in 1997, he had none of the recognised risk factors listed in the medical literature which would have led a reasonable cardiologist to suggest that the benefits of prescribing anticoagulation therapy outweighed the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Defence counsel submitted that in 1992, the plaintiff was found by echocardiogram data to have an enlarged left atrium and mild left ventricular dysfunction. At the time only one of the five clinical trials, the SPAF study, suggested that this factor might be a predictor of stroke. However, counsel pointed out that when the results of the SPAF study were further analyzed, it was determined that the increased risk of stroke was only present in patients with atrial fibrillation who, in addition to an enlarged left atrium, had moderate to severe left ventricular dysfunction. Ultimately, echocardiographic factors were not included in the list of accepted risk factors. Counsel noted that there was no evidence that prior to his stroke the plaintiff had any of the accepted risk factors.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With regard to the evidence that at one point in time Dr. Kerr himself considered an enlarged left atrium as a predictor of stoke, defence counsel submitted that this was a univariate analysis which ignored age or many other factors and looked only at echocardiographic data.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numPr>
          <w:numId w:val="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Follow-up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Despite Dr. Mito's testimony that, in his view, a one to two year follow-up by a cardiologist is too long for a patient like the plaintiff, in my opinion Dr. Kerr's suggestion to the plaintiff that he return to see him in one to two years time was not a breach of his duty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Dr. Mito conceded, in cross-examination, that the frequency of follow-up care for arrhythmia patients in the United States is heavily dependent on the individual patient's insurance coverage. Dr. Mito did not know what, if any, policies existed in Canada prior to 1997 regarding the use of Holter monitors (an ambulatory record of heart rate and rhythm over 24 hours) for patients like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Dr. Mito also admitted, in cross-examination, that he has never practiced cardiology anywhere in Canada, that he has never attended any Canadian cardiology conferences, that he has never been a part of a working group of Canadian cardiologists formulating cardiology practice guidelines, and that he has never reviewed the issues in this litigation with a practicing Canadian cardiologist. Dr. Mito conceded that he did not know how many electrophysiologists or cardiologists were in practice in British Columbia, how many patients they would be expected to see in any given year, the status of waiting lists in British Columbia for patients who are generally healthy and doing well on their medication but who have arrhythmias, or the practice in British Columbia regarding cardiology follow-up care for patients like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Dr. Kerr testified that there is a huge difference in manpower and waiting lists in British Columbia compared to the United States. There are only four to six electrophysiologists in all of British Columbia. Waiting lists for elective appointments to see Dr. Kerr at the time would have been two to three months, as compared to the one or two weeks described by Dr. Mito as being his experience in Seattle.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Dr. Mitchell was asked to comment on the evidence of Dr. Mito regarding the issue of follow-up care. Dr. Mitchell explained that patients like the plaintiff are not seen in Canada by cardiologists "anywhere near" as frequently as the three times annually suggested by Dr. Mito as being appropriate in this case. He said that, quite simply, there are not enough cardiologists in Canada to accommodate that. Dr. Mitchell testified further that, arguably, the requirement for three times annual follow-up care for patients like the plaintiff is excessive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In his practice, Dr. Mitchell sees patients with urgent clinical problems within two to three weeks. Routine problems are booked seven months in advance. When a patient is seen in atrial fibrillation or atrial flutter and therapy is instituted, Dr. Mitchell may see them once or twice thereafter, usually within six months, and then not again until new problems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If the plaintiff presented to Dr. Mitchell in atrial fibrillation in the 1990s as someone who was relatively young, otherwise healthy and active, with symptoms apparently under reasonable control on medication, Dr. Mitchell would have advised the plaintiff's family physician that arrangements had not been made for follow-up care, but that he would be happy to assist if problems arose. Dr. Mitchell would make no further follow-up visits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Dr. Mitchell, who did some of his training at Stanford University in the United States, testified that he is familiar with medical literature published which compares cardiology practice in Canada and the United States. He described those practices as "two different worlds". Dr. Mitchell explained that, in Canada, cardiology in general and cardiac electrophysiology in particular, are practiced as consultative services. There is no expectation of ongoing routine visits to specialists in the absence of new problems. A patient is seen and a consultation is provided. Usually if there is a cardiology intervention, further follow-up care is provided to assess the short-term effects of the treatment. Thereafter, the patient is returned to his or her family physician who reports back to the cardiologist if new problems arise.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Although Dr. Mitchell conceded that more visits to a cardiologist between 1993 and 1997 may have resulted in a greater chance of atrial fibrillation being identified if, in fact, the plaintiff had progressed to that arrhythmia, Dr. Mitchell did not agree that his therapy would have changed. Dr. Mitchell testified that the timing or fact of the plaintiff's possible progression into atrial fibrillation would not have been critical or problematic unless therapeutic recommendations changed with the diagnosis, which would not have been the case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Dr. Kerr stated that, following an initial referral to a specialist, further follow-up care becomes discretionary. If a patient remains stable and is seeing his general practitioner regularly, it is not necessary for the patient to see his cardiologist at any fixed time. Specifically, Dr. Kerr was of the view that the plaintiff was very stable, at very low risk for stroke, had virtually no symptoms (which were well-controlled on medication) and was maintaining an active lifestyle. In those circumstances, Dr. Kerr did not think that early follow-up care was necessary, nor did he think that there was any specific time frame within which the plaintiff had to return to see him. He viewed the plaintiff's medical condition as a long term one which might require periodic assessment over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It was suggested to Dr. Kerr, in cross-examination, that he would have wanted to see the plaintiff in one to two years after August 30, 1993, whether or not the plaintiff's condition remained stable, and he was doing well clinically. Dr. Kerr disagreed. His suggestion of a one to two year follow-up was a guideline for the consideration and assessment of the plaintiff's general practitioner, subject to the plaintiff's clinical status and general well being.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137</w:t>
      </w:r>
      <w:r>
        <w:rPr>
          <w:rFonts w:ascii="arial" w:eastAsia="arial" w:hAnsi="arial" w:cs="arial"/>
          <w:color w:val="000000"/>
          <w:sz w:val="20"/>
          <w:lang w:val="en-US" w:eastAsia="en-US" w:bidi="ar-SA"/>
        </w:rPr>
        <w:t>  Dr. Kerr did not accept the suggestion that further investigations, including a Holter monitor, would necessarily have been undertaken if the plaintiff had been seen by him after August 30, 1993, and before March 1997. Dr. Kerr testified, in cross-examination, that further investigations would only have been undertaken if there were clinical indications for doing so. According to him, if there was a good correlation between the plaintiff's symptoms and his diagnosis, further investigations would have been of minimal value.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138</w:t>
      </w:r>
      <w:r>
        <w:rPr>
          <w:rFonts w:ascii="arial" w:eastAsia="arial" w:hAnsi="arial" w:cs="arial"/>
          <w:color w:val="000000"/>
          <w:sz w:val="20"/>
          <w:lang w:val="en-US" w:eastAsia="en-US" w:bidi="ar-SA"/>
        </w:rPr>
        <w:t>  In my opinion, given Dr. Kerr's testimony, and the uncontradicted evidence of the defence experts on the substantial differences in frequency of follow-up care of a patient like the plaintiff by a cardiologist in Canada versus a cardiologist in the United States, Dr. Mito's evidence on this issue should not be accorded any weight. Rather, I am satisfied that the follow-up care suggested by Dr. Kerr to the plaintiff on August 30, 1993 met the standard of care required of a reasonable cardiologist in similar circumstances. Accordingly, I find that he cannot be held negligent on this ground.</w:t>
      </w:r>
      <w:r>
        <w:rPr>
          <w:rFonts w:ascii="arial" w:eastAsia="arial" w:hAnsi="arial" w:cs="arial"/>
          <w:sz w:val="20"/>
          <w:lang w:val="en-US" w:eastAsia="en-US" w:bidi="ar-SA"/>
        </w:rPr>
        <w:cr/>
      </w:r>
    </w:p>
    <w:p>
      <w:pPr>
        <w:numPr>
          <w:numId w:val="16"/>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Appropriate Treatment</w:t>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Expert Evidence on the Appropriate Treatment of the Plaintiff - Anticoagulation Therapy, Aspirin or Nothing?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139</w:t>
      </w:r>
      <w:r>
        <w:rPr>
          <w:rFonts w:ascii="arial" w:eastAsia="arial" w:hAnsi="arial" w:cs="arial"/>
          <w:color w:val="000000"/>
          <w:sz w:val="20"/>
          <w:lang w:val="en-US" w:eastAsia="en-US" w:bidi="ar-SA"/>
        </w:rPr>
        <w:t xml:space="preserve">  In addition to Dr. Mito, Dr. J.C. Callaghan, a cardiac surgeon, testified for the plaintiff. While he was qualified by the court as an expert in disorders of the heart, I ruled that Dr. Callaghan was not qualified to give evidence on the issue of whether or not Dr. Kerr's medical management of the plaintiff met the standard of care of a reasonable cardiologist: see Dobie v. Dlin, </w:t>
      </w:r>
      <w:hyperlink r:id="rId881" w:history="1">
        <w:r>
          <w:rPr>
            <w:rFonts w:ascii="arial" w:eastAsia="arial" w:hAnsi="arial" w:cs="arial"/>
            <w:i/>
            <w:color w:val="0077CC"/>
            <w:sz w:val="20"/>
            <w:u w:val="single"/>
            <w:shd w:val="clear" w:color="auto" w:fill="FFFFFF"/>
            <w:lang w:val="en-US" w:eastAsia="en-US" w:bidi="ar-SA"/>
          </w:rPr>
          <w:t>[2001] B.C.J. No. 2258</w:t>
        </w:r>
      </w:hyperlink>
      <w:r>
        <w:rPr>
          <w:rFonts w:ascii="arial" w:eastAsia="arial" w:hAnsi="arial" w:cs="arial"/>
          <w:color w:val="000000"/>
          <w:sz w:val="20"/>
          <w:lang w:val="en-US" w:eastAsia="en-US" w:bidi="ar-SA"/>
        </w:rPr>
        <w:t xml:space="preserve"> (B.C.S.C.). Accordingly, only the evidence of Drs. Mito, Kerr, Mitchell and Laupacis will be considered on this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140</w:t>
      </w:r>
      <w:r>
        <w:rPr>
          <w:rFonts w:ascii="arial" w:eastAsia="arial" w:hAnsi="arial" w:cs="arial"/>
          <w:color w:val="000000"/>
          <w:sz w:val="20"/>
          <w:lang w:val="en-US" w:eastAsia="en-US" w:bidi="ar-SA"/>
        </w:rPr>
        <w:t>  Between 1989 and 1992, the clinical trials demonstrated that Warfarin markedly decreased the risk of stroke in patients with atrial fibrillation by approximately two thirds. In 1992, the efficacy of Warfarin was generally accepted in the medical community and was considered standard therapy for the anticoagulation of patients with atrial fibrillation who had a sufficiently high risk of stroke to justify the risks of this treatment. This recommendation remained unchanged through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141</w:t>
      </w:r>
      <w:r>
        <w:rPr>
          <w:rFonts w:ascii="arial" w:eastAsia="arial" w:hAnsi="arial" w:cs="arial"/>
          <w:color w:val="000000"/>
          <w:sz w:val="20"/>
          <w:lang w:val="en-US" w:eastAsia="en-US" w:bidi="ar-SA"/>
        </w:rPr>
        <w:t>  Dr. Kerr testified that, prior to March 1997 patients in lone atrial fibrillation, namely those under 65 years of age with no other risk factors, were not treated with anticoagulation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142</w:t>
      </w:r>
      <w:r>
        <w:rPr>
          <w:rFonts w:ascii="arial" w:eastAsia="arial" w:hAnsi="arial" w:cs="arial"/>
          <w:color w:val="000000"/>
          <w:sz w:val="20"/>
          <w:lang w:val="en-US" w:eastAsia="en-US" w:bidi="ar-SA"/>
        </w:rPr>
        <w:t>  Dr. Mitchell explained that the side effects of Warfarin therapy are dominated by the possibility of serious bleeding disorders and that the frequency of those disorders, which range from minor bleeds and stroke to death, is in the order of 1 to 2%. Dr. Mitchell testified that the neurologic injury from a haemorrhagic stroke suffered due to a bleeding complication from Warfarin is indistinguishable from a thrombotic stroke suffered as a result of a blood clot lodging in the brain.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143</w:t>
      </w:r>
      <w:r>
        <w:rPr>
          <w:rFonts w:ascii="arial" w:eastAsia="arial" w:hAnsi="arial" w:cs="arial"/>
          <w:color w:val="000000"/>
          <w:sz w:val="20"/>
          <w:lang w:val="en-US" w:eastAsia="en-US" w:bidi="ar-SA"/>
        </w:rPr>
        <w:t>  Dr. Mitchell testified that, in practice, a physician, when faced with the unpleasant task of providing a therapy that could be dangerous, attempts to identify those patients who are most likely to benefit from treatment. Conversely, Dr. Mitchell explained that those who do not stand to benefit from the therapy should not be subjected to its risks.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144</w:t>
      </w:r>
      <w:r>
        <w:rPr>
          <w:rFonts w:ascii="arial" w:eastAsia="arial" w:hAnsi="arial" w:cs="arial"/>
          <w:color w:val="000000"/>
          <w:sz w:val="20"/>
          <w:lang w:val="en-US" w:eastAsia="en-US" w:bidi="ar-SA"/>
        </w:rPr>
        <w:t>  Dr. Mitchell testified that, in patients with nonvalvular atrial fibrillation under the age of 60 years who have no clinical risk factors, the risk of thromboembolic stroke is very low and indistinguishable from that of an age and sex matched control patient population. The epidemiologic literature has identified that risk as being approximately 0.35% per year. Dr. Mitchell testified that the plaintiff would have fallen into this category and that his annual risk of stroke, even assuming he had been diagnosed with atrial fibrillation, would have been 0.35% per year.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145</w:t>
      </w:r>
      <w:r>
        <w:rPr>
          <w:rFonts w:ascii="arial" w:eastAsia="arial" w:hAnsi="arial" w:cs="arial"/>
          <w:color w:val="000000"/>
          <w:sz w:val="20"/>
          <w:lang w:val="en-US" w:eastAsia="en-US" w:bidi="ar-SA"/>
        </w:rPr>
        <w:t>  Dr. Laupacis agreed that Warfarin is associated with important side effects, the most serious being an increased risk of major bleeding which can occur anywhere in the body, including the brain. The risk of a major bleed in a patient on Warfarin is, Dr. Laupacis stated, in the range of 1 to 2% per year. Dr. Laupacis gave evidence that, assuming the plaintiff was in atrial flutter, the only arrhythmia diagnosed by electrocardiogram prior to 1997, the risk of bleeding on aspirin would be "of comparable magnitude" to the risk of stroke. For the same reasons expressed by Drs. Mitchell and Kerr, Dr. Laupacis confirmed that the risk/benefit analysis in the plaintiff's case clearly favoured no anticoagulation.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146</w:t>
      </w:r>
      <w:r>
        <w:rPr>
          <w:rFonts w:ascii="arial" w:eastAsia="arial" w:hAnsi="arial" w:cs="arial"/>
          <w:color w:val="000000"/>
          <w:sz w:val="20"/>
          <w:lang w:val="en-US" w:eastAsia="en-US" w:bidi="ar-SA"/>
        </w:rPr>
        <w:t>  On this point, Dr. Mito conceded, in cross-examination, that a cardiologist must be careful before putting a patient on Warfarin because the risks of that treatment may outweigh any possible benefits. He thought that the risk of a major bleed on Warfarin was in the range of 1 to 2%. Dr. Mito agreed that, if patients are prescribed Warfarin, they typically stay on that medication for the rest of their lives and that, because Warfarin is associated with the risk of major and fatal bleeds, that, in part, explained all of the research which was ongoing in the late 1980s and through the 1990s regarding its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147</w:t>
      </w:r>
      <w:r>
        <w:rPr>
          <w:rFonts w:ascii="arial" w:eastAsia="arial" w:hAnsi="arial" w:cs="arial"/>
          <w:color w:val="000000"/>
          <w:sz w:val="20"/>
          <w:lang w:val="en-US" w:eastAsia="en-US" w:bidi="ar-SA"/>
        </w:rPr>
        <w:t>  Dr. Mito accepted as appropriate a consideration of the following factors in determining whether or not to prescribe anticoagulation therapy to a patient in atrial flutter:</w:t>
      </w:r>
      <w:r>
        <w:rPr>
          <w:rFonts w:ascii="arial" w:eastAsia="arial" w:hAnsi="arial" w:cs="arial"/>
          <w:sz w:val="20"/>
          <w:lang w:val="en-US" w:eastAsia="en-US" w:bidi="ar-SA"/>
        </w:rPr>
        <w:cr/>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risk of a bleed from the medication;</w:t>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or not the patient is usually symptom free;</w:t>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patient's history of symptoms;</w:t>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severity and frequency of the patient's symptoms;</w:t>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age of the patient;</w:t>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patient's lifestyle including whether they are athletic and play contact sports; and</w:t>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medication the patient is on for his arrhythmia seems to be efficacious.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148</w:t>
      </w:r>
      <w:r>
        <w:rPr>
          <w:rFonts w:ascii="arial" w:eastAsia="arial" w:hAnsi="arial" w:cs="arial"/>
          <w:color w:val="000000"/>
          <w:sz w:val="20"/>
          <w:lang w:val="en-US" w:eastAsia="en-US" w:bidi="ar-SA"/>
        </w:rPr>
        <w:t>  Dr. Mito agreed that, before making a judgement call regarding whether or not to implement therapy which might be "ahead of one's time" given the existing published guidelines, a reasonable cardiologist would want to consider the proposed treatment and its associated risks. Dr. Mito also agreed that it might be a very bad idea to give a patient medication which could cause them to bleed to death without good indications for doing so, and that any medical literature would have to be reviewed carefully and critically by a practising cardiologist prior to his determining whether or not it should alter his pattern of practice on its 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149</w:t>
      </w:r>
      <w:r>
        <w:rPr>
          <w:rFonts w:ascii="arial" w:eastAsia="arial" w:hAnsi="arial" w:cs="arial"/>
          <w:color w:val="000000"/>
          <w:sz w:val="20"/>
          <w:lang w:val="en-US" w:eastAsia="en-US" w:bidi="ar-SA"/>
        </w:rPr>
        <w:t>  Dr. Mito admitted, in cross-examination, that the medical literature recommended that, in patients in lone atrial fibrillation, the risk of stroke was approximately 1% per year, or less. Dr. Mito accepted that, given the relatively low risk of stroke in patients in lone atrial fibrillation, the medical literature recommended that those patients not be anticoagulated. Dr. Mito also agreed that patients in atrial flutter have strokes approximately one third as often as patients in atrial fibrillation. In other words, patients in lone atrial flutter would have a risk of stroke of approximately 0.3%. On this analysis, Dr. Mito agreed that the risk of bleeding on anticoagulation therapy at 2% far outweighed the risk of stroke at 0.3% for patients in lone atrial flutter.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150</w:t>
      </w:r>
      <w:r>
        <w:rPr>
          <w:rFonts w:ascii="arial" w:eastAsia="arial" w:hAnsi="arial" w:cs="arial"/>
          <w:color w:val="000000"/>
          <w:sz w:val="20"/>
          <w:lang w:val="en-US" w:eastAsia="en-US" w:bidi="ar-SA"/>
        </w:rPr>
        <w:t>  On the issue of whether Dr. Kerr should have prescribed aspirin, Dr. Mito said that in the early 1990s he would have "considered" giving aspirin to the plaintiff, but he did not say that he would have recommended it. He agreed that it was reasonable not to prescribe it at any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151</w:t>
      </w:r>
      <w:r>
        <w:rPr>
          <w:rFonts w:ascii="arial" w:eastAsia="arial" w:hAnsi="arial" w:cs="arial"/>
          <w:color w:val="000000"/>
          <w:sz w:val="20"/>
          <w:lang w:val="en-US" w:eastAsia="en-US" w:bidi="ar-SA"/>
        </w:rPr>
        <w:t>  In chief, Dr. Mito testified that it was thought that aspirin reduced the risk of stroke in patients with atrial fibrillation by approximately 50%. He did not say where this percentage figure came from. It is not found in the medical literature. In cross-examination, Dr. Mito agreed that, apart from the SPAF study, no other clinical trial indicated that there was any benefit from aspirin and that this was why investigators were exploring this issue through 1994 and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152</w:t>
      </w:r>
      <w:r>
        <w:rPr>
          <w:rFonts w:ascii="arial" w:eastAsia="arial" w:hAnsi="arial" w:cs="arial"/>
          <w:color w:val="000000"/>
          <w:sz w:val="20"/>
          <w:lang w:val="en-US" w:eastAsia="en-US" w:bidi="ar-SA"/>
        </w:rPr>
        <w:t>  The SPAF study concluded that aspirin was effective, albeit not at a rate of 50%, in those with atrial fibrillation. However, the AFASAK study came to the opposite conclusion stating, "In this study aspirin had no significant effect on the occurrence of thromboembolic complications or vascular death". The Boston Area study said that their results were "more consistent with a lack of effect of aspirin, even at a dose of 325 mg per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153</w:t>
      </w:r>
      <w:r>
        <w:rPr>
          <w:rFonts w:ascii="arial" w:eastAsia="arial" w:hAnsi="arial" w:cs="arial"/>
          <w:color w:val="000000"/>
          <w:sz w:val="20"/>
          <w:lang w:val="en-US" w:eastAsia="en-US" w:bidi="ar-SA"/>
        </w:rPr>
        <w:t>  The 1994 pooled data analysis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Evidence for the efficacy of aspirin was less consistent than for warfarin. Aspirin appeared effective in patients with a history of hypertension (risk reduction of 59%), but showed no apparent benefit in those without hypertension.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154</w:t>
      </w:r>
      <w:r>
        <w:rPr>
          <w:rFonts w:ascii="arial" w:eastAsia="arial" w:hAnsi="arial" w:cs="arial"/>
          <w:color w:val="000000"/>
          <w:sz w:val="20"/>
          <w:lang w:val="en-US" w:eastAsia="en-US" w:bidi="ar-SA"/>
        </w:rPr>
        <w:t>  By 1995, the American Consensus Conference guidelines came to the conclusion that for patients under 65 years with no risk factors, aspirin or nothing could be given. Dr. Mito accepted that this was a reasonable recommendation.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155</w:t>
      </w:r>
      <w:r>
        <w:rPr>
          <w:rFonts w:ascii="arial" w:eastAsia="arial" w:hAnsi="arial" w:cs="arial"/>
          <w:color w:val="000000"/>
          <w:sz w:val="20"/>
          <w:lang w:val="en-US" w:eastAsia="en-US" w:bidi="ar-SA"/>
        </w:rPr>
        <w:t>  Dr. Mito also accepted the recommendations contained in the 1996 Canadian Consensus Conference guidelines, which included a table of risk factors for stroke and atrial fibrillation. Included in the recommendations was the following statement: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findings of clinical trials provide modest support for an effect of ASA (one-fifth reduction in stroke). ASA should be used in high risk patients in whom anticoagulation is contraindicated. It can be used in low risk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156</w:t>
      </w:r>
      <w:r>
        <w:rPr>
          <w:rFonts w:ascii="arial" w:eastAsia="arial" w:hAnsi="arial" w:cs="arial"/>
          <w:color w:val="000000"/>
          <w:sz w:val="20"/>
          <w:lang w:val="en-US" w:eastAsia="en-US" w:bidi="ar-SA"/>
        </w:rPr>
        <w:t>  Dr. Mito was referred, in cross-examination, to the findings in the 1996 Canadian Consensus Conference guidelines that there is only a 20%, or one-fifth reduction in stroke in patients with atrial fibrillation treated with aspirin. Dr. Mito stated that, this number "may be a little bit higher" in patients with hypertension. Otherwise, Dr. Mito accepted that a 20% reduction in the risk of stroke in atrial fibrillation patients treated with aspirin was a reasonable number, as opposed to the figure of 50% which he had given in chief.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157</w:t>
      </w:r>
      <w:r>
        <w:rPr>
          <w:rFonts w:ascii="arial" w:eastAsia="arial" w:hAnsi="arial" w:cs="arial"/>
          <w:color w:val="000000"/>
          <w:sz w:val="20"/>
          <w:lang w:val="en-US" w:eastAsia="en-US" w:bidi="ar-SA"/>
        </w:rPr>
        <w:t>  Dr. Mito conceded that there was "absolutely no evidence" that aspirin would do any good if the plaintiff was, as he was in fact diagnosed, in atrial flutter. In cross-examination, Dr. Mito effectively rejected the efficacy, if any, of aspirin in the treatment of patients like the plaintiff prior to 1997. When asked, he stated that he considered Warfarin, without aspirin, to have been the drug of choice.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158</w:t>
      </w:r>
      <w:r>
        <w:rPr>
          <w:rFonts w:ascii="arial" w:eastAsia="arial" w:hAnsi="arial" w:cs="arial"/>
          <w:color w:val="000000"/>
          <w:sz w:val="20"/>
          <w:lang w:val="en-US" w:eastAsia="en-US" w:bidi="ar-SA"/>
        </w:rPr>
        <w:t>  Dr. Mito ultimately accepted that, in the absence of ischemic heart disease and hypertension, there was no good evidence to link aspirin with any beneficial results. In addition, Dr. Mito conceded that if a patient was diagnosed as being in atrial flutter rather than atrial fibrillation, there was, by 1997, absolutely no evidence that aspirin would do any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159</w:t>
      </w:r>
      <w:r>
        <w:rPr>
          <w:rFonts w:ascii="arial" w:eastAsia="arial" w:hAnsi="arial" w:cs="arial"/>
          <w:color w:val="000000"/>
          <w:sz w:val="20"/>
          <w:lang w:val="en-US" w:eastAsia="en-US" w:bidi="ar-SA"/>
        </w:rPr>
        <w:t>  Dr. Kerr testified that, prior to 1997, several studies looked at the effect of aspirin on arrhythmia patients with conflicting results. The recommendations were that aspirin could be given to patients at high risk but that, otherwise, there was no indication for aspirin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160</w:t>
      </w:r>
      <w:r>
        <w:rPr>
          <w:rFonts w:ascii="arial" w:eastAsia="arial" w:hAnsi="arial" w:cs="arial"/>
          <w:color w:val="000000"/>
          <w:sz w:val="20"/>
          <w:lang w:val="en-US" w:eastAsia="en-US" w:bidi="ar-SA"/>
        </w:rPr>
        <w:t>  On the point that the clinical trials provided some modest support for the use of aspirin therapy in high risk patients where anticoagulation therapy was contraindicated, Dr. Kerr testified that it was not until 1998 that the first recommendation emerged about the use of aspirin therapy in arrhythmia patients considered to be at low risk for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161</w:t>
      </w:r>
      <w:r>
        <w:rPr>
          <w:rFonts w:ascii="arial" w:eastAsia="arial" w:hAnsi="arial" w:cs="arial"/>
          <w:color w:val="000000"/>
          <w:sz w:val="20"/>
          <w:lang w:val="en-US" w:eastAsia="en-US" w:bidi="ar-SA"/>
        </w:rPr>
        <w:t>  Dr. Mitchell testified that the pooled data analysis determined that the risk of stroke was only reduced in patients receiving aspirin therapy who had hypertension. Dr. Mitchell explained that the atrial fibrillation investigators who pooled the data from the clinical trials concluded that there was a marginal benefit from aspirin therapy in the broad spectrum of patients with atrial fibrillation in the order of 20%. Dr. Mitchell highlighted the fact that, although the relative risk reduction was determined to be 20%, if the risk were already essentially zero, reducing that risk further was a meaningless exercise. Dr. Mitchell was referring to the fact that in the pooled data analysis no patients under the age of 60 without clinical risk factors suffered an embolic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162</w:t>
      </w:r>
      <w:r>
        <w:rPr>
          <w:rFonts w:ascii="arial" w:eastAsia="arial" w:hAnsi="arial" w:cs="arial"/>
          <w:color w:val="000000"/>
          <w:sz w:val="20"/>
          <w:lang w:val="en-US" w:eastAsia="en-US" w:bidi="ar-SA"/>
        </w:rPr>
        <w:t>  Dr. Laupacis testified that the evidence that aspirin decreases the risk of stroke in patients with atrial fibrillation is much less compelling than for Warfarin. Dr. Laupacis testified that, because of the plaintiff's low risk of stroke and the fact that there was no evidence to support the efficacy of aspirin in patients with atrial flutter, he would not have recommended aspirin for the plaintiff.</w:t>
      </w:r>
      <w:r>
        <w:rPr>
          <w:rFonts w:ascii="arial" w:eastAsia="arial" w:hAnsi="arial" w:cs="arial"/>
          <w:sz w:val="20"/>
          <w:lang w:val="en-US" w:eastAsia="en-US" w:bidi="ar-SA"/>
        </w:rPr>
        <w:cr/>
      </w:r>
    </w:p>
    <w:p>
      <w:pPr>
        <w:numPr>
          <w:numId w:val="2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163</w:t>
      </w:r>
      <w:r>
        <w:rPr>
          <w:rFonts w:ascii="arial" w:eastAsia="arial" w:hAnsi="arial" w:cs="arial"/>
          <w:color w:val="000000"/>
          <w:sz w:val="20"/>
          <w:lang w:val="en-US" w:eastAsia="en-US" w:bidi="ar-SA"/>
        </w:rPr>
        <w:t>  There is no dispute on the evidence that it was not until 1997 or 1998 that cardiologists began to treat atrial flutter and atrial fibrillation as the same phenomena for the purposes of anticoagulation therapy, namely by prescribing Warfarin, and then only if there were additional risk factors. In addition, the uncontradicted evidence of the medical experts confirmed that the treatment of a patient with anticoagulation therapy necessarily involves a risk/benefit analysis because anticoagulation therapy is associated with potentially significant adverse consequences, including major bleeding episodes and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164</w:t>
      </w:r>
      <w:r>
        <w:rPr>
          <w:rFonts w:ascii="arial" w:eastAsia="arial" w:hAnsi="arial" w:cs="arial"/>
          <w:color w:val="000000"/>
          <w:sz w:val="20"/>
          <w:lang w:val="en-US" w:eastAsia="en-US" w:bidi="ar-SA"/>
        </w:rPr>
        <w:t>  Dr. Kerr acknowledged that the plaintiff was demonstrated to have an enlarged left atrium by echocardiogram dated July 16, 1992. Dr. Kerr agreed, in cross-examination, that prior to 1997 there were some articles published which referred to the possible association between echocardiographic data and the risk of stroke. Dr. Kerr explained, however, that the information contained in those publications was never translated into recommendations. In making treatment decisions, Dr. Kerr stated that a cardiologist would necessarily consider all of the available medical literature on an ongoing basis, together with an assessment of a patient's clinical status. Different medical options would only be reviewed with a patient if and when it appeared that there was a significant choice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165</w:t>
      </w:r>
      <w:r>
        <w:rPr>
          <w:rFonts w:ascii="arial" w:eastAsia="arial" w:hAnsi="arial" w:cs="arial"/>
          <w:color w:val="000000"/>
          <w:sz w:val="20"/>
          <w:lang w:val="en-US" w:eastAsia="en-US" w:bidi="ar-SA"/>
        </w:rPr>
        <w:t>  Dr. Mitchell testified that the SPAF study was the only one of the clinical trials that referred to a relationship between echocardiographic data and stroke prediction. He pointed out that cardiologists were reluctant to change their practices based upon one study. As Dr. Mitchell explained, even if the plaintiff had been in atrial fibrillation, not one patient under age 60 in the clinical trials, without clinical risk factors, had a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166</w:t>
      </w:r>
      <w:r>
        <w:rPr>
          <w:rFonts w:ascii="arial" w:eastAsia="arial" w:hAnsi="arial" w:cs="arial"/>
          <w:color w:val="000000"/>
          <w:sz w:val="20"/>
          <w:lang w:val="en-US" w:eastAsia="en-US" w:bidi="ar-SA"/>
        </w:rPr>
        <w:t>  Moreover, Dr. Mitchell calculated the plaintiff's left atrium size corrected for body mass at 2.06 cm/m2. Dr. Mitchell testified that the plaintiff's left atrium enlargement was "not impressive" and explained that an individual of the plaintiff's stature would be expected to have a larger left atrium than many other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167</w:t>
      </w:r>
      <w:r>
        <w:rPr>
          <w:rFonts w:ascii="arial" w:eastAsia="arial" w:hAnsi="arial" w:cs="arial"/>
          <w:color w:val="000000"/>
          <w:sz w:val="20"/>
          <w:lang w:val="en-US" w:eastAsia="en-US" w:bidi="ar-SA"/>
        </w:rPr>
        <w:t>  Dr. Laupacis confirmed that the plaintiff had no risk factors for stroke. He was young, had no high blood pressure, diabetes, symptoms of heart failure, or a previous TIA or stroke. Dr. Laupacis would have considered the plaintiff to be at extremely low risk of stroke and would not have recommended Warfarin because, in his view, the risks of bleeding from that treatment would have outweighed any theoretical benefit.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168</w:t>
      </w:r>
      <w:r>
        <w:rPr>
          <w:rFonts w:ascii="arial" w:eastAsia="arial" w:hAnsi="arial" w:cs="arial"/>
          <w:color w:val="000000"/>
          <w:sz w:val="20"/>
          <w:lang w:val="en-US" w:eastAsia="en-US" w:bidi="ar-SA"/>
        </w:rPr>
        <w:t>  While Dr. Mito said he would have considered treating the plaintiff as if he had atrial fibrillation, he conceded that medical therapy for patients with atrial flutter during the relevant time period had not included anticoagulation. When asked whether the majority of his cardiology colleagues were prescribing Warfarin for patients in atrial flutter prior to 1997, Dr. Mito stated that he was unable to speak to the practice of the majority of cardiologists in that regard. He did, however, acknowledge that the 1997 American Journal of Cardiology article, supra, indicates that, historically, medical therapy for patients with atrial flutter has not included anticoagulation.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169</w:t>
      </w:r>
      <w:r>
        <w:rPr>
          <w:rFonts w:ascii="arial" w:eastAsia="arial" w:hAnsi="arial" w:cs="arial"/>
          <w:color w:val="000000"/>
          <w:sz w:val="20"/>
          <w:lang w:val="en-US" w:eastAsia="en-US" w:bidi="ar-SA"/>
        </w:rPr>
        <w:t>  Dr. Mito also conceded that there were conflicting conclusions in the medical literature regarding the significance of echocardiographic data in predicting stroke in patients with atrial fibrillation and that the consensus was that more research was required in this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170</w:t>
      </w:r>
      <w:r>
        <w:rPr>
          <w:rFonts w:ascii="arial" w:eastAsia="arial" w:hAnsi="arial" w:cs="arial"/>
          <w:color w:val="000000"/>
          <w:sz w:val="20"/>
          <w:lang w:val="en-US" w:eastAsia="en-US" w:bidi="ar-SA"/>
        </w:rPr>
        <w:t>  Dr. Mito ultimately accepted that clinicians may, depending on their training, experience and expertise, in the same circumstances, assess information and exercise their clinical judgement differently. He agreed that the fact that cardiologists may disagree on the appropriate therapeutic approach does not mean that one cardiologist is wrong and has thus has fallen below the accepted standard of care. On this point, he testified, in cross-examination,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Doctor, do you accept that the consensus literature points to the conclusion that it is quite appropriate not to anticoagulate a patient who is a lone fibrillator?</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one of the considerations, Doctor, in their coming to that recommendation is the consideration of the risk of a bleed from the medication itself?</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And further: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Then, Doctor, is it fair to say that some cardiologists would conclude that whether Mr. Dobie was in flutter or fibrillation it was lone flutter or fibrillation?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some cardiologists would say so.</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would be a reasonable opinion?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in the presence of lone flutter or lone fibrillation, the medical opinion is clear that there's no need to anticoagulate; agreed?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I agree.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171</w:t>
      </w:r>
      <w:r>
        <w:rPr>
          <w:rFonts w:ascii="arial" w:eastAsia="arial" w:hAnsi="arial" w:cs="arial"/>
          <w:color w:val="000000"/>
          <w:sz w:val="20"/>
          <w:lang w:val="en-US" w:eastAsia="en-US" w:bidi="ar-SA"/>
        </w:rPr>
        <w:t>  Thus, while Dr. Mito might have treated the plaintiff's medical condition differently than did Dr. Kerr, at the end of the day Dr. Mito agreed, in cross-examination, that a reasonable cardiologist could have taken Dr. Kerr's approach to the plaintiff's treatment.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172</w:t>
      </w:r>
      <w:r>
        <w:rPr>
          <w:rFonts w:ascii="arial" w:eastAsia="arial" w:hAnsi="arial" w:cs="arial"/>
          <w:color w:val="000000"/>
          <w:sz w:val="20"/>
          <w:lang w:val="en-US" w:eastAsia="en-US" w:bidi="ar-SA"/>
        </w:rPr>
        <w:t>  In my view, the weight evidence in this case is that a reputable body of medical opinion was to the effect that, by August 1993, the plaintiff would not have been offered anticoagulation therapy, even if he was identified as being in atrial fibrillation, which he was not. Based on the expert evidence, the risk of stroke to the plaintiff while he was in atrial flutter was almost zero, not significantly different from the risk of stroke in the normal age and sex-matched population. Even if the plaintiff was in atrial fibrillation prior to March 1997, all the experts agreed that he would have been considered to be in lone atrial fibrillation, and therefore his stroke risk would have been 1% or less. The experts also agreed that the risk of bleeding associated with Warfarin would have outweighed any benefits prior to March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173</w:t>
      </w:r>
      <w:r>
        <w:rPr>
          <w:rFonts w:ascii="arial" w:eastAsia="arial" w:hAnsi="arial" w:cs="arial"/>
          <w:color w:val="000000"/>
          <w:sz w:val="20"/>
          <w:lang w:val="en-US" w:eastAsia="en-US" w:bidi="ar-SA"/>
        </w:rPr>
        <w:t>  Therefore, on the issue of whether Dr. Kerr should have placed the plaintiff on anticoagulation therapy in August 1993, I find that Dr. Kerr acted in accordance with the weight of a reputable body of medical opinion when he decided not to place the plaintiff on anticoagulation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174</w:t>
      </w:r>
      <w:r>
        <w:rPr>
          <w:rFonts w:ascii="arial" w:eastAsia="arial" w:hAnsi="arial" w:cs="arial"/>
          <w:color w:val="000000"/>
          <w:sz w:val="20"/>
          <w:lang w:val="en-US" w:eastAsia="en-US" w:bidi="ar-SA"/>
        </w:rPr>
        <w:t>  Furthermore, while Dr. Mito testified that in 1993 he would have suggested aspirin, all of the cardiologists, including Dr. Mito, agreed that there was no evidence that aspirin would be of benefit to a patient in atrial flutter. Even if the plaintiff was in atrial fibrillation, there was no consensus recommendation during the relevant period that aspirin be provided. Thus, whether the plaintiff was in atrial flutter or atrial fibrillation, the evidence is that there was no reason for Dr. Kerr to prescribe aspirin to the plaintiff until consensus had been reached as to its efficacy.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175</w:t>
      </w:r>
      <w:r>
        <w:rPr>
          <w:rFonts w:ascii="arial" w:eastAsia="arial" w:hAnsi="arial" w:cs="arial"/>
          <w:color w:val="000000"/>
          <w:sz w:val="20"/>
          <w:lang w:val="en-US" w:eastAsia="en-US" w:bidi="ar-SA"/>
        </w:rPr>
        <w:t>  Thus, in my view, on the whole of the evidence, Dr. Kerr did not fall below the standard of care of a reasonable cardiologist in his treatment of the plaintiff. Accordingly, he did not breach his duty to the plaintiff and cannot be found negligent.</w:t>
      </w:r>
      <w:r>
        <w:rPr>
          <w:rFonts w:ascii="arial" w:eastAsia="arial" w:hAnsi="arial" w:cs="arial"/>
          <w:sz w:val="20"/>
          <w:lang w:val="en-US" w:eastAsia="en-US" w:bidi="ar-SA"/>
        </w:rPr>
        <w:cr/>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If Either of the Defendants Acted in Breach of Their Duty to the Plaintiff, Did Their Breach Cause His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1255"/>
        <w:gridCol w:w="7529"/>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22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Answer:</w:t>
            </w:r>
          </w:p>
        </w:tc>
        <w:tc>
          <w:tcPr>
            <w:tcW w:w="7373"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176</w:t>
      </w:r>
      <w:r>
        <w:rPr>
          <w:rFonts w:ascii="arial" w:eastAsia="arial" w:hAnsi="arial" w:cs="arial"/>
          <w:color w:val="000000"/>
          <w:sz w:val="20"/>
          <w:lang w:val="en-US" w:eastAsia="en-US" w:bidi="ar-SA"/>
        </w:rPr>
        <w:t>  While it is unnecessary for the court to resolve the issue of causation unless a finding has been made in favour of the plaintiff on the issue of standard of care, in my opinion, even had I found that one or both of the defendants had acted in breach of their duty to the plaintiff, the plaintiff could not succeed on the issue of causation.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Plaintiff's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177</w:t>
      </w:r>
      <w:r>
        <w:rPr>
          <w:rFonts w:ascii="arial" w:eastAsia="arial" w:hAnsi="arial" w:cs="arial"/>
          <w:color w:val="000000"/>
          <w:sz w:val="20"/>
          <w:lang w:val="en-US" w:eastAsia="en-US" w:bidi="ar-SA"/>
        </w:rPr>
        <w:t>  Plaintiff's counsel argued that it was inconceivable that had Dr. Kerr seen the plaintiff in 1995, or after, and identified atrial fibrillation that he would not have discussed with him the options of Warfarin or aspirin. Counsel submitted that the assumption is that at some point after Dr. Dlin examined the plaintiff in 1995 atrial fibrillation was there to be found by Dr. Kerr, if Dr. Kerr was following the plaintiff's care, but this did not happen. Counsel noted that even if the plaintiff stayed in atrial flutter, Dr. Mito said that by 1995 the plaintiff's condition would have justified treatment by aspirin or Warfarin, and that even if the plaintiff was in atrial flutter, his dilated left atrium must be of concern.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178</w:t>
      </w:r>
      <w:r>
        <w:rPr>
          <w:rFonts w:ascii="arial" w:eastAsia="arial" w:hAnsi="arial" w:cs="arial"/>
          <w:color w:val="000000"/>
          <w:sz w:val="20"/>
          <w:lang w:val="en-US" w:eastAsia="en-US" w:bidi="ar-SA"/>
        </w:rPr>
        <w:t>  Plaintiff's counsel submitted that it was a matter of logic that if the plaintiff's condition can turn from atrial flutter to atrial fibrillation, and this is a risk known to the medical experts, then it must follow that if there is a reasonable means of prevention it must be considered. Plaintiff's counsel also argued that if a standard is to ignore a risk that is there then that standard is too low, no matter what the position of the medical experts. Counsel said that by not having a discussion with the plaintiff about the options, Dr. Kerr put the plaintiff at an increased risk of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179</w:t>
      </w:r>
      <w:r>
        <w:rPr>
          <w:rFonts w:ascii="arial" w:eastAsia="arial" w:hAnsi="arial" w:cs="arial"/>
          <w:color w:val="000000"/>
          <w:sz w:val="20"/>
          <w:lang w:val="en-US" w:eastAsia="en-US" w:bidi="ar-SA"/>
        </w:rPr>
        <w:t>  Plaintiff's counsel also noted that at the time of his stroke the plaintiff was found to be in atrial fibrillation, and that atrial fibrillation was identified as the cause of his stroke. He submitted that there is no evidence to suggest otherwise, and that the only reasonable inference to be drawn by the court is that at some point prior to his stroke the plaintiff developed atrial fibrillation, if he was not having undetected episodes as far back as 1988.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180</w:t>
      </w:r>
      <w:r>
        <w:rPr>
          <w:rFonts w:ascii="arial" w:eastAsia="arial" w:hAnsi="arial" w:cs="arial"/>
          <w:color w:val="000000"/>
          <w:sz w:val="20"/>
          <w:lang w:val="en-US" w:eastAsia="en-US" w:bidi="ar-SA"/>
        </w:rPr>
        <w:t>  Counsel said that because the plaintiff was not seen by Dr. Kerr at any time after August 30, 1993, and because Dr. Dlin only addressed his cardiac status on a single occasion after that date, there is no way to know when the plaintiff went into atrial fibrillation, or the frequency with which he was having episodes of fibrillation. The evidence is that a patient can be having fibrillation on an occasional, or a chronic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181</w:t>
      </w:r>
      <w:r>
        <w:rPr>
          <w:rFonts w:ascii="arial" w:eastAsia="arial" w:hAnsi="arial" w:cs="arial"/>
          <w:color w:val="000000"/>
          <w:sz w:val="20"/>
          <w:lang w:val="en-US" w:eastAsia="en-US" w:bidi="ar-SA"/>
        </w:rPr>
        <w:t>  Counsel argued that because the plaintiff did not have the follow-up care that was required, the most that can be said is the proposition that Dr. Mitchell agreed to: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he had had more than one single office electrocardiogram in a four-year -- in the four-year period leading up to his stroke, he may -- that -- there would be a greater chance of fibrillation being identified if he in fact had gone into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That is correct.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182</w:t>
      </w:r>
      <w:r>
        <w:rPr>
          <w:rFonts w:ascii="arial" w:eastAsia="arial" w:hAnsi="arial" w:cs="arial"/>
          <w:color w:val="000000"/>
          <w:sz w:val="20"/>
          <w:lang w:val="en-US" w:eastAsia="en-US" w:bidi="ar-SA"/>
        </w:rPr>
        <w:t>  Counsel also referred to Dr. Kerr's evidence that every patient diagnosed with atrial fibrillation must be considered for the possibility of a stroke risk, and the evidence of Dr. Mito that by 1995 the plaintiff should have been given Warfarin if he was found to be in fibrillation, or for that matter even if he was found to be in flutter.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183</w:t>
      </w:r>
      <w:r>
        <w:rPr>
          <w:rFonts w:ascii="arial" w:eastAsia="arial" w:hAnsi="arial" w:cs="arial"/>
          <w:color w:val="000000"/>
          <w:sz w:val="20"/>
          <w:lang w:val="en-US" w:eastAsia="en-US" w:bidi="ar-SA"/>
        </w:rPr>
        <w:t>  Plaintiff's counsel referred to the evidence of Drs. Kerr, Mitchell and Laupacis who all said that even if the plaintiff had been identified as being in atrial fibrillation, he would not have been a candidate for Warfarin because of his low risk status. However, counsel submitted that this is a view coloured by their current knowledge, and it ignored the fact that at the relevant time there were still suggestions in the medical literature that a dilated atrium was an independent predictor of stroke, and that one of those suggestions had in fact come from Dr. Kerr himself.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184</w:t>
      </w:r>
      <w:r>
        <w:rPr>
          <w:rFonts w:ascii="arial" w:eastAsia="arial" w:hAnsi="arial" w:cs="arial"/>
          <w:color w:val="000000"/>
          <w:sz w:val="20"/>
          <w:lang w:val="en-US" w:eastAsia="en-US" w:bidi="ar-SA"/>
        </w:rPr>
        <w:t>  Counsel said that the importance of discussing options with a patient, and the kind of decisions that would follow were described by Dr. Kerr: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he would then have to be told what the various treatment options were?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there were sufficient -- yes, at a particular time -- course in time.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Options need to be reviewed when there appears to be a significant choice that's involved.</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And when you do that, the patient has to be fully informed of the risks and benefits so they can make a proper decision; right?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believe that to be the case with any treatment option.</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 And some patients will think that strokes sound so horrible they are prepared to run the risks that may be associated with Warfarin in order to avoid what they see as the more immediate or more severe risk.</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 think the choice is a personal 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185</w:t>
      </w:r>
      <w:r>
        <w:rPr>
          <w:rFonts w:ascii="arial" w:eastAsia="arial" w:hAnsi="arial" w:cs="arial"/>
          <w:color w:val="000000"/>
          <w:sz w:val="20"/>
          <w:lang w:val="en-US" w:eastAsia="en-US" w:bidi="ar-SA"/>
        </w:rPr>
        <w:t>  Referring to a passage from the medical literature, Dr. Kerr testified,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"Many AF patients have a great fear of suffering a stroke and wish to take Warfarin for relatively -- for a relatively small decrease in the risk of stroke while others would prefer aspirin in this situation."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You'd agree with that?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that is something that was obvious even before this paper was published in 1998?</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186</w:t>
      </w:r>
      <w:r>
        <w:rPr>
          <w:rFonts w:ascii="arial" w:eastAsia="arial" w:hAnsi="arial" w:cs="arial"/>
          <w:color w:val="000000"/>
          <w:sz w:val="20"/>
          <w:lang w:val="en-US" w:eastAsia="en-US" w:bidi="ar-SA"/>
        </w:rPr>
        <w:t>  Counsel submitted that given the opinions being publicly expressed by Dr. Kerr, or at least students working under his supervision, it is inconceivable that he would not have discussed that risk factor with the plaintiff, and at least have given him the option of Warfarin. Counsel contended that the plaintiff never had the opportunity to consider the risks and options because his condition was not properly followed.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187</w:t>
      </w:r>
      <w:r>
        <w:rPr>
          <w:rFonts w:ascii="arial" w:eastAsia="arial" w:hAnsi="arial" w:cs="arial"/>
          <w:color w:val="000000"/>
          <w:sz w:val="20"/>
          <w:lang w:val="en-US" w:eastAsia="en-US" w:bidi="ar-SA"/>
        </w:rPr>
        <w:t>  Counsel also submitted that, in any event, Dr. Laupacis said that by 1995 he would have recommended aspirin for a patient with atrial fibrillation. Given that Dr. Laupacis said that a discussion of aspirin would be reasonable in 1993, when the plaintiff had been identified as only having atrial flutter, counsel submitted that there can be no reason for not having the same discussion in 1995, or 1996 even if the plaintiff still only had atrial flutter at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188</w:t>
      </w:r>
      <w:r>
        <w:rPr>
          <w:rFonts w:ascii="arial" w:eastAsia="arial" w:hAnsi="arial" w:cs="arial"/>
          <w:color w:val="000000"/>
          <w:sz w:val="20"/>
          <w:lang w:val="en-US" w:eastAsia="en-US" w:bidi="ar-SA"/>
        </w:rPr>
        <w:t>  Dr. Kerr's discovery evidence was that he would have discussed aspirin with a patient who had atrial fibrillation by 1996 or 1997. Dr. Mitchell agreed that he was having that discussion with patients by 1997. Counsel said that whatever the specific date, it is obvious that a recommendation for aspirin, or at least the option of aspirin, would have been presented to the plaintiff prior to his stroke, if atrial fibrillation had been identified. Dr. Kerr described the discussion he would have had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if a patient is told: You're very -- there's a risk of stroke here. I think it's very low. You don't need the major medication for it, but here's something we can do that might reduce the risk further with relatively low additional risk of its own, that's something a patient -- a lot of -- many patients would reasonably make the decision to use it?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lot would. I think I would -- the way I would discuss that with a patient is I would say that: You do not appear that you are a high risk candidate, and therefore I would not recommend Warfarin in this situation. There is some suggestion that aspirin may play a role, although there's no proven evidence that it will reduce this. But it is something that has a very little down side, and you may wish to consider taking it.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189</w:t>
      </w:r>
      <w:r>
        <w:rPr>
          <w:rFonts w:ascii="arial" w:eastAsia="arial" w:hAnsi="arial" w:cs="arial"/>
          <w:color w:val="000000"/>
          <w:sz w:val="20"/>
          <w:lang w:val="en-US" w:eastAsia="en-US" w:bidi="ar-SA"/>
        </w:rPr>
        <w:t>  Counsel submitted that on that basis, a reasonable person in the position of the plaintiff would have been more likely than not to take aspirin.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190</w:t>
      </w:r>
      <w:r>
        <w:rPr>
          <w:rFonts w:ascii="arial" w:eastAsia="arial" w:hAnsi="arial" w:cs="arial"/>
          <w:color w:val="000000"/>
          <w:sz w:val="20"/>
          <w:lang w:val="en-US" w:eastAsia="en-US" w:bidi="ar-SA"/>
        </w:rPr>
        <w:t>  Counsel argued that no expert has said that aspirin would not have prevented the plaintiff's stroke. The most that Drs. Kerr, Mitchell and Laupacis could do was point out that the medical literature identified about a 20% effectiveness rate for aspirin. However, counsel said that they all conceded that this figure is derived from specific studies that looked at the effectiveness of patients across all risk categories, including patients who had already suffered from one stroke, and patients with other risk factors who would now be clearly recognised in the high risk category requiring Warfarin therapy. He said that, once again, the vast majority of patients in these studies were much older than the plaintiff. Dr. Kerr gave the following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 right. So when we talk about 20 percent, we're talking about an average over all risk factors.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 we are.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to -- now, the problem of trying to translate that into a low-risk population is, first of all, fortunately you have relatively few patients with strokes to look at in the first place?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Absolutely.</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so the degree of reduction in patients in that category becomes hard to quantify?</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becomes -- yes, it becomes -- it becomes an unquantifiable amount because the numbers are so small.</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as you say, what you'd have to do to know for sure was do a study of about a thousand low-risk patients?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732"/>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Yes.</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Some taking Aspirin, some not?</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Right.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521"/>
        <w:gridCol w:w="240"/>
        <w:gridCol w:w="8027"/>
        <w:gridCol w:w="104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Q</w:t>
            </w:r>
          </w:p>
        </w:tc>
        <w:tc>
          <w:tcPr>
            <w:tcW w:w="205"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And they'd have to be followed presumably for some lengthy period of time?</w:t>
            </w:r>
          </w:p>
        </w:tc>
        <w:tc>
          <w:tcPr>
            <w:tcW w:w="1024"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205"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It would be calculated. When you design a clinical trial, you take into account the event rate and the -- and you calculate numbers and duration of the trial based on that amount. But it would undoubtedly require a huge trial that will -- unlikely ever to be done.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191</w:t>
      </w:r>
      <w:r>
        <w:rPr>
          <w:rFonts w:ascii="arial" w:eastAsia="arial" w:hAnsi="arial" w:cs="arial"/>
          <w:color w:val="000000"/>
          <w:sz w:val="20"/>
          <w:lang w:val="en-US" w:eastAsia="en-US" w:bidi="ar-SA"/>
        </w:rPr>
        <w:t>  Counsel submitted that in the absence of scientific evidence, the most that can be said is that aspirin would have reduced the risk of the stroke the plaintiff suffered.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192</w:t>
      </w:r>
      <w:r>
        <w:rPr>
          <w:rFonts w:ascii="arial" w:eastAsia="arial" w:hAnsi="arial" w:cs="arial"/>
          <w:color w:val="000000"/>
          <w:sz w:val="20"/>
          <w:lang w:val="en-US" w:eastAsia="en-US" w:bidi="ar-SA"/>
        </w:rPr>
        <w:t xml:space="preserve">  Counsel also argued that in Snell v. Farrell, </w:t>
      </w:r>
      <w:hyperlink r:id="rId80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the Supreme Court of Canada recognised the inherent difficulty of proving causation that exists in many medical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cases. The court said that in the absence of evidence to the contrary, very little evidence will support a finding of causation. If there is some evidence to the contrary, the court is to take a "robust and pragmatic" approach. Most importantly, the court made clear that it is not necessary for expert witnesses to provide a firm opinion supporting the plaintiff's theory of causation, or to state an opinion in particular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193</w:t>
      </w:r>
      <w:r>
        <w:rPr>
          <w:rFonts w:ascii="arial" w:eastAsia="arial" w:hAnsi="arial" w:cs="arial"/>
          <w:color w:val="000000"/>
          <w:sz w:val="20"/>
          <w:lang w:val="en-US" w:eastAsia="en-US" w:bidi="ar-SA"/>
        </w:rPr>
        <w:t xml:space="preserve">  Counsel submitted that the reasoning in Snell v. Farrell, supra, was anticipated by our Court of Appeal in Haag v. Marshall </w:t>
      </w:r>
      <w:hyperlink r:id="rId882" w:history="1">
        <w:r>
          <w:rPr>
            <w:rFonts w:ascii="arial" w:eastAsia="arial" w:hAnsi="arial" w:cs="arial"/>
            <w:i/>
            <w:color w:val="0077CC"/>
            <w:sz w:val="20"/>
            <w:u w:val="single"/>
            <w:shd w:val="clear" w:color="auto" w:fill="FFFFFF"/>
            <w:lang w:val="en-US" w:eastAsia="en-US" w:bidi="ar-SA"/>
          </w:rPr>
          <w:t>(1989), 39 B.C.L.R. (2d) 205</w:t>
        </w:r>
      </w:hyperlink>
      <w:r>
        <w:rPr>
          <w:rFonts w:ascii="arial" w:eastAsia="arial" w:hAnsi="arial" w:cs="arial"/>
          <w:color w:val="000000"/>
          <w:sz w:val="20"/>
          <w:lang w:val="en-US" w:eastAsia="en-US" w:bidi="ar-SA"/>
        </w:rPr>
        <w:t xml:space="preserve"> (C.A.) 213, and applied by that court in Lankenau v. Dutton </w:t>
      </w:r>
      <w:hyperlink r:id="rId883" w:history="1">
        <w:r>
          <w:rPr>
            <w:rFonts w:ascii="arial" w:eastAsia="arial" w:hAnsi="arial" w:cs="arial"/>
            <w:i/>
            <w:color w:val="0077CC"/>
            <w:sz w:val="20"/>
            <w:u w:val="single"/>
            <w:shd w:val="clear" w:color="auto" w:fill="FFFFFF"/>
            <w:lang w:val="en-US" w:eastAsia="en-US" w:bidi="ar-SA"/>
          </w:rPr>
          <w:t>(1991), 55 B.C.L.R. (2d) 218</w:t>
        </w:r>
      </w:hyperlink>
      <w:r>
        <w:rPr>
          <w:rFonts w:ascii="arial" w:eastAsia="arial" w:hAnsi="arial" w:cs="arial"/>
          <w:color w:val="000000"/>
          <w:sz w:val="20"/>
          <w:lang w:val="en-US" w:eastAsia="en-US" w:bidi="ar-SA"/>
        </w:rPr>
        <w:t xml:space="preserve"> (C.A.), leave to appeal to the S.C.C. dismissed, </w:t>
      </w:r>
      <w:hyperlink r:id="rId884" w:history="1">
        <w:r>
          <w:rPr>
            <w:rFonts w:ascii="arial" w:eastAsia="arial" w:hAnsi="arial" w:cs="arial"/>
            <w:i/>
            <w:color w:val="0077CC"/>
            <w:sz w:val="20"/>
            <w:u w:val="single"/>
            <w:shd w:val="clear" w:color="auto" w:fill="FFFFFF"/>
            <w:lang w:val="en-US" w:eastAsia="en-US" w:bidi="ar-SA"/>
          </w:rPr>
          <w:t>[1991] S.C.C.A. No. 252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194</w:t>
      </w:r>
      <w:r>
        <w:rPr>
          <w:rFonts w:ascii="arial" w:eastAsia="arial" w:hAnsi="arial" w:cs="arial"/>
          <w:color w:val="000000"/>
          <w:sz w:val="20"/>
          <w:lang w:val="en-US" w:eastAsia="en-US" w:bidi="ar-SA"/>
        </w:rPr>
        <w:t xml:space="preserve">  Counsel said that the principles in Snell v. Farrell, supra, allow a finding of causation where it is found that the defendant materially increased the risk of injury. See Webster v. Chapman </w:t>
      </w:r>
      <w:hyperlink r:id="rId885" w:history="1">
        <w:r>
          <w:rPr>
            <w:rFonts w:ascii="arial" w:eastAsia="arial" w:hAnsi="arial" w:cs="arial"/>
            <w:i/>
            <w:color w:val="0077CC"/>
            <w:sz w:val="20"/>
            <w:u w:val="single"/>
            <w:shd w:val="clear" w:color="auto" w:fill="FFFFFF"/>
            <w:lang w:val="en-US" w:eastAsia="en-US" w:bidi="ar-SA"/>
          </w:rPr>
          <w:t>(1997), 126 Man R. (2d) 13</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195</w:t>
      </w:r>
      <w:r>
        <w:rPr>
          <w:rFonts w:ascii="arial" w:eastAsia="arial" w:hAnsi="arial" w:cs="arial"/>
          <w:color w:val="000000"/>
          <w:sz w:val="20"/>
          <w:lang w:val="en-US" w:eastAsia="en-US" w:bidi="ar-SA"/>
        </w:rPr>
        <w:t>  Counsel argued that in this case, the plaintiff was not seen by Dr. Kerr for four years, during which time he apparently developed the condition that led to his stroke. Because he was not seen, he was not given the advice about aspirin that he would have been given by that time. Because he was not given the opportunity to take aspirin, the plaintiff's risk of stroke was materially increased.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196</w:t>
      </w:r>
      <w:r>
        <w:rPr>
          <w:rFonts w:ascii="arial" w:eastAsia="arial" w:hAnsi="arial" w:cs="arial"/>
          <w:color w:val="000000"/>
          <w:sz w:val="20"/>
          <w:lang w:val="en-US" w:eastAsia="en-US" w:bidi="ar-SA"/>
        </w:rPr>
        <w:t xml:space="preserve">  Counsel also argued that the "robust and pragmatic approach" to causation mandated by Snell v. Farrell, supra, includes consideration of the fact that better evidence on causation failed to come into existence as a direct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See Heidebrecht v. Fraser-Burrard Hospital Society, </w:t>
      </w:r>
      <w:hyperlink r:id="rId886" w:history="1">
        <w:r>
          <w:rPr>
            <w:rFonts w:ascii="arial" w:eastAsia="arial" w:hAnsi="arial" w:cs="arial"/>
            <w:i/>
            <w:color w:val="0077CC"/>
            <w:sz w:val="20"/>
            <w:u w:val="single"/>
            <w:shd w:val="clear" w:color="auto" w:fill="FFFFFF"/>
            <w:lang w:val="en-US" w:eastAsia="en-US" w:bidi="ar-SA"/>
          </w:rPr>
          <w:t>[1996] B.C.J. No. 3042</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197</w:t>
      </w:r>
      <w:r>
        <w:rPr>
          <w:rFonts w:ascii="arial" w:eastAsia="arial" w:hAnsi="arial" w:cs="arial"/>
          <w:color w:val="000000"/>
          <w:sz w:val="20"/>
          <w:lang w:val="en-US" w:eastAsia="en-US" w:bidi="ar-SA"/>
        </w:rPr>
        <w:t>  He said that in this case, any uncertainty about what would have happened had there been further involvement of Dr. Kerr arises from the fact that Dr. Dlin negligently failed to make a new referral, or to follow-up the matter in any way after May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198</w:t>
      </w:r>
      <w:r>
        <w:rPr>
          <w:rFonts w:ascii="arial" w:eastAsia="arial" w:hAnsi="arial" w:cs="arial"/>
          <w:color w:val="000000"/>
          <w:sz w:val="20"/>
          <w:lang w:val="en-US" w:eastAsia="en-US" w:bidi="ar-SA"/>
        </w:rPr>
        <w:t xml:space="preserve">  Counsel also referred to the decision of this court in Bigcharles v. Dawson Creek and District Health Care Society et al., </w:t>
      </w:r>
      <w:hyperlink r:id="rId887" w:history="1">
        <w:r>
          <w:rPr>
            <w:rFonts w:ascii="arial" w:eastAsia="arial" w:hAnsi="arial" w:cs="arial"/>
            <w:i/>
            <w:color w:val="0077CC"/>
            <w:sz w:val="20"/>
            <w:u w:val="single"/>
            <w:shd w:val="clear" w:color="auto" w:fill="FFFFFF"/>
            <w:lang w:val="en-US" w:eastAsia="en-US" w:bidi="ar-SA"/>
          </w:rPr>
          <w:t>[1999] B.C.J. No. 1795</w:t>
        </w:r>
      </w:hyperlink>
      <w:r>
        <w:rPr>
          <w:rFonts w:ascii="arial" w:eastAsia="arial" w:hAnsi="arial" w:cs="arial"/>
          <w:color w:val="000000"/>
          <w:sz w:val="20"/>
          <w:lang w:val="en-US" w:eastAsia="en-US" w:bidi="ar-SA"/>
        </w:rPr>
        <w:t xml:space="preserve"> (S.C.), aff'd </w:t>
      </w:r>
      <w:hyperlink r:id="rId888" w:history="1">
        <w:r>
          <w:rPr>
            <w:rFonts w:ascii="arial" w:eastAsia="arial" w:hAnsi="arial" w:cs="arial"/>
            <w:i/>
            <w:color w:val="0077CC"/>
            <w:sz w:val="20"/>
            <w:u w:val="single"/>
            <w:shd w:val="clear" w:color="auto" w:fill="FFFFFF"/>
            <w:lang w:val="en-US" w:eastAsia="en-US" w:bidi="ar-SA"/>
          </w:rPr>
          <w:t>(2001) 91 B.C.L.R. (3d) 82</w:t>
        </w:r>
      </w:hyperlink>
      <w:r>
        <w:rPr>
          <w:rFonts w:ascii="arial" w:eastAsia="arial" w:hAnsi="arial" w:cs="arial"/>
          <w:color w:val="000000"/>
          <w:sz w:val="20"/>
          <w:lang w:val="en-US" w:eastAsia="en-US" w:bidi="ar-SA"/>
        </w:rPr>
        <w:t xml:space="preserve"> (C.A.), leave to appeal to the S.C.C. dismissed </w:t>
      </w:r>
      <w:hyperlink r:id="rId889" w:history="1">
        <w:r>
          <w:rPr>
            <w:rFonts w:ascii="arial" w:eastAsia="arial" w:hAnsi="arial" w:cs="arial"/>
            <w:i/>
            <w:color w:val="0077CC"/>
            <w:sz w:val="20"/>
            <w:u w:val="single"/>
            <w:shd w:val="clear" w:color="auto" w:fill="FFFFFF"/>
            <w:lang w:val="en-US" w:eastAsia="en-US" w:bidi="ar-SA"/>
          </w:rPr>
          <w:t>[2001] S.C.C.A. No. 390</w:t>
        </w:r>
      </w:hyperlink>
      <w:r>
        <w:rPr>
          <w:rFonts w:ascii="arial" w:eastAsia="arial" w:hAnsi="arial" w:cs="arial"/>
          <w:color w:val="000000"/>
          <w:sz w:val="20"/>
          <w:lang w:val="en-US" w:eastAsia="en-US" w:bidi="ar-SA"/>
        </w:rPr>
        <w:t xml:space="preserve">, where the issue was whether the plaintiff's paraplegia was caused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occurred in the hospital to which he was taken following a motor vehicle accident. An expert witness called by the plaintiff in effect said that aggravation of the injury possibly resulted from the plaintiff's treatment in the hospital. Defence experts offered a positive opinion that the injury was complete at the time of the accident and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occurred in hospital was of no causative importance.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199</w:t>
      </w:r>
      <w:r>
        <w:rPr>
          <w:rFonts w:ascii="arial" w:eastAsia="arial" w:hAnsi="arial" w:cs="arial"/>
          <w:color w:val="000000"/>
          <w:sz w:val="20"/>
          <w:lang w:val="en-US" w:eastAsia="en-US" w:bidi="ar-SA"/>
        </w:rPr>
        <w:t>  Fraser J. said that if he had only the evidence of the plaintiff's expert, and no evidence, or evidence of little weight to the contrary, he would have found causation on the basis of Snell v. Farrell, supra. He said that because there were firm opinions, from the defence experts, he was left in a position where he could not decide between the conflicting opinions and that Snell v. Farrell, supra, did not come into play because there was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200</w:t>
      </w:r>
      <w:r>
        <w:rPr>
          <w:rFonts w:ascii="arial" w:eastAsia="arial" w:hAnsi="arial" w:cs="arial"/>
          <w:color w:val="000000"/>
          <w:sz w:val="20"/>
          <w:lang w:val="en-US" w:eastAsia="en-US" w:bidi="ar-SA"/>
        </w:rPr>
        <w:t>  Counsel submitted that the difference between that case and this one is that in Bigcharles v. Dawson Creek and District Health Care Society et al., supra, there were firm opinions to the effect that different treatment would have made no difference. He said that no such opinion had been given in this case. He also said that the evidence is clear that aspirin reduces the risk of stroke to some extent: the only uncertainty is the percentage by which it would have reduced the risk in the plaintiff's case because that has not been the subject of specific study in patients like the plaintiff. Counsel submitted that is exactly the kind of fact pattern which Snell v. Farrell, supra, is intended to cover.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w:t>
      </w:r>
      <w:r>
        <w:rPr>
          <w:rFonts w:ascii="arial" w:eastAsia="arial" w:hAnsi="arial" w:cs="arial"/>
          <w:color w:val="000000"/>
          <w:sz w:val="20"/>
          <w:lang w:val="en-US" w:eastAsia="en-US" w:bidi="ar-SA"/>
        </w:rPr>
        <w:t xml:space="preserve">  Counsel also argued that as long as a defendant is part of the cause of an injury, a defendant is liable, even though the defendant's act alone was not enough to create the injury. In particular, there can be no apportionment of damages between tortious and non-tortious causes. See Athey v. Leonati,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202</w:t>
      </w:r>
      <w:r>
        <w:rPr>
          <w:rFonts w:ascii="arial" w:eastAsia="arial" w:hAnsi="arial" w:cs="arial"/>
          <w:color w:val="000000"/>
          <w:sz w:val="20"/>
          <w:lang w:val="en-US" w:eastAsia="en-US" w:bidi="ar-SA"/>
        </w:rPr>
        <w:t>  Counsel concluded that based on the foregoing evidence and principles, the failure of Dr. Dlin to re-refer the plaintiff to Dr. Kerr and/or Dr. Kerr's own failure to recommend earlier and more frequent follow-up care clearly contributed to the plaintiff's injury, and they must therefore be held liable for the damage he has suffered.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203</w:t>
      </w:r>
      <w:r>
        <w:rPr>
          <w:rFonts w:ascii="arial" w:eastAsia="arial" w:hAnsi="arial" w:cs="arial"/>
          <w:color w:val="000000"/>
          <w:sz w:val="20"/>
          <w:lang w:val="en-US" w:eastAsia="en-US" w:bidi="ar-SA"/>
        </w:rPr>
        <w:t>  In my opinion, the plaintiff has failed to establish a causal connection between Dr. Dlin's decision not to re-refer the plaintiff to Dr. Kerr in May or June 1995, and the plaintiff's outcome, a stroke in March 1997.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204</w:t>
      </w:r>
      <w:r>
        <w:rPr>
          <w:rFonts w:ascii="arial" w:eastAsia="arial" w:hAnsi="arial" w:cs="arial"/>
          <w:color w:val="000000"/>
          <w:sz w:val="20"/>
          <w:lang w:val="en-US" w:eastAsia="en-US" w:bidi="ar-SA"/>
        </w:rPr>
        <w:t>  Dr. Kerr testified, and I accept his evidence, that if he had seen the plaintiff in June 1995 and been provided with the results of the electrocardiogram dated June 7, 1995 he would not have altered his treatment unless the plaintiff had experienced a change in symptoms. Specifically, he would not have placed the plaintiff on Warfarin.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205</w:t>
      </w:r>
      <w:r>
        <w:rPr>
          <w:rFonts w:ascii="arial" w:eastAsia="arial" w:hAnsi="arial" w:cs="arial"/>
          <w:color w:val="000000"/>
          <w:sz w:val="20"/>
          <w:lang w:val="en-US" w:eastAsia="en-US" w:bidi="ar-SA"/>
        </w:rPr>
        <w:t>  Dr. Kerr testified further, and I accept his evidence, that if the plaintiff's clinical status remained unchanged (on the plaintiff's own evidence, his symptoms remained the same in frequency and severity up to March 1997) but he had been found to be in atrial fibrillation by the electrocardiogram done on June 7, 1995, his treatment of the plaintiff would still have remained the same.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206</w:t>
      </w:r>
      <w:r>
        <w:rPr>
          <w:rFonts w:ascii="arial" w:eastAsia="arial" w:hAnsi="arial" w:cs="arial"/>
          <w:color w:val="000000"/>
          <w:sz w:val="20"/>
          <w:lang w:val="en-US" w:eastAsia="en-US" w:bidi="ar-SA"/>
        </w:rPr>
        <w:t>  In sum, the evidence is that neither of the defendants would have recommended anticoagulation therapy for the plaintiff prior to March 1997, given his relatively young age and the absence of clinical risk factors. As well, Dr. Dlin testified that he would not have discussed aspirin therapy with the plaintiff prior to March 1997 as, in his opinion, there was no indication for this treatment prior to that date. Furthermore, although by 1995 or 1996 Dr. Kerr may have discussed the option of aspirin therapy with the plaintiff, there is no evidence that he would have recommended such treatment. In light of this evidence, I agree with defence counsel's submission that the defendants had no obligation to discuss or advise the plaintiff of alternate forms of treatment which in their view, based on the preponderance of medical opinion at the time, were not viable alternatives. Moreover, even if the defendants had had a discussion with the plaintiff about anticoagulation or aspirin therapy, the evidence establishes that, prior to his stroke, in the absence of a recommendation from the defendants, the plaintiff would not have chosen to take anticoagulation or aspirin therapy.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207</w:t>
      </w:r>
      <w:r>
        <w:rPr>
          <w:rFonts w:ascii="arial" w:eastAsia="arial" w:hAnsi="arial" w:cs="arial"/>
          <w:color w:val="000000"/>
          <w:sz w:val="20"/>
          <w:lang w:val="en-US" w:eastAsia="en-US" w:bidi="ar-SA"/>
        </w:rPr>
        <w:t>  Finally, I do not accept plaintiff's counsel's submission that the court take a "robust and pragmatic approach to the facts" as discussed in Snell v. Farrell, supra. Counsel argued that if after 1995 the plaintiff was found to be in atrial fibrillation, then aspirin would have been on the agenda to discuss with the plaintiff as an option, and taking aspirin would have reduced the plaintiff's risk of suffering a stroke by an unquantified amount, therefore the inferential analysis urged in Snell v. Farrell has application. However, I agree with defence counsel that the evidence in the case at bar precludes a resort to this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208</w:t>
      </w:r>
      <w:r>
        <w:rPr>
          <w:rFonts w:ascii="arial" w:eastAsia="arial" w:hAnsi="arial" w:cs="arial"/>
          <w:color w:val="000000"/>
          <w:sz w:val="20"/>
          <w:lang w:val="en-US" w:eastAsia="en-US" w:bidi="ar-SA"/>
        </w:rPr>
        <w:t xml:space="preserve">  In a case such as this, where the parties have adduced expert evidence on the issue of causation, I do not think it is open for the court to apply the "common sense" reasoning urged in Snell v. Farrell, supra. In Moore v. Castlegar &amp; District Hospital </w:t>
      </w:r>
      <w:hyperlink r:id="rId890" w:history="1">
        <w:r>
          <w:rPr>
            <w:rFonts w:ascii="arial" w:eastAsia="arial" w:hAnsi="arial" w:cs="arial"/>
            <w:i/>
            <w:color w:val="0077CC"/>
            <w:sz w:val="20"/>
            <w:u w:val="single"/>
            <w:shd w:val="clear" w:color="auto" w:fill="FFFFFF"/>
            <w:lang w:val="en-US" w:eastAsia="en-US" w:bidi="ar-SA"/>
          </w:rPr>
          <w:t>(1998), 49 B.C.L.R. (3d) 100</w:t>
        </w:r>
      </w:hyperlink>
      <w:r>
        <w:rPr>
          <w:rFonts w:ascii="arial" w:eastAsia="arial" w:hAnsi="arial" w:cs="arial"/>
          <w:color w:val="000000"/>
          <w:sz w:val="20"/>
          <w:lang w:val="en-US" w:eastAsia="en-US" w:bidi="ar-SA"/>
        </w:rPr>
        <w:t xml:space="preserve"> (C.A.), leave to appeal to the S.C.C. dismissed </w:t>
      </w:r>
      <w:hyperlink r:id="rId891" w:history="1">
        <w:r>
          <w:rPr>
            <w:rFonts w:ascii="arial" w:eastAsia="arial" w:hAnsi="arial" w:cs="arial"/>
            <w:i/>
            <w:color w:val="0077CC"/>
            <w:sz w:val="20"/>
            <w:u w:val="single"/>
            <w:shd w:val="clear" w:color="auto" w:fill="FFFFFF"/>
            <w:lang w:val="en-US" w:eastAsia="en-US" w:bidi="ar-SA"/>
          </w:rPr>
          <w:t>[1998] S.C.C.A. No. 171</w:t>
        </w:r>
      </w:hyperlink>
      <w:r>
        <w:rPr>
          <w:rFonts w:ascii="arial" w:eastAsia="arial" w:hAnsi="arial" w:cs="arial"/>
          <w:color w:val="000000"/>
          <w:sz w:val="20"/>
          <w:lang w:val="en-US" w:eastAsia="en-US" w:bidi="ar-SA"/>
        </w:rPr>
        <w:t>, at paras. 9-11, Hollinrake J.A. stated that such an inferential analysis would be inappropriate: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relies on Athey v. Leonati,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(S.C.C.) for the proposition that whatever cord damage occurred in the accident, further damage rendering the appellant quadriplegic while under the care of Dr. Johnson was caused by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Thus, the appellant contends, as a matter of law Dr. Johnson's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and contributed to the quadriplegia and he is liable for that result.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appellant also refers to Snell v. Farrell, </w:t>
      </w:r>
      <w:hyperlink r:id="rId804" w:history="1">
        <w:r>
          <w:rPr>
            <w:rFonts w:ascii="arial" w:eastAsia="arial" w:hAnsi="arial" w:cs="arial"/>
            <w:i/>
            <w:color w:val="0077CC"/>
            <w:sz w:val="20"/>
            <w:u w:val="single"/>
            <w:shd w:val="clear" w:color="auto" w:fill="FFFFFF"/>
            <w:lang w:val="en-US" w:eastAsia="en-US" w:bidi="ar-SA"/>
          </w:rPr>
          <w:t>[1990] 2 S.C.R. 311</w:t>
        </w:r>
      </w:hyperlink>
      <w:r>
        <w:rPr>
          <w:rFonts w:ascii="arial" w:eastAsia="arial" w:hAnsi="arial" w:cs="arial"/>
          <w:color w:val="000000"/>
          <w:sz w:val="20"/>
          <w:lang w:val="en-US" w:eastAsia="en-US" w:bidi="ar-SA"/>
        </w:rPr>
        <w:t xml:space="preserve"> (S.C.C.) in submitting as follows in his factum:</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trial judge did not apply the common sense reasoning urged in Snell v. Farrell </w:t>
      </w:r>
      <w:hyperlink r:id="rId804" w:history="1">
        <w:r>
          <w:rPr>
            <w:rFonts w:ascii="arial" w:eastAsia="arial" w:hAnsi="arial" w:cs="arial"/>
            <w:i/>
            <w:color w:val="0077CC"/>
            <w:sz w:val="20"/>
            <w:u w:val="single"/>
            <w:shd w:val="clear" w:color="auto" w:fill="FFFFFF"/>
            <w:lang w:val="en-US" w:eastAsia="en-US" w:bidi="ar-SA"/>
          </w:rPr>
          <w:t>(1990), 72 D.L.R. (4th) 289</w:t>
        </w:r>
      </w:hyperlink>
      <w:r>
        <w:rPr>
          <w:rFonts w:ascii="arial" w:eastAsia="arial" w:hAnsi="arial" w:cs="arial"/>
          <w:color w:val="000000"/>
          <w:sz w:val="20"/>
          <w:lang w:val="en-US" w:eastAsia="en-US" w:bidi="ar-SA"/>
        </w:rPr>
        <w:t>, [1990] 2 S.C.R. Nowhere in the judge's Reasons does it appear that she addressed the question, "Suppose the vertebra were damaged in the accident: given that we have no useful X-rays of Mr. Moore's condition taken at the hospital, and no diagnosis of any cord injury there until Dr. Milia's immediate diagnosis at about 11:00 a.m. or thereabouts, can we rule out the probability that whatever injury occurred in the accident, it was aggravated by the treatment of Mr. Moore at the hospital?"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 respect, I think in a case such as this where there is affirmative medical evidence leading to a medical conclusion it is not open to the court to apply "the common sense reasoning urged in Snell v. Farrell." I take it this is what the trial judge was referring to when she said: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All parties have led evidence on this issue [causation] and it would be inappropriate to resort to an inferential analysis as was argued on the plaintiff's behalf.</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share that 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209</w:t>
      </w:r>
      <w:r>
        <w:rPr>
          <w:rFonts w:ascii="arial" w:eastAsia="arial" w:hAnsi="arial" w:cs="arial"/>
          <w:color w:val="000000"/>
          <w:sz w:val="20"/>
          <w:lang w:val="en-US" w:eastAsia="en-US" w:bidi="ar-SA"/>
        </w:rPr>
        <w:t>  As defence counsel pointed out, this is not a case where the court will never know what would have happened to the plaintiff "but for", because the court has before it a body of evidence, with a fair degree of medical science certainty, that aspirin reduces the risk of stroke in patients with atrial fibrillation by about 20%. This being so, the court does not have to speculate as to the efficacy of aspirin taken by a patient with atrial fibrillation.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210</w:t>
      </w:r>
      <w:r>
        <w:rPr>
          <w:rFonts w:ascii="arial" w:eastAsia="arial" w:hAnsi="arial" w:cs="arial"/>
          <w:color w:val="000000"/>
          <w:sz w:val="20"/>
          <w:lang w:val="en-US" w:eastAsia="en-US" w:bidi="ar-SA"/>
        </w:rPr>
        <w:t>  I am mindful of plaintiff's counsel's criticism that the studies relied upon by the defence on this point should be carefully scrutinised before they are applied to the plaintiff because patients of the plaintiff's age were poorly represented in the studies. However, no evidence was introduced by the plaintiff to establish that this fact rendered the clinical trials unreliable to patients in a younger age bracket. And, in any event, according to the evidence of Drs. Mitchell and Laupacis the plaintiff being younger than the patient population in the clinical trials would only mean that the plaintiff was less at risk of suffering a stroke than the older patients.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211</w:t>
      </w:r>
      <w:r>
        <w:rPr>
          <w:rFonts w:ascii="arial" w:eastAsia="arial" w:hAnsi="arial" w:cs="arial"/>
          <w:color w:val="000000"/>
          <w:sz w:val="20"/>
          <w:lang w:val="en-US" w:eastAsia="en-US" w:bidi="ar-SA"/>
        </w:rPr>
        <w:t>  Therefore, while medical science at the material time could not predict with 100% certainty that taking aspirin would do the plaintiff no good, the fact remains that the chance of the plaintiff having a better outcome with taking aspirin was only 1 in 5. Thus, even if the defendants had prescribed aspirin therapy, the evidence is that the plaintiff's outcome, on a balance of probabilities, would have been the same in any event.</w:t>
      </w:r>
      <w:r>
        <w:rPr>
          <w:rFonts w:ascii="arial" w:eastAsia="arial" w:hAnsi="arial" w:cs="arial"/>
          <w:sz w:val="20"/>
          <w:lang w:val="en-US" w:eastAsia="en-US" w:bidi="ar-SA"/>
        </w:rPr>
        <w:cr/>
      </w:r>
    </w:p>
    <w:p>
      <w:pPr>
        <w:numPr>
          <w:numId w:val="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212</w:t>
      </w:r>
      <w:r>
        <w:rPr>
          <w:rFonts w:ascii="arial" w:eastAsia="arial" w:hAnsi="arial" w:cs="arial"/>
          <w:color w:val="000000"/>
          <w:sz w:val="20"/>
          <w:lang w:val="en-US" w:eastAsia="en-US" w:bidi="ar-SA"/>
        </w:rPr>
        <w:t>  In the result, I find that the plaintiff has failed to prove, on a balance of probabilities, that the treatment provided to him by the defendants fell below the standard of care required of an ordinary reasonable general practitioner and cardiologist in similar circumstances. Moreover, even had I found the defendants in breach of their duty to the plaintiff, the plaintiff has failed to establish a causal connection between the breach and his stroke.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213</w:t>
      </w:r>
      <w:r>
        <w:rPr>
          <w:rFonts w:ascii="arial" w:eastAsia="arial" w:hAnsi="arial" w:cs="arial"/>
          <w:color w:val="000000"/>
          <w:sz w:val="20"/>
          <w:lang w:val="en-US" w:eastAsia="en-US" w:bidi="ar-SA"/>
        </w:rPr>
        <w:t>  Accordingly, the plaintiff's action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COHEN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1" style="position:absolute;z-index:2518415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892"/>
          <w:headerReference w:type="default" r:id="rId893"/>
          <w:footerReference w:type="even" r:id="rId894"/>
          <w:footerReference w:type="default" r:id="rId895"/>
          <w:headerReference w:type="first" r:id="rId896"/>
          <w:footerReference w:type="first" r:id="rId8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898" w:history="1">
        <w:r>
          <w:rPr>
            <w:rFonts w:ascii="arial" w:eastAsia="arial" w:hAnsi="arial" w:cs="arial"/>
            <w:b/>
            <w:bCs/>
            <w:i/>
            <w:color w:val="0077CC"/>
            <w:kern w:val="32"/>
            <w:sz w:val="28"/>
            <w:szCs w:val="32"/>
            <w:u w:val="single"/>
            <w:shd w:val="clear" w:color="auto" w:fill="FFFFFF"/>
            <w:lang w:val="en-US" w:eastAsia="en-US" w:bidi="ar-SA"/>
          </w:rPr>
          <w:t>Foisy Estate v. Queen of the North (The), [2008] B.C.J. No. 2518</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B.M. Joyce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31,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Dockets: S063067 and S074494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2518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899" w:history="1">
        <w:r>
          <w:rPr>
            <w:rFonts w:ascii="arial" w:eastAsia="arial" w:hAnsi="arial" w:cs="arial"/>
            <w:i/>
            <w:color w:val="0077CC"/>
            <w:sz w:val="20"/>
            <w:u w:val="single"/>
            <w:shd w:val="clear" w:color="auto" w:fill="FFFFFF"/>
            <w:lang w:val="en-US" w:eastAsia="en-US" w:bidi="ar-SA"/>
          </w:rPr>
          <w:t>2008 BCSC 1777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Admiralty Action in Rem against the Ship "Queen of the North" and in Personam Between Sharan and Glenn McDonald, Executors of the Estate of Gerald Foisy, on behalf of Brittni Lee Foisy and Morgan Taylor Foisy, Infants Suing by their Guardian Ad Litem Lana Foisy, Plaintiffs, and The Owners and all Others Interested in the Ship, "Queen of the North", British Columbia Ferry Services Inc., Karl Lilgert and Karen Bricker, Defendants And between Brandon Rosette and Brent Rosette, an Infant by his Litigation Guardian, the Public Guardian and Trustee of British Columbia, as Dependants of Shirley Rosette, Deceased and Gerald Foisy, Deceased, Plaintiffs, and The Owners and all Others Interested in the Ship, "Queen of the North", British Columbia Ferry Services Inc., Colin Henthorne, Karl Lilgert and Karen Bricker,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(61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2" style="position:absolute;z-index:2516889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196" w:name="Keywords_29"/>
      <w:bookmarkEnd w:id="196"/>
      <w:r>
        <w:rPr>
          <w:rFonts w:ascii="arial" w:eastAsia="arial" w:hAnsi="arial" w:cs="arial"/>
          <w:b/>
          <w:color w:val="000000"/>
          <w:sz w:val="20"/>
          <w:lang w:val="en-US" w:eastAsia="en-US" w:bidi="ar-SA"/>
        </w:rPr>
        <w:t>Maritime and admiralty law — Admiralty jurisdiction and practice — Legislation — Marine Liability Act — Application by defendants for declaration that plaintiff could not pursue punitive and aggravated damages under Maritime Liability Act allowed — Plaintiff, estate of deceased, had commenced action against defendants for ferry accident in which deceased were killed — Wording of s. 6 of Maritime Liability Act and Article 3 of Athens Convention clearly restricted damages to those compensatory in nature — Plaintiffs did not present any case law indicating punitive and aggravated damages allowable under maritime common law — No compelling reason to apply statutory reform to damages limitation, particularly since certainty so important.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Maritime and admiralty law — Navigation and marine damage — Liability — Civil liability — Tort — Navigation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Damages — Fatal accidents — Application by defendants for declaration that plaintiff could not pursue punitive and aggravated damages under Marine Liability Act allowed — Plaintiff, estate of deceased, had commenced action against defendants for ferry accident in which deceased were killed — Wording of s. 6 of Maritime Liability Act and Article 3 of Athens Convention clearly restricted damages to those compensatory in nature — Plaintiffs did not present any case law indicating punitive and aggravated damages allowable under maritime common law — No compelling reason to apply statutory reform to damages limitation, particularly since certainty so important.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Exemplary or punitive damages — Aggravated damages — Application by defendants for declaration that plaintiff could not pursue claim for punitive and aggravated damages under Marine Liability Act allowed — Plaintiff, estate of deceased, had commenced action against defendants for ferry accident — Wording of s. 6 of Marine Liability Act and Article 3 of Athens Convention clearly restricted damages to those compensatory in nature — Plaintiffs did not present any case law indicating punitive and aggravated damages allowable under maritime common law — No compelling reason to apply statutory reform to damages limitation, particularly since certainty was important.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Application by defendants for declaration that plaintiff could not pursue claim for punitive and aggravated damages under Marine Liability Act allowed — Plaintiff, estate of deceased, had commenced action against defendants for ferry accident — Wording of s. 6 of Marine Liability Act and Article 3 of Athens Convention clearly restricted damages to those compensatory in nature — Plaintiffs did not present any case law indicating punitive and aggravated damages allowable under maritime common law — No compelling reason to apply statutory reform to damages limitation, particularly since certainty was important.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197" w:name="Case Summary_28"/>
            <w:bookmarkEnd w:id="19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defendants for a declaration that the plaintiff, the estate of the deceased, was not entitled to pursue punitive and aggravated damages. The plaintiff had commenced an action against the defendant ferry services, ship owner and staff for general, aggravated and punitive damages arising from a ferry accident in which the deceased were killed. The defendants argued that the plaintiff's claim was confined to the Marine Liability Act and only the prescribed damages within the Act were recoverable. The plaintiff argued that the Act was silent to punitive and aggravated damages but this did not mean they were not recoverable and that if these damages were not recoverable under the Act or maritime common law, the court ought to reform the law.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198" w:name="Holdings of Court_25"/>
            <w:bookmarkEnd w:id="198"/>
            <w:r>
              <w:rPr>
                <w:rFonts w:ascii="arial" w:eastAsia="arial" w:hAnsi="arial" w:cs="arial"/>
                <w:color w:val="000000"/>
                <w:sz w:val="20"/>
                <w:lang w:val="en-US" w:eastAsia="en-US" w:bidi="ar-SA"/>
              </w:rPr>
              <w:t>HELD: The application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relevant provisions were s. 6 of the Marine Liability Act and Article 3 of the Athens Convention, both of which clearly stated that damages were to be compensatory in nature, which both aggravated and punitive damages were not. The Act limited recovery to loss resulting from death and the Convention to damages suffered as a result of death but did not go further to prevent the recovery of non-pecuniary damages. The plaintiff was suggesting that this gap could be filled by maritime common law, but was unable to present a single case in maritime law in which punitive and aggravated damages were allowed. The plaintiff had also presented no compelling reason to undergo law reform in this area. Parliament had explicitly refrained from expanding the scope of allowable damages and uniformity and certainty were important to maintain. Additionally, law reform would put victims of maritime accidents in a better recovery position than victims of accidents in other forms of transportation, which would be unfair.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199" w:name="Legislation Cited_19"/>
      <w:bookmarkEnd w:id="19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73" style="position:absolute;z-index:2517401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Athens Convention relating to Carriage of Passengers and their Luggage by Sea, 1974, Articles 1-22, Article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Canada Shipping Act, R.S.C. 1985, c. S-9, s. 647(2)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Estate Administration Act, R.S.B.C. 1979, c. 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Family Compensation Act, R.S.B.C. 1979, c. 120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Family Law Act, </w:t>
      </w:r>
      <w:hyperlink r:id="rId900" w:history="1">
        <w:r>
          <w:rPr>
            <w:rFonts w:ascii="arial" w:eastAsia="arial" w:hAnsi="arial" w:cs="arial"/>
            <w:i/>
            <w:color w:val="0077CC"/>
            <w:sz w:val="20"/>
            <w:u w:val="single"/>
            <w:shd w:val="clear" w:color="auto" w:fill="FFFFFF"/>
            <w:lang w:val="en-US" w:eastAsia="en-US" w:bidi="ar-SA"/>
          </w:rPr>
          <w:t>R.S.O. 1990, c. F.3, s. 61</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Lord Campbell's Act (U.K.), 1846, c. 93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Marine Liability Act, </w:t>
      </w:r>
      <w:hyperlink r:id="rId901" w:history="1">
        <w:r>
          <w:rPr>
            <w:rFonts w:ascii="arial" w:eastAsia="arial" w:hAnsi="arial" w:cs="arial"/>
            <w:i/>
            <w:color w:val="0077CC"/>
            <w:sz w:val="20"/>
            <w:u w:val="single"/>
            <w:shd w:val="clear" w:color="auto" w:fill="FFFFFF"/>
            <w:lang w:val="en-US" w:eastAsia="en-US" w:bidi="ar-SA"/>
          </w:rPr>
          <w:t>S.C. 2001, c. 6, s. 6</w:t>
        </w:r>
      </w:hyperlink>
      <w:r>
        <w:rPr>
          <w:rFonts w:ascii="arial" w:eastAsia="arial" w:hAnsi="arial" w:cs="arial"/>
          <w:color w:val="000000"/>
          <w:sz w:val="20"/>
          <w:lang w:val="en-US" w:eastAsia="en-US" w:bidi="ar-SA"/>
        </w:rPr>
        <w:t>(2), 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Rules of Court, Rule 34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Survivorship and Presumption of Death Act, </w:t>
      </w:r>
      <w:r>
        <w:rPr>
          <w:rFonts w:ascii="arial" w:eastAsia="arial" w:hAnsi="arial" w:cs="arial"/>
          <w:i/>
          <w:color w:val="000000"/>
          <w:sz w:val="20"/>
          <w:lang w:val="en-US" w:eastAsia="en-US" w:bidi="ar-SA"/>
        </w:rPr>
        <w:t>RSBC 1996, CHAPTER 444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00" w:name="Counsel_29"/>
      <w:bookmarkEnd w:id="20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4" style="position:absolute;z-index:25179136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Defendant, B.C. Ferry Services Inc.: W. Gary Wharton and Andrew Lau.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Bricker: Christopher J. Giaschi.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Lilgert: Jack D.G. Buchan.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Henthorne: Nils E. Daugulis.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in Action No. S063067: Marilyn E. Sandford.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Plaintiffs in Action No. S074494: Irina Kordic.</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1" w:name="Judgment_29"/>
      <w:bookmarkEnd w:id="201"/>
      <w:r>
        <w:pict>
          <v:line id="_x0000_s1175" style="position:absolute;z-index:251842560"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3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2" w:name="B.M. JOYCE J."/>
            <w:bookmarkEnd w:id="202"/>
            <w:r>
              <w:rPr>
                <w:rFonts w:ascii="arial" w:eastAsia="arial" w:hAnsi="arial" w:cs="arial"/>
                <w:b/>
                <w:color w:val="000000"/>
                <w:sz w:val="30"/>
                <w:lang w:val="en-US" w:eastAsia="en-US" w:bidi="ar-SA"/>
              </w:rPr>
              <w:t>B.M. JOYCE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question that I am asked to determine in this application is whether, as a matter of law, the plaintiffs in a wrongful death action brought under the </w:t>
      </w:r>
      <w:r>
        <w:rPr>
          <w:rFonts w:ascii="arial" w:eastAsia="arial" w:hAnsi="arial" w:cs="arial"/>
          <w:b/>
          <w:i/>
          <w:color w:val="000000"/>
          <w:sz w:val="20"/>
          <w:lang w:val="en-US" w:eastAsia="en-US" w:bidi="ar-SA"/>
        </w:rPr>
        <w:t>Marine Liability Act</w:t>
      </w:r>
      <w:r>
        <w:rPr>
          <w:rFonts w:ascii="arial" w:eastAsia="arial" w:hAnsi="arial" w:cs="arial"/>
          <w:color w:val="000000"/>
          <w:sz w:val="20"/>
          <w:lang w:val="en-US" w:eastAsia="en-US" w:bidi="ar-SA"/>
        </w:rPr>
        <w:t xml:space="preserve">, </w:t>
      </w:r>
      <w:hyperlink r:id="rId902" w:history="1">
        <w:r>
          <w:rPr>
            <w:rFonts w:ascii="arial" w:eastAsia="arial" w:hAnsi="arial" w:cs="arial"/>
            <w:i/>
            <w:color w:val="0077CC"/>
            <w:sz w:val="20"/>
            <w:u w:val="single"/>
            <w:shd w:val="clear" w:color="auto" w:fill="FFFFFF"/>
            <w:lang w:val="en-US" w:eastAsia="en-US" w:bidi="ar-SA"/>
          </w:rPr>
          <w:t>S.C. 2001, c. 6</w:t>
        </w:r>
      </w:hyperlink>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are precluded from seeking punitive and aggravated damages on behalf of dependants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BACKGROUND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Mr. Gerald Foisy and Ms. Shirley Rosette were two of the passengers who were on board the ferry "Queen of the North" when, on March 22, 2006, she ran aground on Gil Island in Wright Sound approximately 135 kilometres south of Prince Rupert, B.C. and subsequently sank. Tragically, Mr. Foisy and Ms. Rosette were not saved and their bodies have never been found. They have been presumed to be dead pursuant to the </w:t>
      </w:r>
      <w:r>
        <w:rPr>
          <w:rFonts w:ascii="arial" w:eastAsia="arial" w:hAnsi="arial" w:cs="arial"/>
          <w:b/>
          <w:i/>
          <w:color w:val="000000"/>
          <w:sz w:val="20"/>
          <w:lang w:val="en-US" w:eastAsia="en-US" w:bidi="ar-SA"/>
        </w:rPr>
        <w:t>Survivorship and Presumption of Death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444</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In these actions the plaintiffs claim damages on behalf of the dependants of Mr. Foisy and Ms. Rosette pursuant to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The defendants are British Columbia Ferry Services Inc. ("BCFS"), the owner of the Queen of the North; Colin Henthorne, her captain; Karl Lilgert, the fourth officer who was on the bridge at the time she ran aground; and Karen Bricker (properly spelled Briker), a deckhand who was also on the bridge at the time of the incident.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BCFS has admitted liability for the incident, but claims the benefit of the limitation of liability provided in the </w:t>
      </w:r>
      <w:r>
        <w:rPr>
          <w:rFonts w:ascii="arial" w:eastAsia="arial" w:hAnsi="arial" w:cs="arial"/>
          <w:i/>
          <w:color w:val="000000"/>
          <w:sz w:val="20"/>
          <w:lang w:val="en-US" w:eastAsia="en-US" w:bidi="ar-SA"/>
        </w:rPr>
        <w:t>Athens Convention relating to the Carriage of Passengers and their Luggage by Sea, 1974</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In addition to their claim for general damages, including loss of support, loss of guidance, care and companionship, loss of inheritance, loss of dependency and loss of services, the plaintiffs claim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am the assigned trial judge for these two actions and the trial is set to commence on February 2, 2009 with a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The defendant BCFS brings this application under Rule 34 of the </w:t>
      </w:r>
      <w:r>
        <w:rPr>
          <w:rFonts w:ascii="arial" w:eastAsia="arial" w:hAnsi="arial" w:cs="arial"/>
          <w:b/>
          <w:i/>
          <w:color w:val="000000"/>
          <w:sz w:val="20"/>
          <w:lang w:val="en-US" w:eastAsia="en-US" w:bidi="ar-SA"/>
        </w:rPr>
        <w:t>Rules of Court</w:t>
      </w:r>
      <w:r>
        <w:rPr>
          <w:rFonts w:ascii="arial" w:eastAsia="arial" w:hAnsi="arial" w:cs="arial"/>
          <w:color w:val="000000"/>
          <w:sz w:val="20"/>
          <w:lang w:val="en-US" w:eastAsia="en-US" w:bidi="ar-SA"/>
        </w:rPr>
        <w:t xml:space="preserve"> for a declaration that punitive damages and aggravated damages are not recoverable as a matter of law in a fatal accident claim governed by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and an order striking the claim for punitive, exemplary and aggravated damages from the statements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III.</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POSITIONS OF THE PARTIES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parties are in agreement that it is appropriate to determine this legal issue at this time under Rule 34, which provides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34(1) A point of law arising from the pleadings may, by consent of the parties or by order of the court, be set down by requisition and disposed of at any time before the trial.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Where, in the opinion of the court, the decision on the point of law substantially disposes of the whole action or of any distinct claim, ground of defence, set-off, counterclaim or reply, the court may dismiss the action or make any order it thinks just.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If BCFS is correct in its assertion that punitive and aggravated damages are not recoverable in these actions in any circumstances that will dispose of any claim for such damages and that issue must not be left with the jury for determination.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In brief summary, it is the position of BCFS, supported by the other defendants, that the claims for damages in these wrongful death actions that arise out of this tragic maritime incident are confined within the four corners of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which governs such claims. They submit that the only damages that are recoverable are those prescribed by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and that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which does not mention punitive or aggravated damages, precludes any claim for such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The plaintiffs agree that their cause of action is founded upon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and that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is silent with respect to punitive or aggravated damages. They submit, however that the fact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does not speak of punitive or aggravated damages does not mean that it precludes their recovery. They submit that there is a statutory "gap" regarding punitive and aggravated damages and that the court may look to maritime common law to fill the gap. The plaintiffs submit that punitive and aggravated damages are recoverable under Canadian maritime common law. Alternatively, they submit that if punitive and aggravated damages are not part of Canadian maritime common law at this time this Court can and should reform the common law to permit a claim for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987"/>
        <w:gridCol w:w="7423"/>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94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IV.</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18"/>
                <w:lang w:val="en-US" w:eastAsia="en-US" w:bidi="ar-SA"/>
              </w:rPr>
              <w:t>RELEVANT STATUTORY PROVISIONS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Part 1 of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applies in respect of claims made and remedies sought under or by virtue of Canadian maritime law. Section 6 of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provides in part: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6.(2) If a person dies by the fault or neglect of another under circumstances that would have entitled the person, if not deceased, to recover damages, the dependants of the deceased person may maintain an action in a court of competent jurisdiction for their loss resulting from the death against the person from whom the deceased person would have been entitled to recover.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damages recoverable by a dependant of an injured or deceased person may include</w:t>
      </w:r>
    </w:p>
    <w:p>
      <w:pPr>
        <w:numPr>
          <w:numId w:val="5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compensate for the loss of guidance, care and companionship that the dependant could reasonably have expected to receive from the injured or deceased person if the injury or death had not occurred; and</w:t>
      </w:r>
    </w:p>
    <w:p>
      <w:pPr>
        <w:numPr>
          <w:numId w:val="50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any amount to which a public authority may be subrogated in respect of payments consequent on the injury or death that are made to or for the benefit of the injured or deceased person or the dependant.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Schedule 2, Part 1 of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incorporates Articles 1 to 22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Article 3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provides as follows:</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carrier shall be liable for the damage suffered as a result of the death of or personal injury to a passenger and the loss of or damage to luggage if the incident which caused the damage so suffered occurred in the course of the carriage and was due to the fault or neglect of the carrier or of his servants or agents acting within the scope of their employment.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incident which caused the loss or damage occurred in the course of the carriage, and the extent of the loss or damage, shall lie with the claimant.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Fault or neglect of the carrier or of his servants or agents acting within the scope of their employment shall be presumed, unless the contrary is proved, if the death of or personal injury to the passenger or the loss of or damage to cabin luggage arose from or in connexion with the shipwreck, collision, stranding, explosion or fire, or defect in the ship. In respect of loss of or damage to other luggage, such fault or neglect shall be presumed, unless the contrary is proved, irrespective of the nature of the incident which caused the loss or damage. In all other cases the burden of proving fault or neglect shall lie with the claimant.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Article 14 of the Athens Convention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No action for damages for the death of or personal injury to a passenger, or for the loss of or damage to luggage, shall be brought against a carrier or performing carrier otherwise than in accordance with this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DISCUSSION AND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Recovery under the MLA and Athens Convention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 Punitive 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It is clear that punitive or exemplary damages are not compensatory in nature. Their purpose is to punish wrongdoers and deter others from acting in the same manner (</w:t>
      </w:r>
      <w:r>
        <w:rPr>
          <w:rFonts w:ascii="arial" w:eastAsia="arial" w:hAnsi="arial" w:cs="arial"/>
          <w:b/>
          <w:i/>
          <w:color w:val="000000"/>
          <w:sz w:val="20"/>
          <w:lang w:val="en-US" w:eastAsia="en-US" w:bidi="ar-SA"/>
        </w:rPr>
        <w:t>Norberg v. Wynrib</w:t>
      </w:r>
      <w:r>
        <w:rPr>
          <w:rFonts w:ascii="arial" w:eastAsia="arial" w:hAnsi="arial" w:cs="arial"/>
          <w:color w:val="000000"/>
          <w:sz w:val="20"/>
          <w:lang w:val="en-US" w:eastAsia="en-US" w:bidi="ar-SA"/>
        </w:rPr>
        <w:t xml:space="preserve">, </w:t>
      </w:r>
      <w:hyperlink r:id="rId54" w:history="1">
        <w:r>
          <w:rPr>
            <w:rFonts w:ascii="arial" w:eastAsia="arial" w:hAnsi="arial" w:cs="arial"/>
            <w:i/>
            <w:color w:val="0077CC"/>
            <w:sz w:val="20"/>
            <w:u w:val="single"/>
            <w:shd w:val="clear" w:color="auto" w:fill="FFFFFF"/>
            <w:lang w:val="en-US" w:eastAsia="en-US" w:bidi="ar-SA"/>
          </w:rPr>
          <w:t>[1992] 2 S.C.R. 226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[1995] 2 S.C.R. 1130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Vorvis v. Insurance Corp. of British Columbia</w:t>
      </w:r>
      <w:r>
        <w:rPr>
          <w:rFonts w:ascii="arial" w:eastAsia="arial" w:hAnsi="arial" w:cs="arial"/>
          <w:color w:val="000000"/>
          <w:sz w:val="20"/>
          <w:lang w:val="en-US" w:eastAsia="en-US" w:bidi="ar-SA"/>
        </w:rPr>
        <w:t xml:space="preserve">, </w:t>
      </w:r>
      <w:hyperlink r:id="rId63" w:history="1">
        <w:r>
          <w:rPr>
            <w:rFonts w:ascii="arial" w:eastAsia="arial" w:hAnsi="arial" w:cs="arial"/>
            <w:i/>
            <w:color w:val="0077CC"/>
            <w:sz w:val="20"/>
            <w:u w:val="single"/>
            <w:shd w:val="clear" w:color="auto" w:fill="FFFFFF"/>
            <w:lang w:val="en-US" w:eastAsia="en-US" w:bidi="ar-SA"/>
          </w:rPr>
          <w:t>[1989] 1 S.C.R. 1085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BCFS submits that the language of ss. 6(2) of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which provides for the recovery of "loss resulting from the death" of a person, limits the scope of recovery to compensatory damages only. He refers to authorities where similar statutory language has been held to provide for compensatory damages only and preclude the recovery of punitive 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Naval-Torres v. Northwest Airlines Inc</w:t>
      </w:r>
      <w:r>
        <w:rPr>
          <w:rFonts w:ascii="arial" w:eastAsia="arial" w:hAnsi="arial" w:cs="arial"/>
          <w:color w:val="000000"/>
          <w:sz w:val="20"/>
          <w:lang w:val="en-US" w:eastAsia="en-US" w:bidi="ar-SA"/>
        </w:rPr>
        <w:t xml:space="preserve">. </w:t>
      </w:r>
      <w:hyperlink r:id="rId903" w:history="1">
        <w:r>
          <w:rPr>
            <w:rFonts w:ascii="arial" w:eastAsia="arial" w:hAnsi="arial" w:cs="arial"/>
            <w:i/>
            <w:color w:val="0077CC"/>
            <w:sz w:val="20"/>
            <w:u w:val="single"/>
            <w:shd w:val="clear" w:color="auto" w:fill="FFFFFF"/>
            <w:lang w:val="en-US" w:eastAsia="en-US" w:bidi="ar-SA"/>
          </w:rPr>
          <w:t>(1998), 159 D.L.R. (4th) 67</w:t>
        </w:r>
      </w:hyperlink>
      <w:r>
        <w:rPr>
          <w:rFonts w:ascii="arial" w:eastAsia="arial" w:hAnsi="arial" w:cs="arial"/>
          <w:color w:val="000000"/>
          <w:sz w:val="20"/>
          <w:lang w:val="en-US" w:eastAsia="en-US" w:bidi="ar-SA"/>
        </w:rPr>
        <w:t xml:space="preserve">, 21 C.P.C. (4th) 67 (Ont. Gen. Div.), the court considered Article 17 of the </w:t>
      </w:r>
      <w:r>
        <w:rPr>
          <w:rFonts w:ascii="arial" w:eastAsia="arial" w:hAnsi="arial" w:cs="arial"/>
          <w:i/>
          <w:color w:val="000000"/>
          <w:sz w:val="20"/>
          <w:lang w:val="en-US" w:eastAsia="en-US" w:bidi="ar-SA"/>
        </w:rPr>
        <w:t>Convention for the Unification of Certain Rules Relating to International Carriage by Air</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Warsaw Convention</w:t>
      </w:r>
      <w:r>
        <w:rPr>
          <w:rFonts w:ascii="arial" w:eastAsia="arial" w:hAnsi="arial" w:cs="arial"/>
          <w:color w:val="000000"/>
          <w:sz w:val="20"/>
          <w:lang w:val="en-US" w:eastAsia="en-US" w:bidi="ar-SA"/>
        </w:rPr>
        <w:t>"), which provided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carrier is liable for damage sustained in the event of the death or wounding of a passenger or any other bodily injury suffered by a passenger, if the accident which caused the damage so sustained took place on board the aircraft or in the course of any of the operations of embarking or disembarking.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Sharpe J. held that where the claim falls within the </w:t>
      </w:r>
      <w:r>
        <w:rPr>
          <w:rFonts w:ascii="arial" w:eastAsia="arial" w:hAnsi="arial" w:cs="arial"/>
          <w:i/>
          <w:color w:val="000000"/>
          <w:sz w:val="20"/>
          <w:lang w:val="en-US" w:eastAsia="en-US" w:bidi="ar-SA"/>
        </w:rPr>
        <w:t>Warsaw Convention</w:t>
      </w:r>
      <w:r>
        <w:rPr>
          <w:rFonts w:ascii="arial" w:eastAsia="arial" w:hAnsi="arial" w:cs="arial"/>
          <w:color w:val="000000"/>
          <w:sz w:val="20"/>
          <w:lang w:val="en-US" w:eastAsia="en-US" w:bidi="ar-SA"/>
        </w:rPr>
        <w:t xml:space="preserve"> no claim for punitive damages can be advanced. At p. 77 he explained: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Punitive damages are not compensatory, but rather designed to punish: see </w:t>
      </w:r>
      <w:r>
        <w:rPr>
          <w:rFonts w:ascii="arial" w:eastAsia="arial" w:hAnsi="arial" w:cs="arial"/>
          <w:i/>
          <w:color w:val="000000"/>
          <w:sz w:val="20"/>
          <w:lang w:val="en-US" w:eastAsia="en-US" w:bidi="ar-SA"/>
        </w:rPr>
        <w:t>Hill v. Church of Scientology of Toronto</w:t>
      </w:r>
      <w:r>
        <w:rPr>
          <w:rFonts w:ascii="arial" w:eastAsia="arial" w:hAnsi="arial" w:cs="arial"/>
          <w:color w:val="000000"/>
          <w:sz w:val="20"/>
          <w:lang w:val="en-US" w:eastAsia="en-US" w:bidi="ar-SA"/>
        </w:rPr>
        <w:t xml:space="preserve"> </w:t>
      </w:r>
      <w:hyperlink r:id="rId59" w:history="1">
        <w:r>
          <w:rPr>
            <w:rFonts w:ascii="arial" w:eastAsia="arial" w:hAnsi="arial" w:cs="arial"/>
            <w:i/>
            <w:color w:val="0077CC"/>
            <w:sz w:val="20"/>
            <w:u w:val="single"/>
            <w:shd w:val="clear" w:color="auto" w:fill="FFFFFF"/>
            <w:lang w:val="en-US" w:eastAsia="en-US" w:bidi="ar-SA"/>
          </w:rPr>
          <w:t>(1995), 126 D.L.R. (4th) 129</w:t>
        </w:r>
      </w:hyperlink>
      <w:r>
        <w:rPr>
          <w:rFonts w:ascii="arial" w:eastAsia="arial" w:hAnsi="arial" w:cs="arial"/>
          <w:color w:val="000000"/>
          <w:sz w:val="20"/>
          <w:lang w:val="en-US" w:eastAsia="en-US" w:bidi="ar-SA"/>
        </w:rPr>
        <w:t xml:space="preserve"> at (SCC) 185-6 per Cory J: "Punitive damages bear no relation to what the plaintiff should receive by way of compensation. Their aim is not to compensate the plaintiff, but rather to punish the defendant." Article 17 provides only for liability for "damage sustained". This language indicates that damages to be awarded under the </w:t>
      </w:r>
      <w:r>
        <w:rPr>
          <w:rFonts w:ascii="arial" w:eastAsia="arial" w:hAnsi="arial" w:cs="arial"/>
          <w:i/>
          <w:color w:val="000000"/>
          <w:sz w:val="20"/>
          <w:lang w:val="en-US" w:eastAsia="en-US" w:bidi="ar-SA"/>
        </w:rPr>
        <w:t>Convention</w:t>
      </w:r>
      <w:r>
        <w:rPr>
          <w:rFonts w:ascii="arial" w:eastAsia="arial" w:hAnsi="arial" w:cs="arial"/>
          <w:color w:val="000000"/>
          <w:sz w:val="20"/>
          <w:lang w:val="en-US" w:eastAsia="en-US" w:bidi="ar-SA"/>
        </w:rPr>
        <w:t xml:space="preserve"> are compensatory in nature. While I was referred to no Canadian or English cases on the point, American courts appear to have been unanimous in accepting the contention that only compensatory damages are permitted by the Convention and that punitive damages are excluded: see </w:t>
      </w:r>
      <w:r>
        <w:rPr>
          <w:rFonts w:ascii="arial" w:eastAsia="arial" w:hAnsi="arial" w:cs="arial"/>
          <w:i/>
          <w:color w:val="000000"/>
          <w:sz w:val="20"/>
          <w:lang w:val="en-US" w:eastAsia="en-US" w:bidi="ar-SA"/>
        </w:rPr>
        <w:t>Re Air Disaster at Lockerbie Scotland on Dec. 21, 1988</w:t>
      </w:r>
      <w:r>
        <w:rPr>
          <w:rFonts w:ascii="arial" w:eastAsia="arial" w:hAnsi="arial" w:cs="arial"/>
          <w:color w:val="000000"/>
          <w:sz w:val="20"/>
          <w:lang w:val="en-US" w:eastAsia="en-US" w:bidi="ar-SA"/>
        </w:rPr>
        <w:t xml:space="preserve">, 928 F.2d 1267 (2nd Cir, 1991); </w:t>
      </w:r>
      <w:r>
        <w:rPr>
          <w:rFonts w:ascii="arial" w:eastAsia="arial" w:hAnsi="arial" w:cs="arial"/>
          <w:i/>
          <w:color w:val="000000"/>
          <w:sz w:val="20"/>
          <w:lang w:val="en-US" w:eastAsia="en-US" w:bidi="ar-SA"/>
        </w:rPr>
        <w:t>Re Korean Airlines Disaster of Sept. 1, 1993</w:t>
      </w:r>
      <w:r>
        <w:rPr>
          <w:rFonts w:ascii="arial" w:eastAsia="arial" w:hAnsi="arial" w:cs="arial"/>
          <w:color w:val="000000"/>
          <w:sz w:val="20"/>
          <w:lang w:val="en-US" w:eastAsia="en-US" w:bidi="ar-SA"/>
        </w:rPr>
        <w:t xml:space="preserve">, 932 F. 2d 1475 (D.C. Cir. 1991), </w:t>
      </w:r>
      <w:r>
        <w:rPr>
          <w:rFonts w:ascii="arial" w:eastAsia="arial" w:hAnsi="arial" w:cs="arial"/>
          <w:i/>
          <w:color w:val="000000"/>
          <w:sz w:val="20"/>
          <w:lang w:val="en-US" w:eastAsia="en-US" w:bidi="ar-SA"/>
        </w:rPr>
        <w:t>cert</w:t>
      </w:r>
      <w:r>
        <w:rPr>
          <w:rFonts w:ascii="arial" w:eastAsia="arial" w:hAnsi="arial" w:cs="arial"/>
          <w:color w:val="000000"/>
          <w:sz w:val="20"/>
          <w:lang w:val="en-US" w:eastAsia="en-US" w:bidi="ar-SA"/>
        </w:rPr>
        <w:t>. denied 112 S.Ct. 616 (1991).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The same conclusion was reached in </w:t>
      </w:r>
      <w:r>
        <w:rPr>
          <w:rFonts w:ascii="arial" w:eastAsia="arial" w:hAnsi="arial" w:cs="arial"/>
          <w:b/>
          <w:i/>
          <w:color w:val="000000"/>
          <w:sz w:val="20"/>
          <w:lang w:val="en-US" w:eastAsia="en-US" w:bidi="ar-SA"/>
        </w:rPr>
        <w:t>Chernack v. Air France</w:t>
      </w:r>
      <w:r>
        <w:rPr>
          <w:rFonts w:ascii="arial" w:eastAsia="arial" w:hAnsi="arial" w:cs="arial"/>
          <w:color w:val="000000"/>
          <w:sz w:val="20"/>
          <w:lang w:val="en-US" w:eastAsia="en-US" w:bidi="ar-SA"/>
        </w:rPr>
        <w:t xml:space="preserve">, </w:t>
      </w:r>
      <w:hyperlink r:id="rId904" w:history="1">
        <w:r>
          <w:rPr>
            <w:rFonts w:ascii="arial" w:eastAsia="arial" w:hAnsi="arial" w:cs="arial"/>
            <w:i/>
            <w:color w:val="0077CC"/>
            <w:sz w:val="20"/>
            <w:u w:val="single"/>
            <w:shd w:val="clear" w:color="auto" w:fill="FFFFFF"/>
            <w:lang w:val="en-US" w:eastAsia="en-US" w:bidi="ar-SA"/>
          </w:rPr>
          <w:t>[2002] R.J.Q. No. 3152</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Chau v. Delta Air Lines Inc.</w:t>
      </w:r>
      <w:r>
        <w:rPr>
          <w:rFonts w:ascii="arial" w:eastAsia="arial" w:hAnsi="arial" w:cs="arial"/>
          <w:color w:val="000000"/>
          <w:sz w:val="20"/>
          <w:lang w:val="en-US" w:eastAsia="en-US" w:bidi="ar-SA"/>
        </w:rPr>
        <w:t xml:space="preserve"> </w:t>
      </w:r>
      <w:hyperlink r:id="rId905" w:history="1">
        <w:r>
          <w:rPr>
            <w:rFonts w:ascii="arial" w:eastAsia="arial" w:hAnsi="arial" w:cs="arial"/>
            <w:i/>
            <w:color w:val="0077CC"/>
            <w:sz w:val="20"/>
            <w:u w:val="single"/>
            <w:shd w:val="clear" w:color="auto" w:fill="FFFFFF"/>
            <w:lang w:val="en-US" w:eastAsia="en-US" w:bidi="ar-SA"/>
          </w:rPr>
          <w:t>(2003), 67 O.R. (3d) 108</w:t>
        </w:r>
      </w:hyperlink>
      <w:r>
        <w:rPr>
          <w:rFonts w:ascii="arial" w:eastAsia="arial" w:hAnsi="arial" w:cs="arial"/>
          <w:color w:val="000000"/>
          <w:sz w:val="20"/>
          <w:lang w:val="en-US" w:eastAsia="en-US" w:bidi="ar-SA"/>
        </w:rPr>
        <w:t xml:space="preserve"> (S.C.J.).</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xml:space="preserve">  In my opinion, the wording in Article 3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is analogous to that in Article 17 of the </w:t>
      </w:r>
      <w:r>
        <w:rPr>
          <w:rFonts w:ascii="arial" w:eastAsia="arial" w:hAnsi="arial" w:cs="arial"/>
          <w:i/>
          <w:color w:val="000000"/>
          <w:sz w:val="20"/>
          <w:lang w:val="en-US" w:eastAsia="en-US" w:bidi="ar-SA"/>
        </w:rPr>
        <w:t>Warsaw Convention</w:t>
      </w:r>
      <w:r>
        <w:rPr>
          <w:rFonts w:ascii="arial" w:eastAsia="arial" w:hAnsi="arial" w:cs="arial"/>
          <w:color w:val="000000"/>
          <w:sz w:val="20"/>
          <w:lang w:val="en-US" w:eastAsia="en-US" w:bidi="ar-SA"/>
        </w:rPr>
        <w:t xml:space="preserve">. Article 3 provides that "the carrier shall be liable for the damage suffered as a result of the death of or personal injury to a passenger". Section 6 of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then defines damages of a dependant as "loss resulting from the injury" (s-s. 1) and "loss resulting from the death" (s-s. 2). Article 14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operates to confine the action within the convention.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I conclude that the wording of the legislation in this case, as in the case of the </w:t>
      </w:r>
      <w:r>
        <w:rPr>
          <w:rFonts w:ascii="arial" w:eastAsia="arial" w:hAnsi="arial" w:cs="arial"/>
          <w:i/>
          <w:color w:val="000000"/>
          <w:sz w:val="20"/>
          <w:lang w:val="en-US" w:eastAsia="en-US" w:bidi="ar-SA"/>
        </w:rPr>
        <w:t>Warsaw Convention</w:t>
      </w:r>
      <w:r>
        <w:rPr>
          <w:rFonts w:ascii="arial" w:eastAsia="arial" w:hAnsi="arial" w:cs="arial"/>
          <w:color w:val="000000"/>
          <w:sz w:val="20"/>
          <w:lang w:val="en-US" w:eastAsia="en-US" w:bidi="ar-SA"/>
        </w:rPr>
        <w:t xml:space="preserve">, clearly indicates that damages to be awarded under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are to be compensatory in nature. I am of the opinion, therefore that where the claim falls under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as these claims do, the provisions of the legislation do not permit the recovery of punitive or exemplary damages, which are not in the nature of compensation.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Counsel for the plaintiffs suggest, however, that recoverability of punitive damages in wrongful death claims is not unknown. They refer to the decision in </w:t>
      </w:r>
      <w:r>
        <w:rPr>
          <w:rFonts w:ascii="arial" w:eastAsia="arial" w:hAnsi="arial" w:cs="arial"/>
          <w:b/>
          <w:i/>
          <w:color w:val="000000"/>
          <w:sz w:val="20"/>
          <w:lang w:val="en-US" w:eastAsia="en-US" w:bidi="ar-SA"/>
        </w:rPr>
        <w:t>Cyr v. Williams</w:t>
      </w:r>
      <w:r>
        <w:rPr>
          <w:rFonts w:ascii="arial" w:eastAsia="arial" w:hAnsi="arial" w:cs="arial"/>
          <w:color w:val="000000"/>
          <w:sz w:val="20"/>
          <w:lang w:val="en-US" w:eastAsia="en-US" w:bidi="ar-SA"/>
        </w:rPr>
        <w:t xml:space="preserve"> </w:t>
      </w:r>
      <w:hyperlink r:id="rId906" w:history="1">
        <w:r>
          <w:rPr>
            <w:rFonts w:ascii="arial" w:eastAsia="arial" w:hAnsi="arial" w:cs="arial"/>
            <w:i/>
            <w:color w:val="0077CC"/>
            <w:sz w:val="20"/>
            <w:u w:val="single"/>
            <w:shd w:val="clear" w:color="auto" w:fill="FFFFFF"/>
            <w:lang w:val="en-US" w:eastAsia="en-US" w:bidi="ar-SA"/>
          </w:rPr>
          <w:t>(1996), 14 B.C.L.R. (3d) 289</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Cyr</w:t>
      </w:r>
      <w:r>
        <w:rPr>
          <w:rFonts w:ascii="arial" w:eastAsia="arial" w:hAnsi="arial" w:cs="arial"/>
          <w:color w:val="000000"/>
          <w:sz w:val="20"/>
          <w:lang w:val="en-US" w:eastAsia="en-US" w:bidi="ar-SA"/>
        </w:rPr>
        <w:t xml:space="preserve">], a brief oral decision, in which the court awarded punitive damages in favour of the surviving children of a mother who had been murdered by the children's father. In </w:t>
      </w:r>
      <w:r>
        <w:rPr>
          <w:rFonts w:ascii="arial" w:eastAsia="arial" w:hAnsi="arial" w:cs="arial"/>
          <w:b/>
          <w:i/>
          <w:color w:val="000000"/>
          <w:sz w:val="20"/>
          <w:lang w:val="en-US" w:eastAsia="en-US" w:bidi="ar-SA"/>
        </w:rPr>
        <w:t>Cyr</w:t>
      </w:r>
      <w:r>
        <w:rPr>
          <w:rFonts w:ascii="arial" w:eastAsia="arial" w:hAnsi="arial" w:cs="arial"/>
          <w:color w:val="000000"/>
          <w:sz w:val="20"/>
          <w:lang w:val="en-US" w:eastAsia="en-US" w:bidi="ar-SA"/>
        </w:rPr>
        <w:t xml:space="preserve"> the court referred to but distinguished the case of </w:t>
      </w:r>
      <w:r>
        <w:rPr>
          <w:rFonts w:ascii="arial" w:eastAsia="arial" w:hAnsi="arial" w:cs="arial"/>
          <w:b/>
          <w:i/>
          <w:color w:val="000000"/>
          <w:sz w:val="20"/>
          <w:lang w:val="en-US" w:eastAsia="en-US" w:bidi="ar-SA"/>
        </w:rPr>
        <w:t>Campbell v. Read</w:t>
      </w:r>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(1987), 22 B.C.L.R. (2d) 214</w:t>
        </w:r>
      </w:hyperlink>
      <w:r>
        <w:rPr>
          <w:rFonts w:ascii="arial" w:eastAsia="arial" w:hAnsi="arial" w:cs="arial"/>
          <w:color w:val="000000"/>
          <w:sz w:val="20"/>
          <w:lang w:val="en-US" w:eastAsia="en-US" w:bidi="ar-SA"/>
        </w:rPr>
        <w:t xml:space="preserve">, </w:t>
      </w:r>
      <w:hyperlink r:id="rId907" w:history="1">
        <w:r>
          <w:rPr>
            <w:rFonts w:ascii="arial" w:eastAsia="arial" w:hAnsi="arial" w:cs="arial"/>
            <w:i/>
            <w:color w:val="0077CC"/>
            <w:sz w:val="20"/>
            <w:u w:val="single"/>
            <w:shd w:val="clear" w:color="auto" w:fill="FFFFFF"/>
            <w:lang w:val="en-US" w:eastAsia="en-US" w:bidi="ar-SA"/>
          </w:rPr>
          <w:t>49 D.L.R. (4th) 51</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Campbell</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w:t>
      </w:r>
      <w:r>
        <w:rPr>
          <w:rFonts w:ascii="arial" w:eastAsia="arial" w:hAnsi="arial" w:cs="arial"/>
          <w:b/>
          <w:i/>
          <w:color w:val="000000"/>
          <w:sz w:val="20"/>
          <w:lang w:val="en-US" w:eastAsia="en-US" w:bidi="ar-SA"/>
        </w:rPr>
        <w:t>Campbell</w:t>
      </w:r>
      <w:r>
        <w:rPr>
          <w:rFonts w:ascii="arial" w:eastAsia="arial" w:hAnsi="arial" w:cs="arial"/>
          <w:color w:val="000000"/>
          <w:sz w:val="20"/>
          <w:lang w:val="en-US" w:eastAsia="en-US" w:bidi="ar-SA"/>
        </w:rPr>
        <w:t xml:space="preserve"> was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 in which the father of a pedestrian who was killed when struck by a motor vehicle brought an action as administrator of the estate of the deceased pursuant to the provisions of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R.S.B.C. 1979, c. 120 and the </w:t>
      </w:r>
      <w:r>
        <w:rPr>
          <w:rFonts w:ascii="arial" w:eastAsia="arial" w:hAnsi="arial" w:cs="arial"/>
          <w:b/>
          <w:i/>
          <w:color w:val="000000"/>
          <w:sz w:val="20"/>
          <w:lang w:val="en-US" w:eastAsia="en-US" w:bidi="ar-SA"/>
        </w:rPr>
        <w:t>Estate Administration Act</w:t>
      </w:r>
      <w:r>
        <w:rPr>
          <w:rFonts w:ascii="arial" w:eastAsia="arial" w:hAnsi="arial" w:cs="arial"/>
          <w:color w:val="000000"/>
          <w:sz w:val="20"/>
          <w:lang w:val="en-US" w:eastAsia="en-US" w:bidi="ar-SA"/>
        </w:rPr>
        <w:t>, R.S.B.C. 1979, c. 114.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brought an application under Rule 34 to determine a number of points of law. The chambers judge found, as a matter of law, that the plaintiff could maintain an action for aggravated damages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and that the plaintiff could bring a claim under the </w:t>
      </w:r>
      <w:r>
        <w:rPr>
          <w:rFonts w:ascii="arial" w:eastAsia="arial" w:hAnsi="arial" w:cs="arial"/>
          <w:b/>
          <w:i/>
          <w:color w:val="000000"/>
          <w:sz w:val="20"/>
          <w:lang w:val="en-US" w:eastAsia="en-US" w:bidi="ar-SA"/>
        </w:rPr>
        <w:t>Estate Administration Act</w:t>
      </w:r>
      <w:r>
        <w:rPr>
          <w:rFonts w:ascii="arial" w:eastAsia="arial" w:hAnsi="arial" w:cs="arial"/>
          <w:color w:val="000000"/>
          <w:sz w:val="20"/>
          <w:lang w:val="en-US" w:eastAsia="en-US" w:bidi="ar-SA"/>
        </w:rPr>
        <w:t>, on behalf of the estate, for punitive or exemplary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Court of Appeal held that the chambers judge had erred and that the plaintiff could not maintain an action for aggravated damages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I will deal with that aspect of the judgment in my discussion of aggravated damages later in these reasons.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With regard to punitive damages, Wallace J.A. said at 218 (B.C.L.R.):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Again, in my view, the chambers judge fails to consider the restricted nature of the claim which the </w:t>
      </w:r>
      <w:r>
        <w:rPr>
          <w:rFonts w:ascii="arial" w:eastAsia="arial" w:hAnsi="arial" w:cs="arial"/>
          <w:i/>
          <w:color w:val="000000"/>
          <w:sz w:val="20"/>
          <w:lang w:val="en-US" w:eastAsia="en-US" w:bidi="ar-SA"/>
        </w:rPr>
        <w:t>Estate Administration Act</w:t>
      </w:r>
      <w:r>
        <w:rPr>
          <w:rFonts w:ascii="arial" w:eastAsia="arial" w:hAnsi="arial" w:cs="arial"/>
          <w:color w:val="000000"/>
          <w:sz w:val="20"/>
          <w:lang w:val="en-US" w:eastAsia="en-US" w:bidi="ar-SA"/>
        </w:rPr>
        <w:t xml:space="preserve"> permits to survive the death of an injured party. It is confined by s. 66(2) to an action "for loss or damage to the person or property of the deceased". Since exemplary damages are granted in those cases "where the conduct of the defendant has been such as to merit the condemnation of the court" (see </w:t>
      </w:r>
      <w:r>
        <w:rPr>
          <w:rFonts w:ascii="arial" w:eastAsia="arial" w:hAnsi="arial" w:cs="arial"/>
          <w:i/>
          <w:color w:val="000000"/>
          <w:sz w:val="20"/>
          <w:lang w:val="en-US" w:eastAsia="en-US" w:bidi="ar-SA"/>
        </w:rPr>
        <w:t>Robitaille v. Vancouver Hockey Club</w:t>
      </w:r>
      <w:r>
        <w:rPr>
          <w:rFonts w:ascii="arial" w:eastAsia="arial" w:hAnsi="arial" w:cs="arial"/>
          <w:color w:val="000000"/>
          <w:sz w:val="20"/>
          <w:lang w:val="en-US" w:eastAsia="en-US" w:bidi="ar-SA"/>
        </w:rPr>
        <w:t xml:space="preserve">, </w:t>
      </w:r>
      <w:hyperlink r:id="rId908" w:history="1">
        <w:r>
          <w:rPr>
            <w:rFonts w:ascii="arial" w:eastAsia="arial" w:hAnsi="arial" w:cs="arial"/>
            <w:i/>
            <w:color w:val="0077CC"/>
            <w:sz w:val="20"/>
            <w:u w:val="single"/>
            <w:shd w:val="clear" w:color="auto" w:fill="FFFFFF"/>
            <w:lang w:val="en-US" w:eastAsia="en-US" w:bidi="ar-SA"/>
          </w:rPr>
          <w:t>30 B.C.L.R. 286</w:t>
        </w:r>
      </w:hyperlink>
      <w:r>
        <w:rPr>
          <w:rFonts w:ascii="arial" w:eastAsia="arial" w:hAnsi="arial" w:cs="arial"/>
          <w:color w:val="000000"/>
          <w:sz w:val="20"/>
          <w:lang w:val="en-US" w:eastAsia="en-US" w:bidi="ar-SA"/>
        </w:rPr>
        <w:t>, at 310) and are designed "to punish the defendant for his behaviour, which may be compendiously described as inexcusable or reprehensible, and to deter others from acting in the same manner": (</w:t>
      </w:r>
      <w:r>
        <w:rPr>
          <w:rFonts w:ascii="arial" w:eastAsia="arial" w:hAnsi="arial" w:cs="arial"/>
          <w:i/>
          <w:color w:val="000000"/>
          <w:sz w:val="20"/>
          <w:lang w:val="en-US" w:eastAsia="en-US" w:bidi="ar-SA"/>
        </w:rPr>
        <w:t>Vorvis v. I.C.B.C.</w:t>
      </w:r>
      <w:r>
        <w:rPr>
          <w:rFonts w:ascii="arial" w:eastAsia="arial" w:hAnsi="arial" w:cs="arial"/>
          <w:color w:val="000000"/>
          <w:sz w:val="20"/>
          <w:lang w:val="en-US" w:eastAsia="en-US" w:bidi="ar-SA"/>
        </w:rPr>
        <w:t xml:space="preserve"> </w:t>
      </w:r>
      <w:hyperlink r:id="rId909" w:history="1">
        <w:r>
          <w:rPr>
            <w:rFonts w:ascii="arial" w:eastAsia="arial" w:hAnsi="arial" w:cs="arial"/>
            <w:i/>
            <w:color w:val="0077CC"/>
            <w:sz w:val="20"/>
            <w:u w:val="single"/>
            <w:shd w:val="clear" w:color="auto" w:fill="FFFFFF"/>
            <w:lang w:val="en-US" w:eastAsia="en-US" w:bidi="ar-SA"/>
          </w:rPr>
          <w:t>(1984) 53 B.C.L.R. 63</w:t>
        </w:r>
      </w:hyperlink>
      <w:r>
        <w:rPr>
          <w:rFonts w:ascii="arial" w:eastAsia="arial" w:hAnsi="arial" w:cs="arial"/>
          <w:color w:val="000000"/>
          <w:sz w:val="20"/>
          <w:lang w:val="en-US" w:eastAsia="en-US" w:bidi="ar-SA"/>
        </w:rPr>
        <w:t xml:space="preserve"> at 72) they do not come within the category of "loss or damage to the person or property of the deceased".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conclude, although it is not stated in the judgment, that the claim for punitive damages in </w:t>
      </w:r>
      <w:r>
        <w:rPr>
          <w:rFonts w:ascii="arial" w:eastAsia="arial" w:hAnsi="arial" w:cs="arial"/>
          <w:b/>
          <w:i/>
          <w:color w:val="000000"/>
          <w:sz w:val="20"/>
          <w:lang w:val="en-US" w:eastAsia="en-US" w:bidi="ar-SA"/>
        </w:rPr>
        <w:t>Cyr</w:t>
      </w:r>
      <w:r>
        <w:rPr>
          <w:rFonts w:ascii="arial" w:eastAsia="arial" w:hAnsi="arial" w:cs="arial"/>
          <w:color w:val="000000"/>
          <w:sz w:val="20"/>
          <w:lang w:val="en-US" w:eastAsia="en-US" w:bidi="ar-SA"/>
        </w:rPr>
        <w:t xml:space="preserve"> was made under the </w:t>
      </w:r>
      <w:r>
        <w:rPr>
          <w:rFonts w:ascii="arial" w:eastAsia="arial" w:hAnsi="arial" w:cs="arial"/>
          <w:b/>
          <w:i/>
          <w:color w:val="000000"/>
          <w:sz w:val="20"/>
          <w:lang w:val="en-US" w:eastAsia="en-US" w:bidi="ar-SA"/>
        </w:rPr>
        <w:t>Families Compensation Act</w:t>
      </w:r>
      <w:r>
        <w:rPr>
          <w:rFonts w:ascii="arial" w:eastAsia="arial" w:hAnsi="arial" w:cs="arial"/>
          <w:color w:val="000000"/>
          <w:sz w:val="20"/>
          <w:lang w:val="en-US" w:eastAsia="en-US" w:bidi="ar-SA"/>
        </w:rPr>
        <w:t xml:space="preserve">. Even though the issue regarding punitive damages in </w:t>
      </w:r>
      <w:r>
        <w:rPr>
          <w:rFonts w:ascii="arial" w:eastAsia="arial" w:hAnsi="arial" w:cs="arial"/>
          <w:b/>
          <w:i/>
          <w:color w:val="000000"/>
          <w:sz w:val="20"/>
          <w:lang w:val="en-US" w:eastAsia="en-US" w:bidi="ar-SA"/>
        </w:rPr>
        <w:t>Campbell</w:t>
      </w:r>
      <w:r>
        <w:rPr>
          <w:rFonts w:ascii="arial" w:eastAsia="arial" w:hAnsi="arial" w:cs="arial"/>
          <w:color w:val="000000"/>
          <w:sz w:val="20"/>
          <w:lang w:val="en-US" w:eastAsia="en-US" w:bidi="ar-SA"/>
        </w:rPr>
        <w:t xml:space="preserve"> arose in connection with the claim under the </w:t>
      </w:r>
      <w:r>
        <w:rPr>
          <w:rFonts w:ascii="arial" w:eastAsia="arial" w:hAnsi="arial" w:cs="arial"/>
          <w:b/>
          <w:i/>
          <w:color w:val="000000"/>
          <w:sz w:val="20"/>
          <w:lang w:val="en-US" w:eastAsia="en-US" w:bidi="ar-SA"/>
        </w:rPr>
        <w:t>Estate Administration Act</w:t>
      </w:r>
      <w:r>
        <w:rPr>
          <w:rFonts w:ascii="arial" w:eastAsia="arial" w:hAnsi="arial" w:cs="arial"/>
          <w:color w:val="000000"/>
          <w:sz w:val="20"/>
          <w:lang w:val="en-US" w:eastAsia="en-US" w:bidi="ar-SA"/>
        </w:rPr>
        <w:t xml:space="preserve">, the trial judge in </w:t>
      </w:r>
      <w:r>
        <w:rPr>
          <w:rFonts w:ascii="arial" w:eastAsia="arial" w:hAnsi="arial" w:cs="arial"/>
          <w:b/>
          <w:i/>
          <w:color w:val="000000"/>
          <w:sz w:val="20"/>
          <w:lang w:val="en-US" w:eastAsia="en-US" w:bidi="ar-SA"/>
        </w:rPr>
        <w:t>Cyr</w:t>
      </w:r>
      <w:r>
        <w:rPr>
          <w:rFonts w:ascii="arial" w:eastAsia="arial" w:hAnsi="arial" w:cs="arial"/>
          <w:color w:val="000000"/>
          <w:sz w:val="20"/>
          <w:lang w:val="en-US" w:eastAsia="en-US" w:bidi="ar-SA"/>
        </w:rPr>
        <w:t xml:space="preserve"> distinguished </w:t>
      </w:r>
      <w:r>
        <w:rPr>
          <w:rFonts w:ascii="arial" w:eastAsia="arial" w:hAnsi="arial" w:cs="arial"/>
          <w:b/>
          <w:i/>
          <w:color w:val="000000"/>
          <w:sz w:val="20"/>
          <w:lang w:val="en-US" w:eastAsia="en-US" w:bidi="ar-SA"/>
        </w:rPr>
        <w:t>Campbell</w:t>
      </w:r>
      <w:r>
        <w:rPr>
          <w:rFonts w:ascii="arial" w:eastAsia="arial" w:hAnsi="arial" w:cs="arial"/>
          <w:color w:val="000000"/>
          <w:sz w:val="20"/>
          <w:lang w:val="en-US" w:eastAsia="en-US" w:bidi="ar-SA"/>
        </w:rPr>
        <w:t>, saying at 290 (B.C.L.R.):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regard to the question of exemplary damages, I would distinguish the reasoning of the court in </w:t>
      </w:r>
      <w:r>
        <w:rPr>
          <w:rFonts w:ascii="arial" w:eastAsia="arial" w:hAnsi="arial" w:cs="arial"/>
          <w:i/>
          <w:color w:val="000000"/>
          <w:sz w:val="20"/>
          <w:lang w:val="en-US" w:eastAsia="en-US" w:bidi="ar-SA"/>
        </w:rPr>
        <w:t>Campbell v. Reid</w:t>
      </w:r>
      <w:r>
        <w:rPr>
          <w:rFonts w:ascii="arial" w:eastAsia="arial" w:hAnsi="arial" w:cs="arial"/>
          <w:color w:val="000000"/>
          <w:sz w:val="20"/>
          <w:lang w:val="en-US" w:eastAsia="en-US" w:bidi="ar-SA"/>
        </w:rPr>
        <w:t xml:space="preserve">. There it was an action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Here this was a deliberate criminal act of manslaughter, where the defendant intentionally killed his wife and deprived these four young children of their mother for the rest of their lives.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my view </w:t>
      </w:r>
      <w:r>
        <w:rPr>
          <w:rFonts w:ascii="arial" w:eastAsia="arial" w:hAnsi="arial" w:cs="arial"/>
          <w:b/>
          <w:i/>
          <w:color w:val="000000"/>
          <w:sz w:val="20"/>
          <w:lang w:val="en-US" w:eastAsia="en-US" w:bidi="ar-SA"/>
        </w:rPr>
        <w:t>Cyr</w:t>
      </w:r>
      <w:r>
        <w:rPr>
          <w:rFonts w:ascii="arial" w:eastAsia="arial" w:hAnsi="arial" w:cs="arial"/>
          <w:color w:val="000000"/>
          <w:sz w:val="20"/>
          <w:lang w:val="en-US" w:eastAsia="en-US" w:bidi="ar-SA"/>
        </w:rPr>
        <w:t xml:space="preserve"> must be seen as standing alone. In any event, I am of the opinion that it cannot be relied on to support a claim for punitive damages in the present case, which is an action based on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under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Aggravated damages are compensatory in nature and are awarded in circumstances where the defendant's conduct has been particularly high-handed or oppressive thereby increasing the plaintiff's mental distress. In </w:t>
      </w:r>
      <w:r>
        <w:rPr>
          <w:rFonts w:ascii="arial" w:eastAsia="arial" w:hAnsi="arial" w:cs="arial"/>
          <w:b/>
          <w:i/>
          <w:color w:val="000000"/>
          <w:sz w:val="20"/>
          <w:lang w:val="en-US" w:eastAsia="en-US" w:bidi="ar-SA"/>
        </w:rPr>
        <w:t>Hill</w:t>
      </w:r>
      <w:r>
        <w:rPr>
          <w:rFonts w:ascii="arial" w:eastAsia="arial" w:hAnsi="arial" w:cs="arial"/>
          <w:color w:val="000000"/>
          <w:sz w:val="20"/>
          <w:lang w:val="en-US" w:eastAsia="en-US" w:bidi="ar-SA"/>
        </w:rPr>
        <w:t>, Cory J. described them at paras. 188 - 89 in these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[188] Aggravated damages may be awarded in circumstances where the defendants' conduct has been particularly high-handed or oppressive, thereby increasing the plaintiff's humiliation and anxiety arising from the libellous statement. The nature of these damages was aptly described by Robins J.A. in </w:t>
      </w:r>
      <w:r>
        <w:rPr>
          <w:rFonts w:ascii="arial" w:eastAsia="arial" w:hAnsi="arial" w:cs="arial"/>
          <w:i/>
          <w:color w:val="000000"/>
          <w:sz w:val="20"/>
          <w:lang w:val="en-US" w:eastAsia="en-US" w:bidi="ar-SA"/>
        </w:rPr>
        <w:t>Walker v. CFTO Ltd., supra</w:t>
      </w:r>
      <w:r>
        <w:rPr>
          <w:rFonts w:ascii="arial" w:eastAsia="arial" w:hAnsi="arial" w:cs="arial"/>
          <w:color w:val="000000"/>
          <w:sz w:val="20"/>
          <w:lang w:val="en-US" w:eastAsia="en-US" w:bidi="ar-SA"/>
        </w:rPr>
        <w:t>, in these words at p. 231:</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Where the defendant is guilty of insulting, high-handed, spiteful, malicious or oppressive conduct which increases the mental distress -- the humiliation, indignation, anxiety, grief, fear and the like -- suffered by the plaintiff as a result of being defamed, the plaintiff may be entitled to what has come to be known as "aggravated damages".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[189] These damages take into account the additional harm caused to the plaintiff's feelings by the defendant's outrageous and malicious conduct. Like general or special damages, they are compensatory in nature. Their assessment requires consideration by the jury of the entire conduct of the defendant prior to the publication of the libel and continuing through to the conclusion of the trial. They represent the expression of natural indignation of right-thinking people arising from the malicious conduct of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Aggravated damages are non-pecuniary damages. In </w:t>
      </w:r>
      <w:r>
        <w:rPr>
          <w:rFonts w:ascii="arial" w:eastAsia="arial" w:hAnsi="arial" w:cs="arial"/>
          <w:b/>
          <w:i/>
          <w:color w:val="000000"/>
          <w:sz w:val="20"/>
          <w:lang w:val="en-US" w:eastAsia="en-US" w:bidi="ar-SA"/>
        </w:rPr>
        <w:t>Grewal v. Grewal</w:t>
      </w:r>
      <w:r>
        <w:rPr>
          <w:rFonts w:ascii="arial" w:eastAsia="arial" w:hAnsi="arial" w:cs="arial"/>
          <w:color w:val="000000"/>
          <w:sz w:val="20"/>
          <w:lang w:val="en-US" w:eastAsia="en-US" w:bidi="ar-SA"/>
        </w:rPr>
        <w:t xml:space="preserve">, </w:t>
      </w:r>
      <w:hyperlink r:id="rId910" w:history="1">
        <w:r>
          <w:rPr>
            <w:rFonts w:ascii="arial" w:eastAsia="arial" w:hAnsi="arial" w:cs="arial"/>
            <w:i/>
            <w:color w:val="0077CC"/>
            <w:sz w:val="20"/>
            <w:u w:val="single"/>
            <w:shd w:val="clear" w:color="auto" w:fill="FFFFFF"/>
            <w:lang w:val="en-US" w:eastAsia="en-US" w:bidi="ar-SA"/>
          </w:rPr>
          <w:t>2005 BCSC 143</w:t>
        </w:r>
      </w:hyperlink>
      <w:r>
        <w:rPr>
          <w:rFonts w:ascii="arial" w:eastAsia="arial" w:hAnsi="arial" w:cs="arial"/>
          <w:color w:val="000000"/>
          <w:sz w:val="20"/>
          <w:lang w:val="en-US" w:eastAsia="en-US" w:bidi="ar-SA"/>
        </w:rPr>
        <w:t>, Mr. Justice Bernard observed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 Aggravated damages are an aspect of non-pecuniary damages, and serve to augment them when intangible injuries such as significant and enduring emotional distress, humiliation and indignity arise from the manner of doing the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Counsel for BCFS says that, in the context of these actions,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is designed to compensate a dependant for "damage as a result of the death of ... a passenger". He submits that aggravated damages, while compensatory in nature, do not compensate for "damage suffered </w:t>
      </w:r>
      <w:r>
        <w:rPr>
          <w:rFonts w:ascii="arial" w:eastAsia="arial" w:hAnsi="arial" w:cs="arial"/>
          <w:color w:val="000000"/>
          <w:sz w:val="20"/>
          <w:u w:val="single"/>
          <w:lang w:val="en-US" w:eastAsia="en-US" w:bidi="ar-SA"/>
        </w:rPr>
        <w:t>as a result of the death</w:t>
      </w:r>
      <w:r>
        <w:rPr>
          <w:rFonts w:ascii="arial" w:eastAsia="arial" w:hAnsi="arial" w:cs="arial"/>
          <w:color w:val="000000"/>
          <w:sz w:val="20"/>
          <w:lang w:val="en-US" w:eastAsia="en-US" w:bidi="ar-SA"/>
        </w:rPr>
        <w:t xml:space="preserve"> ... of a passenger" (Article 3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(emphasis added). Aggravated damages suffered by a dependant are those suffered as a result of the actions of the defendant, such as mental distress or hurt feelings caused by the behaviour of the defendant, and not as a result of the death itself. He submits, therefore, that they do not come within the ambit of the legislative scheme.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BCFS submits that courts have denied recovery of aggravated damages under other statutes that provide for the recovery for damage "resulting from death" on the basis that such damages are not suffered as a result of death.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deciding that aggravated damages are not recoverable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Wallace J. stated in </w:t>
      </w:r>
      <w:r>
        <w:rPr>
          <w:rFonts w:ascii="arial" w:eastAsia="arial" w:hAnsi="arial" w:cs="arial"/>
          <w:b/>
          <w:i/>
          <w:color w:val="000000"/>
          <w:sz w:val="20"/>
          <w:lang w:val="en-US" w:eastAsia="en-US" w:bidi="ar-SA"/>
        </w:rPr>
        <w:t>Campbell</w:t>
      </w:r>
      <w:r>
        <w:rPr>
          <w:rFonts w:ascii="arial" w:eastAsia="arial" w:hAnsi="arial" w:cs="arial"/>
          <w:color w:val="000000"/>
          <w:sz w:val="20"/>
          <w:lang w:val="en-US" w:eastAsia="en-US" w:bidi="ar-SA"/>
        </w:rPr>
        <w:t xml:space="preserve"> at 217 (B.C.L.R.):</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chambers judge noted the distinction between aggravated damages and exemplary damages. He recognized that the former were designed to compensate the plaintiff for the harm done to him, which harm was aggravated by the manner or circumstances of the defendants' tortious act, whereas the latter are intended to punish the defendant. The chambers judge concluded, presumably because of this distinction, that a claim for aggravated damages is open under the Family Compensation 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reaching his conclusion, the chambers judge did not appear to consider the restricted nature of a claim under the Family Compensation Act. Section 3 of that Act provides in part: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3.(1) The action shall be </w:t>
      </w:r>
      <w:r>
        <w:rPr>
          <w:rFonts w:ascii="arial" w:eastAsia="arial" w:hAnsi="arial" w:cs="arial"/>
          <w:i/>
          <w:color w:val="000000"/>
          <w:sz w:val="20"/>
          <w:lang w:val="en-US" w:eastAsia="en-US" w:bidi="ar-SA"/>
        </w:rPr>
        <w:t>for the benefit of the spouse, parent or child of the person whose death has been caused</w:t>
      </w:r>
      <w:r>
        <w:rPr>
          <w:rFonts w:ascii="arial" w:eastAsia="arial" w:hAnsi="arial" w:cs="arial"/>
          <w:color w:val="000000"/>
          <w:sz w:val="20"/>
          <w:lang w:val="en-US" w:eastAsia="en-US" w:bidi="ar-SA"/>
        </w:rPr>
        <w:t>, and shall be brought by and in the name of the personal representative of the person deceased.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or jury may give damages proportioned to the </w:t>
      </w:r>
      <w:r>
        <w:rPr>
          <w:rFonts w:ascii="arial" w:eastAsia="arial" w:hAnsi="arial" w:cs="arial"/>
          <w:i/>
          <w:color w:val="000000"/>
          <w:sz w:val="20"/>
          <w:lang w:val="en-US" w:eastAsia="en-US" w:bidi="ar-SA"/>
        </w:rPr>
        <w:t>injury resulting from the death</w:t>
      </w:r>
      <w:r>
        <w:rPr>
          <w:rFonts w:ascii="arial" w:eastAsia="arial" w:hAnsi="arial" w:cs="arial"/>
          <w:color w:val="000000"/>
          <w:sz w:val="20"/>
          <w:lang w:val="en-US" w:eastAsia="en-US" w:bidi="ar-SA"/>
        </w:rPr>
        <w:t xml:space="preserve"> to the parties respectively for whose benefit the action has been brought. [emphasis added by Wallace J.A.]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support the plaintiff's claim to aggravated damages in a claim advanced under the Family Compensation Act, one would have to include in the phrase "injury resulting from the death", damages for the anguish and sorrow experienced by the dependants resulting from the death of Douglas Campbell.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Claims under this Act have been restricted to pecuniary loss and benefits sustained by the spouse, parent or child of the deceased victim, which they would have enjoyed had the person not died as a result of the conduct of the tortfeasor: see </w:t>
      </w:r>
      <w:r>
        <w:rPr>
          <w:rFonts w:ascii="arial" w:eastAsia="arial" w:hAnsi="arial" w:cs="arial"/>
          <w:i/>
          <w:color w:val="000000"/>
          <w:sz w:val="20"/>
          <w:lang w:val="en-US" w:eastAsia="en-US" w:bidi="ar-SA"/>
        </w:rPr>
        <w:t>Ponyicki v. Sawayama</w:t>
      </w:r>
      <w:r>
        <w:rPr>
          <w:rFonts w:ascii="arial" w:eastAsia="arial" w:hAnsi="arial" w:cs="arial"/>
          <w:color w:val="000000"/>
          <w:sz w:val="20"/>
          <w:lang w:val="en-US" w:eastAsia="en-US" w:bidi="ar-SA"/>
        </w:rPr>
        <w:t xml:space="preserve">, </w:t>
      </w:r>
      <w:hyperlink r:id="rId911" w:history="1">
        <w:r>
          <w:rPr>
            <w:rFonts w:ascii="arial" w:eastAsia="arial" w:hAnsi="arial" w:cs="arial"/>
            <w:i/>
            <w:color w:val="0077CC"/>
            <w:sz w:val="20"/>
            <w:u w:val="single"/>
            <w:shd w:val="clear" w:color="auto" w:fill="FFFFFF"/>
            <w:lang w:val="en-US" w:eastAsia="en-US" w:bidi="ar-SA"/>
          </w:rPr>
          <w:t>[1943] S.C.R. 197</w:t>
        </w:r>
      </w:hyperlink>
      <w:r>
        <w:rPr>
          <w:rFonts w:ascii="arial" w:eastAsia="arial" w:hAnsi="arial" w:cs="arial"/>
          <w:color w:val="000000"/>
          <w:sz w:val="20"/>
          <w:lang w:val="en-US" w:eastAsia="en-US" w:bidi="ar-SA"/>
        </w:rPr>
        <w:t xml:space="preserve"> at 206-207, </w:t>
      </w:r>
      <w:hyperlink r:id="rId911" w:history="1">
        <w:r>
          <w:rPr>
            <w:rFonts w:ascii="arial" w:eastAsia="arial" w:hAnsi="arial" w:cs="arial"/>
            <w:i/>
            <w:color w:val="0077CC"/>
            <w:sz w:val="20"/>
            <w:u w:val="single"/>
            <w:shd w:val="clear" w:color="auto" w:fill="FFFFFF"/>
            <w:lang w:val="en-US" w:eastAsia="en-US" w:bidi="ar-SA"/>
          </w:rPr>
          <w:t>[1943] 2 D.L.R. 545</w:t>
        </w:r>
      </w:hyperlink>
      <w:r>
        <w:rPr>
          <w:rFonts w:ascii="arial" w:eastAsia="arial" w:hAnsi="arial" w:cs="arial"/>
          <w:color w:val="000000"/>
          <w:sz w:val="20"/>
          <w:lang w:val="en-US" w:eastAsia="en-US" w:bidi="ar-SA"/>
        </w:rPr>
        <w:t xml:space="preserve"> [B.C.].</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Circumstances which may aggravate the loss or damage sustained by an injured party are personal to that individual in the same sense as is the pain, suffering and loss of amenities experienced by the injured party. Such loss is not an injury of the kind dependants sustain as a "result of the death of the deceased".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would answer the first question posed in the negative and find the plaintiff may not maintain a claim for aggravated damages pursuant to the Family Compensation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When considering whether aggravated damages are recoverable in wrongful death claims it is instructive to consider the development of the law that was described in </w:t>
      </w:r>
      <w:r>
        <w:rPr>
          <w:rFonts w:ascii="arial" w:eastAsia="arial" w:hAnsi="arial" w:cs="arial"/>
          <w:b/>
          <w:i/>
          <w:color w:val="000000"/>
          <w:sz w:val="20"/>
          <w:lang w:val="en-US" w:eastAsia="en-US" w:bidi="ar-SA"/>
        </w:rPr>
        <w:t>Allan Estate v. Co-operators Life Insurance</w:t>
      </w:r>
      <w:r>
        <w:rPr>
          <w:rFonts w:ascii="arial" w:eastAsia="arial" w:hAnsi="arial" w:cs="arial"/>
          <w:color w:val="000000"/>
          <w:sz w:val="20"/>
          <w:lang w:val="en-US" w:eastAsia="en-US" w:bidi="ar-SA"/>
        </w:rPr>
        <w:t xml:space="preserve"> </w:t>
      </w:r>
      <w:hyperlink r:id="rId912" w:history="1">
        <w:r>
          <w:rPr>
            <w:rFonts w:ascii="arial" w:eastAsia="arial" w:hAnsi="arial" w:cs="arial"/>
            <w:i/>
            <w:color w:val="0077CC"/>
            <w:sz w:val="20"/>
            <w:u w:val="single"/>
            <w:shd w:val="clear" w:color="auto" w:fill="FFFFFF"/>
            <w:lang w:val="en-US" w:eastAsia="en-US" w:bidi="ar-SA"/>
          </w:rPr>
          <w:t>(1999), 62 B.C.L.R. (3d) 329</w:t>
        </w:r>
      </w:hyperlink>
      <w:r>
        <w:rPr>
          <w:rFonts w:ascii="arial" w:eastAsia="arial" w:hAnsi="arial" w:cs="arial"/>
          <w:color w:val="000000"/>
          <w:sz w:val="20"/>
          <w:lang w:val="en-US" w:eastAsia="en-US" w:bidi="ar-SA"/>
        </w:rPr>
        <w:t xml:space="preserve"> (C.A.). To summarize, at common law where a person's death was caused by wrongful act, neglect or default, a dependant of the deceased was not able to bring an action against the wrongdoer for damage caused to the dependant as a result of the wrongful death. The harshness of the law was addressed in England in 1846 by </w:t>
      </w:r>
      <w:r>
        <w:rPr>
          <w:rFonts w:ascii="arial" w:eastAsia="arial" w:hAnsi="arial" w:cs="arial"/>
          <w:b/>
          <w:i/>
          <w:color w:val="000000"/>
          <w:sz w:val="20"/>
          <w:lang w:val="en-US" w:eastAsia="en-US" w:bidi="ar-SA"/>
        </w:rPr>
        <w:t>Lord Campbell's Act</w:t>
      </w:r>
      <w:r>
        <w:rPr>
          <w:rFonts w:ascii="arial" w:eastAsia="arial" w:hAnsi="arial" w:cs="arial"/>
          <w:color w:val="000000"/>
          <w:sz w:val="20"/>
          <w:lang w:val="en-US" w:eastAsia="en-US" w:bidi="ar-SA"/>
        </w:rPr>
        <w:t xml:space="preserve"> (U.K.), 1846, c. 93, which permitted the jury to award such damages "as they may think proportioned to the injury resulting from such death to the parties respectively for whose benefit such action shall be brought". Under </w:t>
      </w:r>
      <w:r>
        <w:rPr>
          <w:rFonts w:ascii="arial" w:eastAsia="arial" w:hAnsi="arial" w:cs="arial"/>
          <w:i/>
          <w:color w:val="000000"/>
          <w:sz w:val="20"/>
          <w:lang w:val="en-US" w:eastAsia="en-US" w:bidi="ar-SA"/>
        </w:rPr>
        <w:t>Lord Campbell's Act</w:t>
      </w:r>
      <w:r>
        <w:rPr>
          <w:rFonts w:ascii="arial" w:eastAsia="arial" w:hAnsi="arial" w:cs="arial"/>
          <w:color w:val="000000"/>
          <w:sz w:val="20"/>
          <w:lang w:val="en-US" w:eastAsia="en-US" w:bidi="ar-SA"/>
        </w:rPr>
        <w:t>, which became part of the law of British Columbia in 1858, damages were limited to pecuniary loss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St. Lawrence &amp; Ottawa Railway v. Lett</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(1885), 11 S.C.R. 422</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St. Lawrence &amp; Ottawa Railway</w:t>
      </w:r>
      <w:r>
        <w:rPr>
          <w:rFonts w:ascii="arial" w:eastAsia="arial" w:hAnsi="arial" w:cs="arial"/>
          <w:color w:val="000000"/>
          <w:sz w:val="20"/>
          <w:lang w:val="en-US" w:eastAsia="en-US" w:bidi="ar-SA"/>
        </w:rPr>
        <w:t>], the Supreme Court of Canada expanded the scope of recovery somewhat by holding that certain consequential losses, such as care, training and education, were to be considered, in the context of fatal accident cases, pecuniary losses. Chief Justice Ritchie made it clear, however, that damages must be capable of a pecuniary estimate and could not be given as compensation for injured feelings, stating at 432-33: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statute intended that where there was a substantial loss or injury there should be substantial relief. I cannot think that in giving compensation to a child for the loss of its parent the legislature intended so to limit the remedy as to deprive the child of compensation for the greatest injury it is possible to conceive a child can sustain, namely, in being deprived of the care, education and training of a mother, unless it could be shown that the loss was a pecuniary loss of so many dollars or so much property, a construction which, in ninety-nine cases out of a hundred, would simply amount to saying that though there was an almost irreparable injury, affecting the present and future interests of the child, no compensation was to be awarded; in other words it would be, in effect, to deny to a child compensation for the death of a mother by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almost every conceivable case.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think the term injury in the statute means substantial injury as opposed to mere sentimental, and I cannot bring my mind to the conclusion that a husband or infant children may not, in the loss of a wife or mother, and did not in this case by such a loss, sustain a substantial injury and one for which it was the intention of the legislature to indemnify the husband and children. I am free to admit that the injury must not be sentimental or the damages a mere </w:t>
      </w:r>
      <w:r>
        <w:rPr>
          <w:rFonts w:ascii="arial" w:eastAsia="arial" w:hAnsi="arial" w:cs="arial"/>
          <w:i/>
          <w:color w:val="000000"/>
          <w:sz w:val="20"/>
          <w:lang w:val="en-US" w:eastAsia="en-US" w:bidi="ar-SA"/>
        </w:rPr>
        <w:t>solatium</w:t>
      </w:r>
      <w:r>
        <w:rPr>
          <w:rFonts w:ascii="arial" w:eastAsia="arial" w:hAnsi="arial" w:cs="arial"/>
          <w:color w:val="000000"/>
          <w:sz w:val="20"/>
          <w:lang w:val="en-US" w:eastAsia="en-US" w:bidi="ar-SA"/>
        </w:rPr>
        <w:t>, but must be capable of a pecuniary estimate; but I cannot think it must necessarily be a loss of so many dollars and cents capable of calculation. The injury must be substantial; the loss, a loss of a substantial pecuniary benefit, and the damages are not to be given to soothe the feelings of the husband or child, but are to be given for the substantial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legislation governing fatal accidents claims in several provinces provides the more expansive scope of damages and permits claimants to recover for the loss of care, guidance and companionship as was done in </w:t>
      </w:r>
      <w:r>
        <w:rPr>
          <w:rFonts w:ascii="arial" w:eastAsia="arial" w:hAnsi="arial" w:cs="arial"/>
          <w:b/>
          <w:i/>
          <w:color w:val="000000"/>
          <w:sz w:val="20"/>
          <w:lang w:val="en-US" w:eastAsia="en-US" w:bidi="ar-SA"/>
        </w:rPr>
        <w:t>St. Lawrence &amp; Ottawa Railway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Section 61 of the Ontario </w:t>
      </w:r>
      <w:r>
        <w:rPr>
          <w:rFonts w:ascii="arial" w:eastAsia="arial" w:hAnsi="arial" w:cs="arial"/>
          <w:b/>
          <w:i/>
          <w:color w:val="000000"/>
          <w:sz w:val="20"/>
          <w:lang w:val="en-US" w:eastAsia="en-US" w:bidi="ar-SA"/>
        </w:rPr>
        <w:t>Family Law Act</w:t>
      </w:r>
      <w:r>
        <w:rPr>
          <w:rFonts w:ascii="arial" w:eastAsia="arial" w:hAnsi="arial" w:cs="arial"/>
          <w:color w:val="000000"/>
          <w:sz w:val="20"/>
          <w:lang w:val="en-US" w:eastAsia="en-US" w:bidi="ar-SA"/>
        </w:rPr>
        <w:t xml:space="preserve">, </w:t>
      </w:r>
      <w:hyperlink r:id="rId914" w:history="1">
        <w:r>
          <w:rPr>
            <w:rFonts w:ascii="arial" w:eastAsia="arial" w:hAnsi="arial" w:cs="arial"/>
            <w:i/>
            <w:color w:val="0077CC"/>
            <w:sz w:val="20"/>
            <w:u w:val="single"/>
            <w:shd w:val="clear" w:color="auto" w:fill="FFFFFF"/>
            <w:lang w:val="en-US" w:eastAsia="en-US" w:bidi="ar-SA"/>
          </w:rPr>
          <w:t>R.S.O. 1990, c. F.3</w:t>
        </w:r>
      </w:hyperlink>
      <w:r>
        <w:rPr>
          <w:rFonts w:ascii="arial" w:eastAsia="arial" w:hAnsi="arial" w:cs="arial"/>
          <w:color w:val="000000"/>
          <w:sz w:val="20"/>
          <w:lang w:val="en-US" w:eastAsia="en-US" w:bidi="ar-SA"/>
        </w:rPr>
        <w:t>,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61(1) If a person is injured or killed by the fault or neglect of another under circumstances where the person is entitled to recover damages, or would have been entitled if not killed, the spouse, as defined in Part III (Support Obligations), children, grandchildren, parents, grandparents, brothers and sisters of the person are entitled to recover their </w:t>
      </w:r>
      <w:r>
        <w:rPr>
          <w:rFonts w:ascii="arial" w:eastAsia="arial" w:hAnsi="arial" w:cs="arial"/>
          <w:color w:val="000000"/>
          <w:sz w:val="20"/>
          <w:u w:val="single"/>
          <w:lang w:val="en-US" w:eastAsia="en-US" w:bidi="ar-SA"/>
        </w:rPr>
        <w:t>pecuniary loss</w:t>
      </w:r>
      <w:r>
        <w:rPr>
          <w:rFonts w:ascii="arial" w:eastAsia="arial" w:hAnsi="arial" w:cs="arial"/>
          <w:color w:val="000000"/>
          <w:sz w:val="20"/>
          <w:lang w:val="en-US" w:eastAsia="en-US" w:bidi="ar-SA"/>
        </w:rPr>
        <w:t xml:space="preserve"> resulting from the injury or death from the person from whom the person injured or killed is entitled to recover or would have been entitled if not killed, and to maintain an action for the purpose in a court of competent jurisdiction.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damages recoverable in a claim under subsection (1) may include,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expenses reasonably incurred for the benefit of the person injured or killed;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actual funeral expenses reasonably incurred;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reasonable allowance for travel expenses actually incurred in visiting the person during his or her treatment or recovery;</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where, as the result of the injury, the claimant provides nursing, housekeeping or other services for the person, a reasonable allowance for loss of income or the value of the services; and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amount to compensate for the loss of guidance, care and companionship that the claimant might reasonably have expected to receive from the person if the injury or death had not occurred.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Lord v. Downer</w:t>
      </w:r>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(1999), 179 D.L.R. (4th) 430</w:t>
        </w:r>
      </w:hyperlink>
      <w:r>
        <w:rPr>
          <w:rFonts w:ascii="arial" w:eastAsia="arial" w:hAnsi="arial" w:cs="arial"/>
          <w:color w:val="000000"/>
          <w:sz w:val="20"/>
          <w:lang w:val="en-US" w:eastAsia="en-US" w:bidi="ar-SA"/>
        </w:rPr>
        <w:t xml:space="preserve">, </w:t>
      </w:r>
      <w:hyperlink r:id="rId915" w:history="1">
        <w:r>
          <w:rPr>
            <w:rFonts w:ascii="arial" w:eastAsia="arial" w:hAnsi="arial" w:cs="arial"/>
            <w:i/>
            <w:color w:val="0077CC"/>
            <w:sz w:val="20"/>
            <w:u w:val="single"/>
            <w:shd w:val="clear" w:color="auto" w:fill="FFFFFF"/>
            <w:lang w:val="en-US" w:eastAsia="en-US" w:bidi="ar-SA"/>
          </w:rPr>
          <w:t>40 C.P.C. (4th) 100</w:t>
        </w:r>
      </w:hyperlink>
      <w:r>
        <w:rPr>
          <w:rFonts w:ascii="arial" w:eastAsia="arial" w:hAnsi="arial" w:cs="arial"/>
          <w:color w:val="000000"/>
          <w:sz w:val="20"/>
          <w:lang w:val="en-US" w:eastAsia="en-US" w:bidi="ar-SA"/>
        </w:rPr>
        <w:t xml:space="preserve"> (Ont. C.A.) [</w:t>
      </w:r>
      <w:r>
        <w:rPr>
          <w:rFonts w:ascii="arial" w:eastAsia="arial" w:hAnsi="arial" w:cs="arial"/>
          <w:b/>
          <w:i/>
          <w:color w:val="000000"/>
          <w:sz w:val="20"/>
          <w:lang w:val="en-US" w:eastAsia="en-US" w:bidi="ar-SA"/>
        </w:rPr>
        <w:t>Lord</w:t>
      </w:r>
      <w:r>
        <w:rPr>
          <w:rFonts w:ascii="arial" w:eastAsia="arial" w:hAnsi="arial" w:cs="arial"/>
          <w:color w:val="000000"/>
          <w:sz w:val="20"/>
          <w:lang w:val="en-US" w:eastAsia="en-US" w:bidi="ar-SA"/>
        </w:rPr>
        <w:t xml:space="preserve">], the issue was whether, in an action for damages under s. 61 of the Ontario </w:t>
      </w:r>
      <w:r>
        <w:rPr>
          <w:rFonts w:ascii="arial" w:eastAsia="arial" w:hAnsi="arial" w:cs="arial"/>
          <w:b/>
          <w:i/>
          <w:color w:val="000000"/>
          <w:sz w:val="20"/>
          <w:lang w:val="en-US" w:eastAsia="en-US" w:bidi="ar-SA"/>
        </w:rPr>
        <w:t>Family Law Act</w:t>
      </w:r>
      <w:r>
        <w:rPr>
          <w:rFonts w:ascii="arial" w:eastAsia="arial" w:hAnsi="arial" w:cs="arial"/>
          <w:color w:val="000000"/>
          <w:sz w:val="20"/>
          <w:lang w:val="en-US" w:eastAsia="en-US" w:bidi="ar-SA"/>
        </w:rPr>
        <w:t>, the surviving relatives of a murder victim are entitled to assert a claim for punitive, exemplary 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Sharpe J.A. traced the historic progress and modification of the rule in Ontario at para. 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[4] At common law, the right to bring an action in tort did not survive the death of the victim. Neither the estate of the victim nor the victim's relatives had a right to sue for their losses: </w:t>
      </w:r>
      <w:r>
        <w:rPr>
          <w:rFonts w:ascii="arial" w:eastAsia="arial" w:hAnsi="arial" w:cs="arial"/>
          <w:i/>
          <w:color w:val="000000"/>
          <w:sz w:val="20"/>
          <w:lang w:val="en-US" w:eastAsia="en-US" w:bidi="ar-SA"/>
        </w:rPr>
        <w:t>Baker v. Bolton</w:t>
      </w:r>
      <w:r>
        <w:rPr>
          <w:rFonts w:ascii="arial" w:eastAsia="arial" w:hAnsi="arial" w:cs="arial"/>
          <w:color w:val="000000"/>
          <w:sz w:val="20"/>
          <w:lang w:val="en-US" w:eastAsia="en-US" w:bidi="ar-SA"/>
        </w:rPr>
        <w:t xml:space="preserve"> (1808), 1 Camp. 493, 170 E.R. 1033. Fatal accidents legislation, first introduced in England in 1846 (</w:t>
      </w:r>
      <w:r>
        <w:rPr>
          <w:rFonts w:ascii="arial" w:eastAsia="arial" w:hAnsi="arial" w:cs="arial"/>
          <w:i/>
          <w:color w:val="000000"/>
          <w:sz w:val="20"/>
          <w:lang w:val="en-US" w:eastAsia="en-US" w:bidi="ar-SA"/>
        </w:rPr>
        <w:t>Lord Campbell's Act</w:t>
      </w:r>
      <w:r>
        <w:rPr>
          <w:rFonts w:ascii="arial" w:eastAsia="arial" w:hAnsi="arial" w:cs="arial"/>
          <w:color w:val="000000"/>
          <w:sz w:val="20"/>
          <w:lang w:val="en-US" w:eastAsia="en-US" w:bidi="ar-SA"/>
        </w:rPr>
        <w:t>, 1846 (U.K.), 9 and 10 Vict., c. 93) and in this jurisdiction in 1847 (</w:t>
      </w:r>
      <w:r>
        <w:rPr>
          <w:rFonts w:ascii="arial" w:eastAsia="arial" w:hAnsi="arial" w:cs="arial"/>
          <w:i/>
          <w:color w:val="000000"/>
          <w:sz w:val="20"/>
          <w:lang w:val="en-US" w:eastAsia="en-US" w:bidi="ar-SA"/>
        </w:rPr>
        <w:t>Fatal Accidents Act</w:t>
      </w:r>
      <w:r>
        <w:rPr>
          <w:rFonts w:ascii="arial" w:eastAsia="arial" w:hAnsi="arial" w:cs="arial"/>
          <w:color w:val="000000"/>
          <w:sz w:val="20"/>
          <w:lang w:val="en-US" w:eastAsia="en-US" w:bidi="ar-SA"/>
        </w:rPr>
        <w:t xml:space="preserve">, S.U.C. 1847, 10 and 11 Vict., c. 6), gave enumerated dependants a statutory cause of action for "damages.": see </w:t>
      </w:r>
      <w:r>
        <w:rPr>
          <w:rFonts w:ascii="arial" w:eastAsia="arial" w:hAnsi="arial" w:cs="arial"/>
          <w:i/>
          <w:color w:val="000000"/>
          <w:sz w:val="20"/>
          <w:lang w:val="en-US" w:eastAsia="en-US" w:bidi="ar-SA"/>
        </w:rPr>
        <w:t>Fatal Accidents Act</w:t>
      </w:r>
      <w:r>
        <w:rPr>
          <w:rFonts w:ascii="arial" w:eastAsia="arial" w:hAnsi="arial" w:cs="arial"/>
          <w:color w:val="000000"/>
          <w:sz w:val="20"/>
          <w:lang w:val="en-US" w:eastAsia="en-US" w:bidi="ar-SA"/>
        </w:rPr>
        <w:t xml:space="preserve">, R.S.O. 1970, c. 164, s. 2. As explained by this Court in </w:t>
      </w:r>
      <w:r>
        <w:rPr>
          <w:rFonts w:ascii="arial" w:eastAsia="arial" w:hAnsi="arial" w:cs="arial"/>
          <w:i/>
          <w:color w:val="000000"/>
          <w:sz w:val="20"/>
          <w:lang w:val="en-US" w:eastAsia="en-US" w:bidi="ar-SA"/>
        </w:rPr>
        <w:t>Mason v. Peters</w:t>
      </w:r>
      <w:r>
        <w:rPr>
          <w:rFonts w:ascii="arial" w:eastAsia="arial" w:hAnsi="arial" w:cs="arial"/>
          <w:color w:val="000000"/>
          <w:sz w:val="20"/>
          <w:lang w:val="en-US" w:eastAsia="en-US" w:bidi="ar-SA"/>
        </w:rPr>
        <w:t xml:space="preserve"> </w:t>
      </w:r>
      <w:hyperlink r:id="rId916" w:history="1">
        <w:r>
          <w:rPr>
            <w:rFonts w:ascii="arial" w:eastAsia="arial" w:hAnsi="arial" w:cs="arial"/>
            <w:i/>
            <w:color w:val="0077CC"/>
            <w:sz w:val="20"/>
            <w:u w:val="single"/>
            <w:shd w:val="clear" w:color="auto" w:fill="FFFFFF"/>
            <w:lang w:val="en-US" w:eastAsia="en-US" w:bidi="ar-SA"/>
          </w:rPr>
          <w:t>(1982), 39 O.R. (2d) 27</w:t>
        </w:r>
      </w:hyperlink>
      <w:r>
        <w:rPr>
          <w:rFonts w:ascii="arial" w:eastAsia="arial" w:hAnsi="arial" w:cs="arial"/>
          <w:color w:val="000000"/>
          <w:sz w:val="20"/>
          <w:lang w:val="en-US" w:eastAsia="en-US" w:bidi="ar-SA"/>
        </w:rPr>
        <w:t xml:space="preserve"> at 31, </w:t>
      </w:r>
      <w:hyperlink r:id="rId916" w:history="1">
        <w:r>
          <w:rPr>
            <w:rFonts w:ascii="arial" w:eastAsia="arial" w:hAnsi="arial" w:cs="arial"/>
            <w:i/>
            <w:color w:val="0077CC"/>
            <w:sz w:val="20"/>
            <w:u w:val="single"/>
            <w:shd w:val="clear" w:color="auto" w:fill="FFFFFF"/>
            <w:lang w:val="en-US" w:eastAsia="en-US" w:bidi="ar-SA"/>
          </w:rPr>
          <w:t>139 D.L.R. (3d) 104</w:t>
        </w:r>
      </w:hyperlink>
      <w:r>
        <w:rPr>
          <w:rFonts w:ascii="arial" w:eastAsia="arial" w:hAnsi="arial" w:cs="arial"/>
          <w:color w:val="000000"/>
          <w:sz w:val="20"/>
          <w:lang w:val="en-US" w:eastAsia="en-US" w:bidi="ar-SA"/>
        </w:rPr>
        <w:t xml:space="preserve"> (leave to appeal to the Supreme Court of Canada refused December 6, 1982, </w:t>
      </w:r>
      <w:hyperlink r:id="rId917" w:history="1">
        <w:r>
          <w:rPr>
            <w:rFonts w:ascii="arial" w:eastAsia="arial" w:hAnsi="arial" w:cs="arial"/>
            <w:i/>
            <w:color w:val="0077CC"/>
            <w:sz w:val="20"/>
            <w:u w:val="single"/>
            <w:shd w:val="clear" w:color="auto" w:fill="FFFFFF"/>
            <w:lang w:val="en-US" w:eastAsia="en-US" w:bidi="ar-SA"/>
          </w:rPr>
          <w:t>[1982] S.C.C.A. No. 51</w:t>
        </w:r>
      </w:hyperlink>
      <w:r>
        <w:rPr>
          <w:rFonts w:ascii="arial" w:eastAsia="arial" w:hAnsi="arial" w:cs="arial"/>
          <w:color w:val="000000"/>
          <w:sz w:val="20"/>
          <w:lang w:val="en-US" w:eastAsia="en-US" w:bidi="ar-SA"/>
        </w:rPr>
        <w:t xml:space="preserve">), this provision only allowed recovery for pecuniary losses. Dependants of the deceased tort victim had no right to recover damages for the non-economic losses of guidance, care and companionship, nor could they claim damages as </w:t>
      </w:r>
      <w:r>
        <w:rPr>
          <w:rFonts w:ascii="arial" w:eastAsia="arial" w:hAnsi="arial" w:cs="arial"/>
          <w:i/>
          <w:color w:val="000000"/>
          <w:sz w:val="20"/>
          <w:lang w:val="en-US" w:eastAsia="en-US" w:bidi="ar-SA"/>
        </w:rPr>
        <w:t>solatium</w:t>
      </w:r>
      <w:r>
        <w:rPr>
          <w:rFonts w:ascii="arial" w:eastAsia="arial" w:hAnsi="arial" w:cs="arial"/>
          <w:color w:val="000000"/>
          <w:sz w:val="20"/>
          <w:lang w:val="en-US" w:eastAsia="en-US" w:bidi="ar-SA"/>
        </w:rPr>
        <w:t xml:space="preserve"> for grief or mental anguish. Over time, the rights of the dependants were perceived to be too limited. Fatal accidents legislation was replaced in 1978 by the </w:t>
      </w:r>
      <w:r>
        <w:rPr>
          <w:rFonts w:ascii="arial" w:eastAsia="arial" w:hAnsi="arial" w:cs="arial"/>
          <w:i/>
          <w:color w:val="000000"/>
          <w:sz w:val="20"/>
          <w:lang w:val="en-US" w:eastAsia="en-US" w:bidi="ar-SA"/>
        </w:rPr>
        <w:t>Family Law Reform Act, 1978</w:t>
      </w:r>
      <w:r>
        <w:rPr>
          <w:rFonts w:ascii="arial" w:eastAsia="arial" w:hAnsi="arial" w:cs="arial"/>
          <w:color w:val="000000"/>
          <w:sz w:val="20"/>
          <w:lang w:val="en-US" w:eastAsia="en-US" w:bidi="ar-SA"/>
        </w:rPr>
        <w:t xml:space="preserve">, S.O. 1978, c. 2 </w:t>
      </w:r>
      <w:r>
        <w:rPr>
          <w:rFonts w:ascii="arial" w:eastAsia="arial" w:hAnsi="arial" w:cs="arial"/>
          <w:i/>
          <w:color w:val="000000"/>
          <w:sz w:val="20"/>
          <w:lang w:val="en-US" w:eastAsia="en-US" w:bidi="ar-SA"/>
        </w:rPr>
        <w:t>("FLRA")</w:t>
      </w:r>
      <w:r>
        <w:rPr>
          <w:rFonts w:ascii="arial" w:eastAsia="arial" w:hAnsi="arial" w:cs="arial"/>
          <w:color w:val="000000"/>
          <w:sz w:val="20"/>
          <w:lang w:val="en-US" w:eastAsia="en-US" w:bidi="ar-SA"/>
        </w:rPr>
        <w:t xml:space="preserve">, s. 60. The </w:t>
      </w:r>
      <w:r>
        <w:rPr>
          <w:rFonts w:ascii="arial" w:eastAsia="arial" w:hAnsi="arial" w:cs="arial"/>
          <w:i/>
          <w:color w:val="000000"/>
          <w:sz w:val="20"/>
          <w:lang w:val="en-US" w:eastAsia="en-US" w:bidi="ar-SA"/>
        </w:rPr>
        <w:t>FLRA</w:t>
      </w:r>
      <w:r>
        <w:rPr>
          <w:rFonts w:ascii="arial" w:eastAsia="arial" w:hAnsi="arial" w:cs="arial"/>
          <w:color w:val="000000"/>
          <w:sz w:val="20"/>
          <w:lang w:val="en-US" w:eastAsia="en-US" w:bidi="ar-SA"/>
        </w:rPr>
        <w:t xml:space="preserve"> provision was in turn replaced, in virtually identical terms, by the presently applicable </w:t>
      </w:r>
      <w:r>
        <w:rPr>
          <w:rFonts w:ascii="arial" w:eastAsia="arial" w:hAnsi="arial" w:cs="arial"/>
          <w:i/>
          <w:color w:val="000000"/>
          <w:sz w:val="20"/>
          <w:lang w:val="en-US" w:eastAsia="en-US" w:bidi="ar-SA"/>
        </w:rPr>
        <w:t>Family Law Act, supra ("FLA")</w:t>
      </w:r>
      <w:r>
        <w:rPr>
          <w:rFonts w:ascii="arial" w:eastAsia="arial" w:hAnsi="arial" w:cs="arial"/>
          <w:color w:val="000000"/>
          <w:sz w:val="20"/>
          <w:lang w:val="en-US" w:eastAsia="en-US" w:bidi="ar-SA"/>
        </w:rPr>
        <w:t>, s. 61.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Lord</w:t>
      </w:r>
      <w:r>
        <w:rPr>
          <w:rFonts w:ascii="arial" w:eastAsia="arial" w:hAnsi="arial" w:cs="arial"/>
          <w:color w:val="000000"/>
          <w:sz w:val="20"/>
          <w:lang w:val="en-US" w:eastAsia="en-US" w:bidi="ar-SA"/>
        </w:rPr>
        <w:t xml:space="preserve">, the court rejected the claimant's argument that the inclusion of recovery for loss of "guidance, care and companionship" under the </w:t>
      </w:r>
      <w:r>
        <w:rPr>
          <w:rFonts w:ascii="arial" w:eastAsia="arial" w:hAnsi="arial" w:cs="arial"/>
          <w:b/>
          <w:i/>
          <w:color w:val="000000"/>
          <w:sz w:val="20"/>
          <w:lang w:val="en-US" w:eastAsia="en-US" w:bidi="ar-SA"/>
        </w:rPr>
        <w:t>Family Law Act</w:t>
      </w:r>
      <w:r>
        <w:rPr>
          <w:rFonts w:ascii="arial" w:eastAsia="arial" w:hAnsi="arial" w:cs="arial"/>
          <w:color w:val="000000"/>
          <w:sz w:val="20"/>
          <w:lang w:val="en-US" w:eastAsia="en-US" w:bidi="ar-SA"/>
        </w:rPr>
        <w:t xml:space="preserve"> permits the recovery of non-pecuniary losses such as aggravated damages. At paras. 8-12, Sharpe J.A.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[8] Aggravated damages are non-pecuniary in nature, yet they aim at compensation. Aggravated damages take into account intangible elements of the injury suffered, such as distress and humiliation: Waddams,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xml:space="preserve"> at 11-1 to 11-2. In </w:t>
      </w:r>
      <w:r>
        <w:rPr>
          <w:rFonts w:ascii="arial" w:eastAsia="arial" w:hAnsi="arial" w:cs="arial"/>
          <w:i/>
          <w:color w:val="000000"/>
          <w:sz w:val="20"/>
          <w:lang w:val="en-US" w:eastAsia="en-US" w:bidi="ar-SA"/>
        </w:rPr>
        <w:t>Hill v. Church of Scientology of Toronto and Manning, supra</w:t>
      </w:r>
      <w:r>
        <w:rPr>
          <w:rFonts w:ascii="arial" w:eastAsia="arial" w:hAnsi="arial" w:cs="arial"/>
          <w:color w:val="000000"/>
          <w:sz w:val="20"/>
          <w:lang w:val="en-US" w:eastAsia="en-US" w:bidi="ar-SA"/>
        </w:rPr>
        <w:t xml:space="preserve"> at 1205, Cory J. quoted with approval the statement of Robins J.A. in </w:t>
      </w:r>
      <w:r>
        <w:rPr>
          <w:rFonts w:ascii="arial" w:eastAsia="arial" w:hAnsi="arial" w:cs="arial"/>
          <w:i/>
          <w:color w:val="000000"/>
          <w:sz w:val="20"/>
          <w:lang w:val="en-US" w:eastAsia="en-US" w:bidi="ar-SA"/>
        </w:rPr>
        <w:t>Walker v. CFTO Ltd.</w:t>
      </w:r>
      <w:r>
        <w:rPr>
          <w:rFonts w:ascii="arial" w:eastAsia="arial" w:hAnsi="arial" w:cs="arial"/>
          <w:color w:val="000000"/>
          <w:sz w:val="20"/>
          <w:lang w:val="en-US" w:eastAsia="en-US" w:bidi="ar-SA"/>
        </w:rPr>
        <w:t xml:space="preserve"> </w:t>
      </w:r>
      <w:hyperlink r:id="rId918" w:history="1">
        <w:r>
          <w:rPr>
            <w:rFonts w:ascii="arial" w:eastAsia="arial" w:hAnsi="arial" w:cs="arial"/>
            <w:i/>
            <w:color w:val="0077CC"/>
            <w:sz w:val="20"/>
            <w:u w:val="single"/>
            <w:shd w:val="clear" w:color="auto" w:fill="FFFFFF"/>
            <w:lang w:val="en-US" w:eastAsia="en-US" w:bidi="ar-SA"/>
          </w:rPr>
          <w:t>(1987), 59 O.R. (2d) 104</w:t>
        </w:r>
      </w:hyperlink>
      <w:r>
        <w:rPr>
          <w:rFonts w:ascii="arial" w:eastAsia="arial" w:hAnsi="arial" w:cs="arial"/>
          <w:color w:val="000000"/>
          <w:sz w:val="20"/>
          <w:lang w:val="en-US" w:eastAsia="en-US" w:bidi="ar-SA"/>
        </w:rPr>
        <w:t xml:space="preserve"> at 111: "Where the defendant is guilty of insulting, high-handed, spiteful, malicious or oppressive conduct which increases the mental distress - the humiliation, indignation, anxiety, grief, fear and the like - suffered by the plaintiff ... the plaintiff may be entitled to what has come to be known as aggravated damages'." Aggravated damages may be awarded in appropriate cases to augment damages assessed under the generally applicable rules for the recovery of damages: </w:t>
      </w:r>
      <w:r>
        <w:rPr>
          <w:rFonts w:ascii="arial" w:eastAsia="arial" w:hAnsi="arial" w:cs="arial"/>
          <w:i/>
          <w:color w:val="000000"/>
          <w:sz w:val="20"/>
          <w:lang w:val="en-US" w:eastAsia="en-US" w:bidi="ar-SA"/>
        </w:rPr>
        <w:t>Vorvis, supra</w:t>
      </w:r>
      <w:r>
        <w:rPr>
          <w:rFonts w:ascii="arial" w:eastAsia="arial" w:hAnsi="arial" w:cs="arial"/>
          <w:color w:val="000000"/>
          <w:sz w:val="20"/>
          <w:lang w:val="en-US" w:eastAsia="en-US" w:bidi="ar-SA"/>
        </w:rPr>
        <w:t>, at 1099.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[9] In his forceful argument, Mr. Strosberg submitted that the language of s. 61(2)(e) widens the ambit of recovery beyond "pecuniary loss". He contended that by opening the door to non-pecuniary damages for loss of guidance, care and companionship in s. 61(2)(e), the legislature also opened the door to recovery of aggravated damages, in that they too are non-pecuniary but compensatory in nature.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[10] The motions court judge rejected that submission, in part, on the basis that the dependants could not be considered victims of the tort. He stated: "... clearly, it is not the family which suffers any humiliation related to the defendant's conduct but the victim." It seems to me that as a matter of fact, the dependants of the victim of a deliberate tort may well suffer feelings of "humiliation, indignation, anxiety, grief, fear and the like" as a result of the defendant's wrong. The issue, however, is not whether the dependants suffer feelings of this kind, but rather whether such an injury is compensable under the statute.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[11] In my view, in the light of </w:t>
      </w:r>
      <w:r>
        <w:rPr>
          <w:rFonts w:ascii="arial" w:eastAsia="arial" w:hAnsi="arial" w:cs="arial"/>
          <w:i/>
          <w:color w:val="000000"/>
          <w:sz w:val="20"/>
          <w:lang w:val="en-US" w:eastAsia="en-US" w:bidi="ar-SA"/>
        </w:rPr>
        <w:t>Mason v. Peters, supra</w:t>
      </w:r>
      <w:r>
        <w:rPr>
          <w:rFonts w:ascii="arial" w:eastAsia="arial" w:hAnsi="arial" w:cs="arial"/>
          <w:color w:val="000000"/>
          <w:sz w:val="20"/>
          <w:lang w:val="en-US" w:eastAsia="en-US" w:bidi="ar-SA"/>
        </w:rPr>
        <w:t xml:space="preserve">, the inevitable conclusion is that such losses are not recoverable. In that case, after a careful review of the legislation, its history, and the authorities interpreting it and its predecessors, Robins J.A. concluded that while the Act (there, the </w:t>
      </w:r>
      <w:r>
        <w:rPr>
          <w:rFonts w:ascii="arial" w:eastAsia="arial" w:hAnsi="arial" w:cs="arial"/>
          <w:i/>
          <w:color w:val="000000"/>
          <w:sz w:val="20"/>
          <w:lang w:val="en-US" w:eastAsia="en-US" w:bidi="ar-SA"/>
        </w:rPr>
        <w:t>FLRA</w:t>
      </w:r>
      <w:r>
        <w:rPr>
          <w:rFonts w:ascii="arial" w:eastAsia="arial" w:hAnsi="arial" w:cs="arial"/>
          <w:color w:val="000000"/>
          <w:sz w:val="20"/>
          <w:lang w:val="en-US" w:eastAsia="en-US" w:bidi="ar-SA"/>
        </w:rPr>
        <w:t xml:space="preserve">, s. 60(2), now,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s. 61(2)), allows for the recovery of the non-pecuniary loss of care, guidance and companionship, the trial judge had properly excluded (at p. 39) "grief, sorrow and mental anguish suffered by reason of the death as compensable items of damage. Non-pecuniary loss of this kind, unlike guidance, care and companionship, are not provided for in the Act and under its terms remain non-recoverable." See also </w:t>
      </w:r>
      <w:r>
        <w:rPr>
          <w:rFonts w:ascii="arial" w:eastAsia="arial" w:hAnsi="arial" w:cs="arial"/>
          <w:i/>
          <w:color w:val="000000"/>
          <w:sz w:val="20"/>
          <w:lang w:val="en-US" w:eastAsia="en-US" w:bidi="ar-SA"/>
        </w:rPr>
        <w:t>Reidy v. McLeod</w:t>
      </w:r>
      <w:r>
        <w:rPr>
          <w:rFonts w:ascii="arial" w:eastAsia="arial" w:hAnsi="arial" w:cs="arial"/>
          <w:color w:val="000000"/>
          <w:sz w:val="20"/>
          <w:lang w:val="en-US" w:eastAsia="en-US" w:bidi="ar-SA"/>
        </w:rPr>
        <w:t xml:space="preserve"> </w:t>
      </w:r>
      <w:hyperlink r:id="rId919" w:history="1">
        <w:r>
          <w:rPr>
            <w:rFonts w:ascii="arial" w:eastAsia="arial" w:hAnsi="arial" w:cs="arial"/>
            <w:i/>
            <w:color w:val="0077CC"/>
            <w:sz w:val="20"/>
            <w:u w:val="single"/>
            <w:shd w:val="clear" w:color="auto" w:fill="FFFFFF"/>
            <w:lang w:val="en-US" w:eastAsia="en-US" w:bidi="ar-SA"/>
          </w:rPr>
          <w:t>(1986), 54 O.R. (2d) 661</w:t>
        </w:r>
      </w:hyperlink>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at 662, </w:t>
      </w:r>
      <w:hyperlink r:id="rId919" w:history="1">
        <w:r>
          <w:rPr>
            <w:rFonts w:ascii="arial" w:eastAsia="arial" w:hAnsi="arial" w:cs="arial"/>
            <w:i/>
            <w:color w:val="0077CC"/>
            <w:sz w:val="20"/>
            <w:u w:val="single"/>
            <w:shd w:val="clear" w:color="auto" w:fill="FFFFFF"/>
            <w:lang w:val="en-US" w:eastAsia="en-US" w:bidi="ar-SA"/>
          </w:rPr>
          <w:t>27 D.L.R. (4th) 317</w:t>
        </w:r>
      </w:hyperlink>
      <w:r>
        <w:rPr>
          <w:rFonts w:ascii="arial" w:eastAsia="arial" w:hAnsi="arial" w:cs="arial"/>
          <w:i/>
          <w:color w:val="000000"/>
          <w:sz w:val="20"/>
          <w:lang w:val="en-US" w:eastAsia="en-US" w:bidi="ar-SA"/>
        </w:rPr>
        <w:t>n</w:t>
      </w:r>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Mason v. Peters, supra</w:t>
      </w:r>
      <w:r>
        <w:rPr>
          <w:rFonts w:ascii="arial" w:eastAsia="arial" w:hAnsi="arial" w:cs="arial"/>
          <w:color w:val="000000"/>
          <w:sz w:val="20"/>
          <w:lang w:val="en-US" w:eastAsia="en-US" w:bidi="ar-SA"/>
        </w:rPr>
        <w:t>, did not deal with the issue of aggravated damages. However, it is my view that by holding that the statute does not allow recovery for grief, sorrow and mental anguish, the decision effectively precludes recovery of aggravated damages as they aim to compensate a similar, if not identical, loss.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[12] Accordingly, while it is the case that the </w:t>
      </w:r>
      <w:r>
        <w:rPr>
          <w:rFonts w:ascii="arial" w:eastAsia="arial" w:hAnsi="arial" w:cs="arial"/>
          <w:i/>
          <w:color w:val="000000"/>
          <w:sz w:val="20"/>
          <w:lang w:val="en-US" w:eastAsia="en-US" w:bidi="ar-SA"/>
        </w:rPr>
        <w:t>FLA</w:t>
      </w:r>
      <w:r>
        <w:rPr>
          <w:rFonts w:ascii="arial" w:eastAsia="arial" w:hAnsi="arial" w:cs="arial"/>
          <w:color w:val="000000"/>
          <w:sz w:val="20"/>
          <w:lang w:val="en-US" w:eastAsia="en-US" w:bidi="ar-SA"/>
        </w:rPr>
        <w:t xml:space="preserve">, s. 61(2) does provide that the damages recoverable "may include" certain specified non-pecuniary losses, it does not follow that the door has been opened generally for recovery for all other forms of non-pecuniary loss. As </w:t>
      </w:r>
      <w:r>
        <w:rPr>
          <w:rFonts w:ascii="arial" w:eastAsia="arial" w:hAnsi="arial" w:cs="arial"/>
          <w:i/>
          <w:color w:val="000000"/>
          <w:sz w:val="20"/>
          <w:lang w:val="en-US" w:eastAsia="en-US" w:bidi="ar-SA"/>
        </w:rPr>
        <w:t>Mason v. Peters, supra</w:t>
      </w:r>
      <w:r>
        <w:rPr>
          <w:rFonts w:ascii="arial" w:eastAsia="arial" w:hAnsi="arial" w:cs="arial"/>
          <w:color w:val="000000"/>
          <w:sz w:val="20"/>
          <w:lang w:val="en-US" w:eastAsia="en-US" w:bidi="ar-SA"/>
        </w:rPr>
        <w:t xml:space="preserve">, makes clear, the law has long distinguished between loss of guidance, care and companionship on the one hand and grief, sorrow and mental anguish on the other. The nature of the injury addressed by aggravated damages is closely akin to, if not identical with, compensation for grief, sorrow and mental anguish. As the latter is excluded from the statutory right created by the FLA, s. 61(2), there is no basis in law for recovery of aggravated damages: see </w:t>
      </w:r>
      <w:r>
        <w:rPr>
          <w:rFonts w:ascii="arial" w:eastAsia="arial" w:hAnsi="arial" w:cs="arial"/>
          <w:i/>
          <w:color w:val="000000"/>
          <w:sz w:val="20"/>
          <w:lang w:val="en-US" w:eastAsia="en-US" w:bidi="ar-SA"/>
        </w:rPr>
        <w:t>Worobel Estate v. Worobel</w:t>
      </w:r>
      <w:r>
        <w:rPr>
          <w:rFonts w:ascii="arial" w:eastAsia="arial" w:hAnsi="arial" w:cs="arial"/>
          <w:color w:val="000000"/>
          <w:sz w:val="20"/>
          <w:lang w:val="en-US" w:eastAsia="en-US" w:bidi="ar-SA"/>
        </w:rPr>
        <w:t xml:space="preserve"> </w:t>
      </w:r>
      <w:hyperlink r:id="rId920" w:history="1">
        <w:r>
          <w:rPr>
            <w:rFonts w:ascii="arial" w:eastAsia="arial" w:hAnsi="arial" w:cs="arial"/>
            <w:i/>
            <w:color w:val="0077CC"/>
            <w:sz w:val="20"/>
            <w:u w:val="single"/>
            <w:shd w:val="clear" w:color="auto" w:fill="FFFFFF"/>
            <w:lang w:val="en-US" w:eastAsia="en-US" w:bidi="ar-SA"/>
          </w:rPr>
          <w:t>(1988), 67 O.R. (2d) 151</w:t>
        </w:r>
      </w:hyperlink>
      <w:r>
        <w:rPr>
          <w:rFonts w:ascii="arial" w:eastAsia="arial" w:hAnsi="arial" w:cs="arial"/>
          <w:color w:val="000000"/>
          <w:sz w:val="20"/>
          <w:lang w:val="en-US" w:eastAsia="en-US" w:bidi="ar-SA"/>
        </w:rPr>
        <w:t xml:space="preserve"> (H.C.J.) at 157.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limit on recovery of damages to pecuniary loss has been applied in British Columbia in wrongful death actions. In </w:t>
      </w:r>
      <w:r>
        <w:rPr>
          <w:rFonts w:ascii="arial" w:eastAsia="arial" w:hAnsi="arial" w:cs="arial"/>
          <w:b/>
          <w:i/>
          <w:color w:val="000000"/>
          <w:sz w:val="20"/>
          <w:lang w:val="en-US" w:eastAsia="en-US" w:bidi="ar-SA"/>
        </w:rPr>
        <w:t>DeBrincat v. Mitchell</w:t>
      </w:r>
      <w:r>
        <w:rPr>
          <w:rFonts w:ascii="arial" w:eastAsia="arial" w:hAnsi="arial" w:cs="arial"/>
          <w:color w:val="000000"/>
          <w:sz w:val="20"/>
          <w:lang w:val="en-US" w:eastAsia="en-US" w:bidi="ar-SA"/>
        </w:rPr>
        <w:t xml:space="preserve"> (1958), 26 W.W.R. 634 (BCSC), the British Columbia Supreme Court in interpreting the </w:t>
      </w:r>
      <w:r>
        <w:rPr>
          <w:rFonts w:ascii="arial" w:eastAsia="arial" w:hAnsi="arial" w:cs="arial"/>
          <w:b/>
          <w:i/>
          <w:color w:val="000000"/>
          <w:sz w:val="20"/>
          <w:lang w:val="en-US" w:eastAsia="en-US" w:bidi="ar-SA"/>
        </w:rPr>
        <w:t>Families' Compensation Act</w:t>
      </w:r>
      <w:r>
        <w:rPr>
          <w:rFonts w:ascii="arial" w:eastAsia="arial" w:hAnsi="arial" w:cs="arial"/>
          <w:color w:val="000000"/>
          <w:sz w:val="20"/>
          <w:lang w:val="en-US" w:eastAsia="en-US" w:bidi="ar-SA"/>
        </w:rPr>
        <w:t>, R.S.B.C. 1948, c. 116, explained the meaning of "pecuniary loss" at 635-36: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On the matter of quantum of damages I will consider first the claim advanced under the </w:t>
      </w:r>
      <w:r>
        <w:rPr>
          <w:rFonts w:ascii="arial" w:eastAsia="arial" w:hAnsi="arial" w:cs="arial"/>
          <w:i/>
          <w:color w:val="000000"/>
          <w:sz w:val="20"/>
          <w:lang w:val="en-US" w:eastAsia="en-US" w:bidi="ar-SA"/>
        </w:rPr>
        <w:t>Families' Compensation Act</w:t>
      </w:r>
      <w:r>
        <w:rPr>
          <w:rFonts w:ascii="arial" w:eastAsia="arial" w:hAnsi="arial" w:cs="arial"/>
          <w:color w:val="000000"/>
          <w:sz w:val="20"/>
          <w:lang w:val="en-US" w:eastAsia="en-US" w:bidi="ar-SA"/>
        </w:rPr>
        <w:t xml:space="preserve">. The guiding principle as contained in the judgment of Chief Justice Ritchie in the Supreme Court decision of </w:t>
      </w:r>
      <w:r>
        <w:rPr>
          <w:rFonts w:ascii="arial" w:eastAsia="arial" w:hAnsi="arial" w:cs="arial"/>
          <w:i/>
          <w:color w:val="000000"/>
          <w:sz w:val="20"/>
          <w:lang w:val="en-US" w:eastAsia="en-US" w:bidi="ar-SA"/>
        </w:rPr>
        <w:t>Lett v. St. Lawrence and Ottawa Elec. Ry.</w:t>
      </w:r>
      <w:r>
        <w:rPr>
          <w:rFonts w:ascii="arial" w:eastAsia="arial" w:hAnsi="arial" w:cs="arial"/>
          <w:color w:val="000000"/>
          <w:sz w:val="20"/>
          <w:lang w:val="en-US" w:eastAsia="en-US" w:bidi="ar-SA"/>
        </w:rPr>
        <w:t xml:space="preserve"> </w:t>
      </w:r>
      <w:hyperlink r:id="rId913" w:history="1">
        <w:r>
          <w:rPr>
            <w:rFonts w:ascii="arial" w:eastAsia="arial" w:hAnsi="arial" w:cs="arial"/>
            <w:i/>
            <w:color w:val="0077CC"/>
            <w:sz w:val="20"/>
            <w:u w:val="single"/>
            <w:shd w:val="clear" w:color="auto" w:fill="FFFFFF"/>
            <w:lang w:val="en-US" w:eastAsia="en-US" w:bidi="ar-SA"/>
          </w:rPr>
          <w:t>(1885) 11 S.C.R. 422</w:t>
        </w:r>
      </w:hyperlink>
      <w:r>
        <w:rPr>
          <w:rFonts w:ascii="arial" w:eastAsia="arial" w:hAnsi="arial" w:cs="arial"/>
          <w:color w:val="000000"/>
          <w:sz w:val="20"/>
          <w:lang w:val="en-US" w:eastAsia="en-US" w:bidi="ar-SA"/>
        </w:rPr>
        <w:t>, keeps re-appearing in extensive quotation in many of the cases that have been decided in the succeeding 70 years. Pecuniary loss is the loss of some benefit or advantage which is capable of being estimated in terms of money, as distinct from mere sentimental loss. Here we must value the loss of the services of a young wife to a young husband, their respective ages being 30 and 32 at the time of the accident; and the loss of a mother of two small children, aged three and five years.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It must never be forgotten that in families' compensation cases, it is the loss of services rather than loss of the deceased parent for which compensation is payable. Any other claim arising out of emotional disturbance is really a claim for the effects of grief, a claim for </w:t>
      </w:r>
      <w:r>
        <w:rPr>
          <w:rFonts w:ascii="arial" w:eastAsia="arial" w:hAnsi="arial" w:cs="arial"/>
          <w:i/>
          <w:color w:val="000000"/>
          <w:sz w:val="20"/>
          <w:lang w:val="en-US" w:eastAsia="en-US" w:bidi="ar-SA"/>
        </w:rPr>
        <w:t>solatium</w:t>
      </w:r>
      <w:r>
        <w:rPr>
          <w:rFonts w:ascii="arial" w:eastAsia="arial" w:hAnsi="arial" w:cs="arial"/>
          <w:color w:val="000000"/>
          <w:sz w:val="20"/>
          <w:lang w:val="en-US" w:eastAsia="en-US" w:bidi="ar-SA"/>
        </w:rPr>
        <w:t xml:space="preserve"> which is not recoverable under this head of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Under s. 6(2) of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the dependants' recovery with regard to the wrongful deaths is for "loss resulting from the death" and under Article 3 of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the liability of the carrier is for "damage suffered as a result of the death ... of a passenger".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then affords the claimant an additional window of recovery by permitting the common extension of the scope of damages in fatal accident cases introduced by </w:t>
      </w:r>
      <w:r>
        <w:rPr>
          <w:rFonts w:ascii="arial" w:eastAsia="arial" w:hAnsi="arial" w:cs="arial"/>
          <w:b/>
          <w:i/>
          <w:color w:val="000000"/>
          <w:sz w:val="20"/>
          <w:lang w:val="en-US" w:eastAsia="en-US" w:bidi="ar-SA"/>
        </w:rPr>
        <w:t>St. Lawrence &amp; Ottawa Railway</w:t>
      </w:r>
      <w:r>
        <w:rPr>
          <w:rFonts w:ascii="arial" w:eastAsia="arial" w:hAnsi="arial" w:cs="arial"/>
          <w:color w:val="000000"/>
          <w:sz w:val="20"/>
          <w:lang w:val="en-US" w:eastAsia="en-US" w:bidi="ar-SA"/>
        </w:rPr>
        <w:t>, namely damages to compensate for "loss of guidance, care and companionship" in s. 6(3).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my view,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does not go farther to provide or permit the recovery of non-pecuniary damages in the nature of punitive, exemplary 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2477"/>
        <w:gridCol w:w="238"/>
        <w:gridCol w:w="6709"/>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2458"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B.</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6656"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18"/>
                <w:lang w:val="en-US" w:eastAsia="en-US" w:bidi="ar-SA"/>
              </w:rPr>
              <w:t>Recovery under Maritime Common Law</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u w:val="single"/>
          <w:lang w:val="en-US" w:eastAsia="en-US" w:bidi="ar-SA"/>
        </w:rPr>
        <w:t>1. Does Canadian maritime law permit punitive and/or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plaintiffs submit that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xml:space="preserve"> leave a gap in not providing for aggravated and punitive damages. They submit that this gap should be filled by relying on maritime common law, which they suggest permits the recovery of such damages. Alternatively, they submit that this court should engage in judicial reform of maritime law to extend the scope of damages to permit recovery of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plaintiffs rely principally on the decision in </w:t>
      </w:r>
      <w:r>
        <w:rPr>
          <w:rFonts w:ascii="arial" w:eastAsia="arial" w:hAnsi="arial" w:cs="arial"/>
          <w:b/>
          <w:i/>
          <w:color w:val="000000"/>
          <w:sz w:val="20"/>
          <w:lang w:val="en-US" w:eastAsia="en-US" w:bidi="ar-SA"/>
        </w:rPr>
        <w:t>Ordon Estate v. Grail</w:t>
      </w:r>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[1998] 3 S.C.R. 437</w:t>
        </w:r>
      </w:hyperlink>
      <w:r>
        <w:rPr>
          <w:rFonts w:ascii="arial" w:eastAsia="arial" w:hAnsi="arial" w:cs="arial"/>
          <w:color w:val="000000"/>
          <w:sz w:val="20"/>
          <w:lang w:val="en-US" w:eastAsia="en-US" w:bidi="ar-SA"/>
        </w:rPr>
        <w:t xml:space="preserve">, </w:t>
      </w:r>
      <w:hyperlink r:id="rId921" w:history="1">
        <w:r>
          <w:rPr>
            <w:rFonts w:ascii="arial" w:eastAsia="arial" w:hAnsi="arial" w:cs="arial"/>
            <w:i/>
            <w:color w:val="0077CC"/>
            <w:sz w:val="20"/>
            <w:u w:val="single"/>
            <w:shd w:val="clear" w:color="auto" w:fill="FFFFFF"/>
            <w:lang w:val="en-US" w:eastAsia="en-US" w:bidi="ar-SA"/>
          </w:rPr>
          <w:t>166 D.L.R. (4th) 193</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xml:space="preserve">], in support of their submissions.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xml:space="preserve"> was concerned with a number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in relation to boating accidents that occurred on navigable waters within Ontario. In the actions claims were advanced by dependants of persons who had died in the accidents under the Ontario </w:t>
      </w:r>
      <w:r>
        <w:rPr>
          <w:rFonts w:ascii="arial" w:eastAsia="arial" w:hAnsi="arial" w:cs="arial"/>
          <w:b/>
          <w:i/>
          <w:color w:val="000000"/>
          <w:sz w:val="20"/>
          <w:lang w:val="en-US" w:eastAsia="en-US" w:bidi="ar-SA"/>
        </w:rPr>
        <w:t>Family Law Act</w:t>
      </w:r>
      <w:r>
        <w:rPr>
          <w:rFonts w:ascii="arial" w:eastAsia="arial" w:hAnsi="arial" w:cs="arial"/>
          <w:color w:val="000000"/>
          <w:sz w:val="20"/>
          <w:lang w:val="en-US" w:eastAsia="en-US" w:bidi="ar-SA"/>
        </w:rPr>
        <w:t xml:space="preserve"> seeking, amongst other things, compensation for loss of guidance, care and companionship under that Act. The actions also involved claims under the Ontario </w:t>
      </w:r>
      <w:r>
        <w:rPr>
          <w:rFonts w:ascii="arial" w:eastAsia="arial" w:hAnsi="arial" w:cs="arial"/>
          <w:b/>
          <w:i/>
          <w:color w:val="000000"/>
          <w:sz w:val="20"/>
          <w:lang w:val="en-US" w:eastAsia="en-US" w:bidi="ar-SA"/>
        </w:rPr>
        <w:t>Family Law Act</w:t>
      </w:r>
      <w:r>
        <w:rPr>
          <w:rFonts w:ascii="arial" w:eastAsia="arial" w:hAnsi="arial" w:cs="arial"/>
          <w:color w:val="000000"/>
          <w:sz w:val="20"/>
          <w:lang w:val="en-US" w:eastAsia="en-US" w:bidi="ar-SA"/>
        </w:rPr>
        <w:t xml:space="preserve"> by dependants of persons who were injured in the incidents as well as claims brought by siblings of persons who were killed or injured. The defendants took the position that the Ontario </w:t>
      </w:r>
      <w:r>
        <w:rPr>
          <w:rFonts w:ascii="arial" w:eastAsia="arial" w:hAnsi="arial" w:cs="arial"/>
          <w:b/>
          <w:i/>
          <w:color w:val="000000"/>
          <w:sz w:val="20"/>
          <w:lang w:val="en-US" w:eastAsia="en-US" w:bidi="ar-SA"/>
        </w:rPr>
        <w:t>Family Law Act</w:t>
      </w:r>
      <w:r>
        <w:rPr>
          <w:rFonts w:ascii="arial" w:eastAsia="arial" w:hAnsi="arial" w:cs="arial"/>
          <w:color w:val="000000"/>
          <w:sz w:val="20"/>
          <w:lang w:val="en-US" w:eastAsia="en-US" w:bidi="ar-SA"/>
        </w:rPr>
        <w:t xml:space="preserve"> did not form part of Canadian maritime law and that all of the plaintiff's claims should have been brought pursuant to the </w:t>
      </w:r>
      <w:r>
        <w:rPr>
          <w:rFonts w:ascii="arial" w:eastAsia="arial" w:hAnsi="arial" w:cs="arial"/>
          <w:b/>
          <w:i/>
          <w:color w:val="000000"/>
          <w:sz w:val="20"/>
          <w:lang w:val="en-US" w:eastAsia="en-US" w:bidi="ar-SA"/>
        </w:rPr>
        <w:t>Canada Shipping Act</w:t>
      </w:r>
      <w:r>
        <w:rPr>
          <w:rFonts w:ascii="arial" w:eastAsia="arial" w:hAnsi="arial" w:cs="arial"/>
          <w:color w:val="000000"/>
          <w:sz w:val="20"/>
          <w:lang w:val="en-US" w:eastAsia="en-US" w:bidi="ar-SA"/>
        </w:rPr>
        <w:t>, R.S.C., 1985, c. S-9, then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One of the issues on appeal was the constitutional applicability of Part V of the Ontario </w:t>
      </w:r>
      <w:r>
        <w:rPr>
          <w:rFonts w:ascii="arial" w:eastAsia="arial" w:hAnsi="arial" w:cs="arial"/>
          <w:b/>
          <w:i/>
          <w:color w:val="000000"/>
          <w:sz w:val="20"/>
          <w:lang w:val="en-US" w:eastAsia="en-US" w:bidi="ar-SA"/>
        </w:rPr>
        <w:t>Family Law Act</w:t>
      </w:r>
      <w:r>
        <w:rPr>
          <w:rFonts w:ascii="arial" w:eastAsia="arial" w:hAnsi="arial" w:cs="arial"/>
          <w:color w:val="000000"/>
          <w:sz w:val="20"/>
          <w:lang w:val="en-US" w:eastAsia="en-US" w:bidi="ar-SA"/>
        </w:rPr>
        <w:t xml:space="preserve"> to the proceeding in relation to damages for personal injury. The reason why the plaintiffs sought to rely on the provincial legislation was set out by the Court at para. 97: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97 The plaintiffs seek to rely upon Part V of the </w:t>
      </w:r>
      <w:r>
        <w:rPr>
          <w:rFonts w:ascii="arial" w:eastAsia="arial" w:hAnsi="arial" w:cs="arial"/>
          <w:i/>
          <w:color w:val="000000"/>
          <w:sz w:val="20"/>
          <w:lang w:val="en-US" w:eastAsia="en-US" w:bidi="ar-SA"/>
        </w:rPr>
        <w:t>Family Law Act</w:t>
      </w:r>
      <w:r>
        <w:rPr>
          <w:rFonts w:ascii="arial" w:eastAsia="arial" w:hAnsi="arial" w:cs="arial"/>
          <w:color w:val="000000"/>
          <w:sz w:val="20"/>
          <w:lang w:val="en-US" w:eastAsia="en-US" w:bidi="ar-SA"/>
        </w:rPr>
        <w:t xml:space="preserve"> because it provides for three types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which are not expressly provided for in the </w:t>
      </w:r>
      <w:r>
        <w:rPr>
          <w:rFonts w:ascii="arial" w:eastAsia="arial" w:hAnsi="arial" w:cs="arial"/>
          <w:i/>
          <w:color w:val="000000"/>
          <w:sz w:val="20"/>
          <w:lang w:val="en-US" w:eastAsia="en-US" w:bidi="ar-SA"/>
        </w:rPr>
        <w:t>Canada Shipping Act</w:t>
      </w:r>
      <w:r>
        <w:rPr>
          <w:rFonts w:ascii="arial" w:eastAsia="arial" w:hAnsi="arial" w:cs="arial"/>
          <w:color w:val="000000"/>
          <w:sz w:val="20"/>
          <w:lang w:val="en-US" w:eastAsia="en-US" w:bidi="ar-SA"/>
        </w:rPr>
        <w:t>, namely: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claim by a dependant for damages for loss of guidance, care and companionship arising out of a fatal accident;</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claim by a dependant for damages (including damages for loss of guidance, care and companionship) arising out of an accident causing personal injury; and</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a dependant's claim for damages by a sibling of the person killed or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Section 647(2) of the </w:t>
      </w:r>
      <w:r>
        <w:rPr>
          <w:rFonts w:ascii="arial" w:eastAsia="arial" w:hAnsi="arial" w:cs="arial"/>
          <w:b/>
          <w:i/>
          <w:color w:val="000000"/>
          <w:sz w:val="20"/>
          <w:lang w:val="en-US" w:eastAsia="en-US" w:bidi="ar-SA"/>
        </w:rPr>
        <w:t>Canada Shipping Act</w:t>
      </w:r>
      <w:r>
        <w:rPr>
          <w:rFonts w:ascii="arial" w:eastAsia="arial" w:hAnsi="arial" w:cs="arial"/>
          <w:color w:val="000000"/>
          <w:sz w:val="20"/>
          <w:lang w:val="en-US" w:eastAsia="en-US" w:bidi="ar-SA"/>
        </w:rPr>
        <w:t xml:space="preserve">, which provided for the award of damages in relation to a dependant's fatal accident claim, was silent as to the nature of the compensable loss, hence the claim under the </w:t>
      </w:r>
      <w:r>
        <w:rPr>
          <w:rFonts w:ascii="arial" w:eastAsia="arial" w:hAnsi="arial" w:cs="arial"/>
          <w:b/>
          <w:i/>
          <w:color w:val="000000"/>
          <w:sz w:val="20"/>
          <w:lang w:val="en-US" w:eastAsia="en-US" w:bidi="ar-SA"/>
        </w:rPr>
        <w:t>Family Law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One of the issues before the Court in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xml:space="preserve"> was whether a validly enacted provincial statute of general application may be applied to deal with incidental aspects of a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that is otherwise governed by federal maritime law. In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xml:space="preserve"> the plaintiffs submitted that "although provincial statutes are not usually applicable to resolve maritime matters, they should nevertheless be applied as incidentally necessary to fill gaps which may exist in federal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law" (at para. 68).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In the present case, the plaintiffs do not seek to rely on provincial legislation.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xml:space="preserve"> clearly precludes the recovery of punitive or aggravated damages. However, the plaintiffs rely on the analysis by the Court regarding the potential for judicial reform of maritime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At para. 71 in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xml:space="preserve"> the Court set out a number of basic principles and themes regarding the sources and content of Canadian maritime law, the role of provincial legislation in relation thereto and the scope for gradual change and development in maritime law. Included in these principles and themes were the following:</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of navigation and shipping activities as they are practised in Canada makes a uniform maritime law a practical necessity. Much of maritime law is the product of international conventions, and the legal rights and obligations of those engaged in navigation and shipping should not arbitrarily change according to jurisdiction. The need for legal uniformity is particularly pressing in the area of tortious liability for collisions and other accidents that occur in the course of navigation ...</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those instances where Parliament has not passed legislation dealing with a maritime matter, the inherited non-statutory principles embodied in Canadian maritime law as developed by Canadian courts remain applicable, and resort should be had to these principles before considering whether to apply provincial law to resolve an issue in a maritime action ...</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Canadian maritime law is not static or frozen. The general principles established by this Court with respect to judicial reform of the law apply to the reform of Canadian maritime law, allowing development in the law where the appropriate criteria are met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[internal references omitted]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Beginning at para. 72 the Court set out a four part test to be applied in any instance where a provincial statute is sought to be invoked as part of a maritime law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These can be summarized as follows:</w:t>
      </w:r>
      <w:r>
        <w:rPr>
          <w:rFonts w:ascii="arial" w:eastAsia="arial" w:hAnsi="arial" w:cs="arial"/>
          <w:sz w:val="20"/>
          <w:lang w:val="en-US" w:eastAsia="en-US" w:bidi="ar-SA"/>
        </w:rPr>
        <w:cr/>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determination of whether the specific subject matter at issue in a claim is within the exclusive federal legislative competence over navigation and shipping under s. 91(10) of the </w:t>
      </w:r>
      <w:r>
        <w:rPr>
          <w:rFonts w:ascii="arial" w:eastAsia="arial" w:hAnsi="arial" w:cs="arial"/>
          <w:b/>
          <w:i/>
          <w:color w:val="000000"/>
          <w:sz w:val="20"/>
          <w:lang w:val="en-US" w:eastAsia="en-US" w:bidi="ar-SA"/>
        </w:rPr>
        <w:t>Constitution Act, 1867</w:t>
      </w:r>
      <w:r>
        <w:rPr>
          <w:rFonts w:ascii="arial" w:eastAsia="arial" w:hAnsi="arial" w:cs="arial"/>
          <w:color w:val="000000"/>
          <w:sz w:val="20"/>
          <w:lang w:val="en-US" w:eastAsia="en-US" w:bidi="ar-SA"/>
        </w:rPr>
        <w:t xml:space="preserve"> (at para. 73);</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determination of whether it is necessary for the party who seeks to rely upon the provincial statute within the context of a maritime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to do so or whether a counterpart to the statutory provision upon which the party seeks to rely is present within Canadian maritime law itself (at para. 74);</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If existing sources of Canadian maritime law do not contain a counterpart to the provision sought to be relied upon, prior to engaging in constitutional analysis a determination of whether or not it is appropriate for Canadian non-statutory maritime law to be altered in accordance with the principles for judicial reform of the law as set out in </w:t>
      </w:r>
      <w:r>
        <w:rPr>
          <w:rFonts w:ascii="arial" w:eastAsia="arial" w:hAnsi="arial" w:cs="arial"/>
          <w:b/>
          <w:i/>
          <w:color w:val="000000"/>
          <w:sz w:val="20"/>
          <w:lang w:val="en-US" w:eastAsia="en-US" w:bidi="ar-SA"/>
        </w:rPr>
        <w:t>Watkins v. Olafson</w:t>
      </w:r>
      <w:r>
        <w:rPr>
          <w:rFonts w:ascii="arial" w:eastAsia="arial" w:hAnsi="arial" w:cs="arial"/>
          <w:color w:val="000000"/>
          <w:sz w:val="20"/>
          <w:lang w:val="en-US" w:eastAsia="en-US" w:bidi="ar-SA"/>
        </w:rPr>
        <w:t xml:space="preserve">, </w:t>
      </w:r>
      <w:hyperlink r:id="rId200" w:history="1">
        <w:r>
          <w:rPr>
            <w:rFonts w:ascii="arial" w:eastAsia="arial" w:hAnsi="arial" w:cs="arial"/>
            <w:i/>
            <w:color w:val="0077CC"/>
            <w:sz w:val="20"/>
            <w:u w:val="single"/>
            <w:shd w:val="clear" w:color="auto" w:fill="FFFFFF"/>
            <w:lang w:val="en-US" w:eastAsia="en-US" w:bidi="ar-SA"/>
          </w:rPr>
          <w:t>[1989] 2 S.C.R. 750</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R. v. Salituro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[1991] 3 S.C.R. 654</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Bow Valley Husky (Bermuda) Ltd. v. Saint John Shipbuilding Ltd.</w:t>
      </w:r>
      <w:r>
        <w:rPr>
          <w:rFonts w:ascii="arial" w:eastAsia="arial" w:hAnsi="arial" w:cs="arial"/>
          <w:color w:val="000000"/>
          <w:sz w:val="20"/>
          <w:lang w:val="en-US" w:eastAsia="en-US" w:bidi="ar-SA"/>
        </w:rPr>
        <w:t xml:space="preserve">, </w:t>
      </w:r>
      <w:hyperlink r:id="rId922" w:history="1">
        <w:r>
          <w:rPr>
            <w:rFonts w:ascii="arial" w:eastAsia="arial" w:hAnsi="arial" w:cs="arial"/>
            <w:i/>
            <w:color w:val="0077CC"/>
            <w:sz w:val="20"/>
            <w:u w:val="single"/>
            <w:shd w:val="clear" w:color="auto" w:fill="FFFFFF"/>
            <w:lang w:val="en-US" w:eastAsia="en-US" w:bidi="ar-SA"/>
          </w:rPr>
          <w:t>[1997] 3 S.C.R. 1210</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xml:space="preserve"> (at para. 76); and</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If required, a constitutional analysis of whether a particular provincial statutory provision is applicable within the context of a maritime law claim (at para. 80).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Court discussed the issue of judicial reform of maritime law at paras. 78 - 79: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[78] We note, with respect to the test for judicial reform of the law that was applied by McLachlin J. in </w:t>
      </w:r>
      <w:r>
        <w:rPr>
          <w:rFonts w:ascii="arial" w:eastAsia="arial" w:hAnsi="arial" w:cs="arial"/>
          <w:i/>
          <w:color w:val="000000"/>
          <w:sz w:val="20"/>
          <w:lang w:val="en-US" w:eastAsia="en-US" w:bidi="ar-SA"/>
        </w:rPr>
        <w:t>Bow Valley Husky, supra</w:t>
      </w:r>
      <w:r>
        <w:rPr>
          <w:rFonts w:ascii="arial" w:eastAsia="arial" w:hAnsi="arial" w:cs="arial"/>
          <w:color w:val="000000"/>
          <w:sz w:val="20"/>
          <w:lang w:val="en-US" w:eastAsia="en-US" w:bidi="ar-SA"/>
        </w:rPr>
        <w:t xml:space="preserve">, and again in </w:t>
      </w:r>
      <w:r>
        <w:rPr>
          <w:rFonts w:ascii="arial" w:eastAsia="arial" w:hAnsi="arial" w:cs="arial"/>
          <w:i/>
          <w:color w:val="000000"/>
          <w:sz w:val="20"/>
          <w:lang w:val="en-US" w:eastAsia="en-US" w:bidi="ar-SA"/>
        </w:rPr>
        <w:t>Porto Seguro</w:t>
      </w:r>
      <w:r>
        <w:rPr>
          <w:rFonts w:ascii="arial" w:eastAsia="arial" w:hAnsi="arial" w:cs="arial"/>
          <w:color w:val="000000"/>
          <w:sz w:val="20"/>
          <w:lang w:val="en-US" w:eastAsia="en-US" w:bidi="ar-SA"/>
        </w:rPr>
        <w:t xml:space="preserve">, </w:t>
      </w:r>
      <w:hyperlink r:id="rId923" w:history="1">
        <w:r>
          <w:rPr>
            <w:rFonts w:ascii="arial" w:eastAsia="arial" w:hAnsi="arial" w:cs="arial"/>
            <w:i/>
            <w:color w:val="0077CC"/>
            <w:sz w:val="20"/>
            <w:u w:val="single"/>
            <w:shd w:val="clear" w:color="auto" w:fill="FFFFFF"/>
            <w:lang w:val="en-US" w:eastAsia="en-US" w:bidi="ar-SA"/>
          </w:rPr>
          <w:t>[1997] 3 S.C.R. 1278</w:t>
        </w:r>
      </w:hyperlink>
      <w:r>
        <w:rPr>
          <w:rFonts w:ascii="arial" w:eastAsia="arial" w:hAnsi="arial" w:cs="arial"/>
          <w:color w:val="000000"/>
          <w:sz w:val="20"/>
          <w:lang w:val="en-US" w:eastAsia="en-US" w:bidi="ar-SA"/>
        </w:rPr>
        <w:t xml:space="preserve">, that the test as it has been thus far developed is a common law test with a national focus. In our view, this common law test must be adapted in accordance with the nature and sources of maritime law as an international body of law whenever courts consider whether to reform Canadian maritime law. The basic elements of the test for judicial reform of the common law were set out by Iacobucci J. for the Court in </w:t>
      </w:r>
      <w:r>
        <w:rPr>
          <w:rFonts w:ascii="arial" w:eastAsia="arial" w:hAnsi="arial" w:cs="arial"/>
          <w:i/>
          <w:color w:val="000000"/>
          <w:sz w:val="20"/>
          <w:lang w:val="en-US" w:eastAsia="en-US" w:bidi="ar-SA"/>
        </w:rPr>
        <w:t>Salituro, supra</w:t>
      </w:r>
      <w:r>
        <w:rPr>
          <w:rFonts w:ascii="arial" w:eastAsia="arial" w:hAnsi="arial" w:cs="arial"/>
          <w:color w:val="000000"/>
          <w:sz w:val="20"/>
          <w:lang w:val="en-US" w:eastAsia="en-US" w:bidi="ar-SA"/>
        </w:rPr>
        <w:t>, at p. 670:</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Judges can and should adapt the common law to reflect the changing social, moral and economic fabric of the country. Judges should not be quick to perpetuate rules whose social foundation has long since disappeared. Nonetheless, there are significant constraints on the power of the judiciary to change the law. As McLachlin J. indicated in </w:t>
      </w:r>
      <w:r>
        <w:rPr>
          <w:rFonts w:ascii="arial" w:eastAsia="arial" w:hAnsi="arial" w:cs="arial"/>
          <w:i/>
          <w:color w:val="000000"/>
          <w:sz w:val="20"/>
          <w:lang w:val="en-US" w:eastAsia="en-US" w:bidi="ar-SA"/>
        </w:rPr>
        <w:t>Watkins, supra</w:t>
      </w:r>
      <w:r>
        <w:rPr>
          <w:rFonts w:ascii="arial" w:eastAsia="arial" w:hAnsi="arial" w:cs="arial"/>
          <w:color w:val="000000"/>
          <w:sz w:val="20"/>
          <w:lang w:val="en-US" w:eastAsia="en-US" w:bidi="ar-SA"/>
        </w:rPr>
        <w:t>, in a constitutional democracy such as ours it is the legislature and not the courts which has the major responsibility for law reform; and for any changes to the law which may have complex ramifications, however necessary or desirable such changes may be, they should be left to the legislature. The judiciary should confine itself to those incremental changes which are necessary to keep the common law in step with the dynamic and evolving fabric of our society.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[79] When applying the above framework in the maritime law context, a court should be careful to ensure that it considers not only the social, moral and economic fabric of Canadian society, but also the fabric of the broader international community of maritime states, including the desirability of achieving uniformity between jurisdictions in maritime law matters. Similarly, in evaluating whether a change in Canadian maritime law would have complex ramifications, a court must consider not only the ramifications within Canada, but also the effects of the change upon Canada's treaty obligations and international relations, as well as upon the state of international maritime law. It is essential that the test for judicial reform of Canadian maritime law accord with the </w:t>
      </w:r>
      <w:r>
        <w:rPr>
          <w:rFonts w:ascii="arial" w:eastAsia="arial" w:hAnsi="arial" w:cs="arial"/>
          <w:i/>
          <w:color w:val="000000"/>
          <w:sz w:val="20"/>
          <w:lang w:val="en-US" w:eastAsia="en-US" w:bidi="ar-SA"/>
        </w:rPr>
        <w:t>sui generis</w:t>
      </w:r>
      <w:r>
        <w:rPr>
          <w:rFonts w:ascii="arial" w:eastAsia="arial" w:hAnsi="arial" w:cs="arial"/>
          <w:color w:val="000000"/>
          <w:sz w:val="20"/>
          <w:lang w:val="en-US" w:eastAsia="en-US" w:bidi="ar-SA"/>
        </w:rPr>
        <w:t xml:space="preserve"> nature of that body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the present case, the plaintiffs suggest that there is a "gap" in the statutory provisions governing dependants' claims but that maritime common law fills the gap and provides for the right to recover punitive and aggravated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plaintiffs refer to the U.S. Supreme Court decision of </w:t>
      </w:r>
      <w:r>
        <w:rPr>
          <w:rFonts w:ascii="arial" w:eastAsia="arial" w:hAnsi="arial" w:cs="arial"/>
          <w:b/>
          <w:i/>
          <w:color w:val="000000"/>
          <w:sz w:val="20"/>
          <w:lang w:val="en-US" w:eastAsia="en-US" w:bidi="ar-SA"/>
        </w:rPr>
        <w:t>Exxon Shipping Co. v. Baker</w:t>
      </w:r>
      <w:r>
        <w:rPr>
          <w:rFonts w:ascii="arial" w:eastAsia="arial" w:hAnsi="arial" w:cs="arial"/>
          <w:color w:val="000000"/>
          <w:sz w:val="20"/>
          <w:lang w:val="en-US" w:eastAsia="en-US" w:bidi="ar-SA"/>
        </w:rPr>
        <w:t>, 128 S.Ct. 2605 (2008) [</w:t>
      </w:r>
      <w:r>
        <w:rPr>
          <w:rFonts w:ascii="arial" w:eastAsia="arial" w:hAnsi="arial" w:cs="arial"/>
          <w:b/>
          <w:i/>
          <w:color w:val="000000"/>
          <w:sz w:val="20"/>
          <w:lang w:val="en-US" w:eastAsia="en-US" w:bidi="ar-SA"/>
        </w:rPr>
        <w:t>Exxon</w:t>
      </w:r>
      <w:r>
        <w:rPr>
          <w:rFonts w:ascii="arial" w:eastAsia="arial" w:hAnsi="arial" w:cs="arial"/>
          <w:color w:val="000000"/>
          <w:sz w:val="20"/>
          <w:lang w:val="en-US" w:eastAsia="en-US" w:bidi="ar-SA"/>
        </w:rPr>
        <w:t xml:space="preserve">], in support of their submission that punitive damages are a well known feature of maritime law. </w:t>
      </w:r>
      <w:r>
        <w:rPr>
          <w:rFonts w:ascii="arial" w:eastAsia="arial" w:hAnsi="arial" w:cs="arial"/>
          <w:b/>
          <w:i/>
          <w:color w:val="000000"/>
          <w:sz w:val="20"/>
          <w:lang w:val="en-US" w:eastAsia="en-US" w:bidi="ar-SA"/>
        </w:rPr>
        <w:t>Exxon</w:t>
      </w:r>
      <w:r>
        <w:rPr>
          <w:rFonts w:ascii="arial" w:eastAsia="arial" w:hAnsi="arial" w:cs="arial"/>
          <w:color w:val="000000"/>
          <w:sz w:val="20"/>
          <w:lang w:val="en-US" w:eastAsia="en-US" w:bidi="ar-SA"/>
        </w:rPr>
        <w:t xml:space="preserve"> involved claims brought by a number of plaintiffs for economic losses caused to various persons resulting from the environmental damage caused by the grounding of the supertanker </w:t>
      </w:r>
      <w:r>
        <w:rPr>
          <w:rFonts w:ascii="arial" w:eastAsia="arial" w:hAnsi="arial" w:cs="arial"/>
          <w:i/>
          <w:color w:val="000000"/>
          <w:sz w:val="20"/>
          <w:lang w:val="en-US" w:eastAsia="en-US" w:bidi="ar-SA"/>
        </w:rPr>
        <w:t>Exxon Valdez</w:t>
      </w:r>
      <w:r>
        <w:rPr>
          <w:rFonts w:ascii="arial" w:eastAsia="arial" w:hAnsi="arial" w:cs="arial"/>
          <w:color w:val="000000"/>
          <w:sz w:val="20"/>
          <w:lang w:val="en-US" w:eastAsia="en-US" w:bidi="ar-SA"/>
        </w:rPr>
        <w:t xml:space="preserve"> and subsequent spilling of million gallons of crude oil into Prince William Sound. An appeal from awards including an award of punitive damages was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From my reading of the decision, it appears that it was accepted by the Court that in the case of such an event punitive damages might be awarded and the issues were: (1) whether a ship owner can be liable for punitive damages without acquiescence in the actions causing harm; (2) whether punitive damages were barred implicitly by federal environmental legislation making no provision for them; and (3) whether the award of $2.5 billion was greater than maritime law should allow in the circumstances. The punitive damages award against Exxon was upheld but determined by the U.S. Supreme Court to be excessive as a matter of maritime common law, and so limited to an amount equal to compensatory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Counsel for the plaintiffs have not been able to cite any decision in Canadian maritime law in which an award of punitive and/or aggravated damages was made in a dependants' claim. Further, in </w:t>
      </w:r>
      <w:r>
        <w:rPr>
          <w:rFonts w:ascii="arial" w:eastAsia="arial" w:hAnsi="arial" w:cs="arial"/>
          <w:b/>
          <w:i/>
          <w:color w:val="000000"/>
          <w:sz w:val="20"/>
          <w:lang w:val="en-US" w:eastAsia="en-US" w:bidi="ar-SA"/>
        </w:rPr>
        <w:t>Capilano Fishing Ltd. v. Qualicum Producer (The)</w:t>
      </w:r>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2001 BCCA 244</w:t>
        </w:r>
      </w:hyperlink>
      <w:r>
        <w:rPr>
          <w:rFonts w:ascii="arial" w:eastAsia="arial" w:hAnsi="arial" w:cs="arial"/>
          <w:color w:val="000000"/>
          <w:sz w:val="20"/>
          <w:lang w:val="en-US" w:eastAsia="en-US" w:bidi="ar-SA"/>
        </w:rPr>
        <w:t xml:space="preserve">, </w:t>
      </w:r>
      <w:hyperlink r:id="rId924" w:history="1">
        <w:r>
          <w:rPr>
            <w:rFonts w:ascii="arial" w:eastAsia="arial" w:hAnsi="arial" w:cs="arial"/>
            <w:i/>
            <w:color w:val="0077CC"/>
            <w:sz w:val="20"/>
            <w:u w:val="single"/>
            <w:shd w:val="clear" w:color="auto" w:fill="FFFFFF"/>
            <w:lang w:val="en-US" w:eastAsia="en-US" w:bidi="ar-SA"/>
          </w:rPr>
          <w:t>198 D.L.R. (4th) 267</w:t>
        </w:r>
      </w:hyperlink>
      <w:r>
        <w:rPr>
          <w:rFonts w:ascii="arial" w:eastAsia="arial" w:hAnsi="arial" w:cs="arial"/>
          <w:color w:val="000000"/>
          <w:sz w:val="20"/>
          <w:lang w:val="en-US" w:eastAsia="en-US" w:bidi="ar-SA"/>
        </w:rPr>
        <w:t>, Madam Justice Southin said this at para. 49:</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to punitive damages, one of their purposes is to discourage wrong-doers. The conclusion that the roe-herring fishery is an essentially reckless maritime adventure in which an owner cannot limit his liability should itself discourage wrong-doing and nothing more is necessary. I add also that no case was cited to us in which punitive damages were awarded for the negligent navigation of a vessel, whether against a ship, the master or the owner, and it is not for this Court to introduce into maritime law a concept unknown to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am not persuaded that punitive and aggravated damages form part of Canadian maritime common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2. Should this Court undertake to reform Canadian maritime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The plaintiffs submit that this court should reform Canadian maritime common law to provide for punitive and aggravated damages using the approach set out in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xml:space="preserve">. I am not persuaded that this Court should engage in such reform. In the first place, the plaintiffs have not put forward a cogent reason why the court should do that which Parliament has chosen not to do. When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was enacted Parliament incorporated the reform made by the Supreme Court of Canada in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It provided in s. 6(3) for the inclusion in damages recoverable by dependants of "an amount to compensate for the loss of guidance, care and companionship that the dependant could reasonably have expected to receive from the injured or deceased person if the injury or death had not occurred". It could have further expanded the scope of damages but did not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Secondly, as </w:t>
      </w:r>
      <w:r>
        <w:rPr>
          <w:rFonts w:ascii="arial" w:eastAsia="arial" w:hAnsi="arial" w:cs="arial"/>
          <w:b/>
          <w:i/>
          <w:color w:val="000000"/>
          <w:sz w:val="20"/>
          <w:lang w:val="en-US" w:eastAsia="en-US" w:bidi="ar-SA"/>
        </w:rPr>
        <w:t>Ordon</w:t>
      </w:r>
      <w:r>
        <w:rPr>
          <w:rFonts w:ascii="arial" w:eastAsia="arial" w:hAnsi="arial" w:cs="arial"/>
          <w:color w:val="000000"/>
          <w:sz w:val="20"/>
          <w:lang w:val="en-US" w:eastAsia="en-US" w:bidi="ar-SA"/>
        </w:rPr>
        <w:t xml:space="preserve"> made clear, the uniformity of maritime law is particularly pressing in actions for tortious liability. In undertaking judicial reform in an area of law that is the product of international treaties, courts must consider the effects of the change on the state of international maritime law. With those considerations in mind, I have not been presented with a sufficient basis upon which to reform Canadian maritime law in the manner put forward by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Thirdly, introducing into Canadian maritime law the ability for dependants to claim punitive or aggravated damages, or both, would place them in a different and potentially superior position as compared to dependants of persons killed in, for example, a bus crash on the highway, whose claim would fall under the </w:t>
      </w:r>
      <w:r>
        <w:rPr>
          <w:rFonts w:ascii="arial" w:eastAsia="arial" w:hAnsi="arial" w:cs="arial"/>
          <w:b/>
          <w:i/>
          <w:color w:val="000000"/>
          <w:sz w:val="20"/>
          <w:lang w:val="en-US" w:eastAsia="en-US" w:bidi="ar-SA"/>
        </w:rPr>
        <w:t>Family Compensation Act</w:t>
      </w:r>
      <w:r>
        <w:rPr>
          <w:rFonts w:ascii="arial" w:eastAsia="arial" w:hAnsi="arial" w:cs="arial"/>
          <w:color w:val="000000"/>
          <w:sz w:val="20"/>
          <w:lang w:val="en-US" w:eastAsia="en-US" w:bidi="ar-SA"/>
        </w:rPr>
        <w:t>. I can see no basis for creating that difference.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 summary, I conclude that the dependants' claims in these actions fall exclusively under the </w:t>
      </w:r>
      <w:r>
        <w:rPr>
          <w:rFonts w:ascii="arial" w:eastAsia="arial" w:hAnsi="arial" w:cs="arial"/>
          <w:b/>
          <w:i/>
          <w:color w:val="000000"/>
          <w:sz w:val="20"/>
          <w:lang w:val="en-US" w:eastAsia="en-US" w:bidi="ar-SA"/>
        </w:rPr>
        <w:t>MLA</w:t>
      </w:r>
      <w:r>
        <w:rPr>
          <w:rFonts w:ascii="arial" w:eastAsia="arial" w:hAnsi="arial" w:cs="arial"/>
          <w:color w:val="000000"/>
          <w:sz w:val="20"/>
          <w:lang w:val="en-US" w:eastAsia="en-US" w:bidi="ar-SA"/>
        </w:rPr>
        <w:t xml:space="preserve"> and the </w:t>
      </w:r>
      <w:r>
        <w:rPr>
          <w:rFonts w:ascii="arial" w:eastAsia="arial" w:hAnsi="arial" w:cs="arial"/>
          <w:i/>
          <w:color w:val="000000"/>
          <w:sz w:val="20"/>
          <w:lang w:val="en-US" w:eastAsia="en-US" w:bidi="ar-SA"/>
        </w:rPr>
        <w:t>Athens Convention</w:t>
      </w:r>
      <w:r>
        <w:rPr>
          <w:rFonts w:ascii="arial" w:eastAsia="arial" w:hAnsi="arial" w:cs="arial"/>
          <w:color w:val="000000"/>
          <w:sz w:val="20"/>
          <w:lang w:val="en-US" w:eastAsia="en-US" w:bidi="ar-SA"/>
        </w:rPr>
        <w:t>. There is no ability under the statute and convention for a dependant of a deceased passenger to recover punitive, exemplary or aggravated damages. I am not persuaded that such damages are recoverable under maritime common law applicable in Canada. I am not persuaded that this court should engage in judicial reform of Canadian maritime law to expand the scope of recovery to include such damages. In my opinion, if such reform is warranted it must come from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V.</w:t>
      </w:r>
      <w:r>
        <w:rPr>
          <w:rFonts w:ascii="arial" w:eastAsia="arial" w:hAnsi="arial" w:cs="arial"/>
          <w:color w:val="000000"/>
          <w:sz w:val="20"/>
          <w:lang w:val="en-US" w:eastAsia="en-US" w:bidi="ar-SA"/>
        </w:rPr>
        <w:t xml:space="preserve"> </w:t>
      </w:r>
      <w:r>
        <w:rPr>
          <w:rFonts w:ascii="arial" w:eastAsia="arial" w:hAnsi="arial" w:cs="arial"/>
          <w:b/>
          <w:color w:val="000000"/>
          <w:sz w:val="20"/>
          <w:lang w:val="en-US" w:eastAsia="en-US" w:bidi="ar-SA"/>
        </w:rPr>
        <w:t>DISPOSITION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The application of the defendant BCFS is allowed. This court declares that punitive damages and aggravated damages are not recoverable by dependants as a matter of law in these actions and those claims are struck from the statements of claim in these actions.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B.M. JOYCE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76" style="position:absolute;z-index:2518845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25"/>
          <w:headerReference w:type="default" r:id="rId926"/>
          <w:footerReference w:type="even" r:id="rId927"/>
          <w:footerReference w:type="default" r:id="rId928"/>
          <w:headerReference w:type="first" r:id="rId929"/>
          <w:footerReference w:type="first" r:id="rId93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31" w:history="1">
        <w:r>
          <w:rPr>
            <w:rFonts w:ascii="arial" w:eastAsia="arial" w:hAnsi="arial" w:cs="arial"/>
            <w:b/>
            <w:bCs/>
            <w:i/>
            <w:color w:val="0077CC"/>
            <w:kern w:val="32"/>
            <w:sz w:val="28"/>
            <w:szCs w:val="32"/>
            <w:u w:val="single"/>
            <w:shd w:val="clear" w:color="auto" w:fill="FFFFFF"/>
            <w:lang w:val="en-US" w:eastAsia="en-US" w:bidi="ar-SA"/>
          </w:rPr>
          <w:t>Forestieri v. Urban Recreation Ltd., [2015] I.L.R. para. G-2642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Macintosh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February 20,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S120272</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2015</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[2015] I.L.R. para. G-2642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[2015] B.C.J. No. 302</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932" w:history="1">
        <w:r>
          <w:rPr>
            <w:rFonts w:ascii="arial" w:eastAsia="arial" w:hAnsi="arial" w:cs="arial"/>
            <w:i/>
            <w:color w:val="0077CC"/>
            <w:sz w:val="20"/>
            <w:u w:val="single"/>
            <w:shd w:val="clear" w:color="auto" w:fill="FFFFFF"/>
            <w:lang w:val="en-US" w:eastAsia="en-US" w:bidi="ar-SA"/>
          </w:rPr>
          <w:t>2015 BCSC 249</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Roberto Forestieri Plaintiff v. Arlette Hernandez, Fairleigh Dickinson University British Columbia, Foundation Ltd. and John Doe Defendants v. Urban Recreation Ltd. Third Party</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77" style="position:absolute;z-index:2516899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3" w:name="Keywords_30"/>
      <w:bookmarkEnd w:id="203"/>
      <w:r>
        <w:rPr>
          <w:rFonts w:ascii="arial" w:eastAsia="arial" w:hAnsi="arial" w:cs="arial"/>
          <w:b/>
          <w:color w:val="000000"/>
          <w:sz w:val="20"/>
          <w:lang w:val="en-US" w:eastAsia="en-US" w:bidi="ar-SA"/>
        </w:rPr>
        <w:t xml:space="preserve">Tort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Duty of care — Soccer game — Plaintiff was injured during soccer game when unidentified opposing player slide tackled him — Game was organized by defendant university and its employee H who was team captain — League's rules prohibited slide tackling — When players registered for league they had to check box confirming they read rules — Unidentified opposing player was not registered — Plaintiff sued defendants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his injury — Court found defendants were liable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injury — H had duty of care toward plaintiff — It was readily foreseeable that H's failure to fulfill responsibilities could cause harm to opposing player — H's duty was to take reasonable steps to see that university players knew rules — H failed to take reasonable steps to ensure unidentified player knew rules — H's omissions led to player who thought he could slide tackle while playing, which resulted in plaintiff's injury — Injury was reasonably foreseeable — Action allowed.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04" w:name="Case Summary_29"/>
            <w:bookmarkEnd w:id="204"/>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 was injured during a soccer game. An unidentified opposing soccer player slide tackled the ball with excessive force while it was in the plaintiff's control and injured the plaintiff's knee. The plaintiff was an experienced player. The soccer game was organized by the defendant Fairleigh Dickinson University British Columbia, Foundation Ltd. ("FDU") and the defendant Hernandez, an activities coordinator who was employed by FDU and who was the designated team captain. The game was played in the Urban Recreation Co-Ed Outdoor Soccer League ("League"), which was operated by the third-party Urban Recreation Ltd. ("Urban Rec"). The plaintiff had played in the League for several seasons. The unidentified player was not registered in the League and was playing for FDU's side. The League's rules of conduct indicated that no rough play was allowed and specifically prohibited slide tackling. When players registered for the League they had to check a box confirming that they read the rules. The plaintiff sued the defendants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his injury.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05" w:name="Holdings of Court_26"/>
            <w:bookmarkEnd w:id="205"/>
            <w:r>
              <w:rPr>
                <w:rFonts w:ascii="arial" w:eastAsia="arial" w:hAnsi="arial" w:cs="arial"/>
                <w:color w:val="000000"/>
                <w:sz w:val="20"/>
                <w:lang w:val="en-US" w:eastAsia="en-US" w:bidi="ar-SA"/>
              </w:rPr>
              <w:t>HELD: The action was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found that the defendants were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injury suffered by the plaintiff. The Court found that Hernandez had a duty of care toward the plaintiff, as she was tasked with ensuring that FDU players were registered and knew the rules. It was readily foreseeable that Hernandez's failure to fulfill her responsibilities could cause harm to an opposing player such as the plaintiff. There were no public policy considerations that negated that duty. With regard to the standard of care, the Court noted that the plaintiff specifically chose the League because it was safe and non-aggressive. Pursuant to case law, an athlete consents only to what is reasonable conduct from his or her opponent, as measured after all the relevant circumstances are taken into account, with the rules that govern the game being the first consideration. Hernandez's duty was to take reasonable steps to see that those playing for FDU knew the rules and she failed in that duty. As a result of her omissions, a player who thought that he could slide tackle ended up playing for FDU, which resulted in the plaintiff's injury. The Court found the injury was reasonably foreseeable from Hernandez's failure to ensure that those who played knew the rules.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06" w:name="Counsel_30"/>
      <w:bookmarkEnd w:id="20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78" style="position:absolute;z-index:25174118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S.E. Gibson and L.R. Roenspies for the plaintiff; T.S. Newnham for the defendants, Arlette Hernandez and Fairleigh Dickinson University British Columbia, Foundation Ltd.</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07" w:name="Judgment_30"/>
      <w:bookmarkEnd w:id="207"/>
      <w:r>
        <w:pict>
          <v:line id="_x0000_s1179" style="position:absolute;z-index:25179238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08" w:name="G. MACINTOSH J."/>
            <w:bookmarkEnd w:id="208"/>
            <w:r>
              <w:rPr>
                <w:rFonts w:ascii="arial" w:eastAsia="arial" w:hAnsi="arial" w:cs="arial"/>
                <w:b/>
                <w:color w:val="000000"/>
                <w:sz w:val="30"/>
                <w:lang w:val="en-US" w:eastAsia="en-US" w:bidi="ar-SA"/>
              </w:rPr>
              <w:t>G. MACINTOSH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February 6, 2011, Roberto Forestieri was injured during a soccer game. John Doe, an unidentified opposing player, slide tackled the ball while Mr. Forestieri was controlling it, and injured Mr. Forestieri's knee. Mr. Forestieri sues Arlette Hernandez and Fairleigh Dickinson University British Columbia, Foundation Ltd. ("FDU")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his injury. Ms. Hernandez was employed by FDU. She organized soccer for the school. John Doe was playing for the FDU team when he injured Mr. Forestieri.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PROCEDURAL MATTERS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Ms. Hernandez and FDU apply by summary trial to have Mr. Forestieri's claim against them dismissed under Rule 9-7 of the </w:t>
      </w:r>
      <w:r>
        <w:rPr>
          <w:rFonts w:ascii="arial" w:eastAsia="arial" w:hAnsi="arial" w:cs="arial"/>
          <w:i/>
          <w:color w:val="000000"/>
          <w:sz w:val="20"/>
          <w:lang w:val="en-US" w:eastAsia="en-US" w:bidi="ar-SA"/>
        </w:rPr>
        <w:t>Supreme Court Civil Rules</w:t>
      </w:r>
      <w:r>
        <w:rPr>
          <w:rFonts w:ascii="arial" w:eastAsia="arial" w:hAnsi="arial" w:cs="arial"/>
          <w:color w:val="000000"/>
          <w:sz w:val="20"/>
          <w:lang w:val="en-US" w:eastAsia="en-US" w:bidi="ar-SA"/>
        </w:rPr>
        <w:t xml:space="preserve">. Mr. Forestieri agrees that the case is suitable for summary disposition, as I do, in accordance with the reasoning in </w:t>
      </w:r>
      <w:r>
        <w:rPr>
          <w:rFonts w:ascii="arial" w:eastAsia="arial" w:hAnsi="arial" w:cs="arial"/>
          <w:i/>
          <w:color w:val="000000"/>
          <w:sz w:val="20"/>
          <w:lang w:val="en-US" w:eastAsia="en-US" w:bidi="ar-SA"/>
        </w:rPr>
        <w:t>Inspiration Mgmt. Ltd. v. McDermid St. Lawrence Ltd.</w:t>
      </w:r>
      <w:r>
        <w:rPr>
          <w:rFonts w:ascii="arial" w:eastAsia="arial" w:hAnsi="arial" w:cs="arial"/>
          <w:color w:val="000000"/>
          <w:sz w:val="20"/>
          <w:lang w:val="en-US" w:eastAsia="en-US" w:bidi="ar-SA"/>
        </w:rPr>
        <w:t xml:space="preserve"> </w:t>
      </w:r>
      <w:hyperlink r:id="rId933" w:history="1">
        <w:r>
          <w:rPr>
            <w:rFonts w:ascii="arial" w:eastAsia="arial" w:hAnsi="arial" w:cs="arial"/>
            <w:i/>
            <w:color w:val="0077CC"/>
            <w:sz w:val="20"/>
            <w:u w:val="single"/>
            <w:shd w:val="clear" w:color="auto" w:fill="FFFFFF"/>
            <w:lang w:val="en-US" w:eastAsia="en-US" w:bidi="ar-SA"/>
          </w:rPr>
          <w:t>(1989), 36 B.C.L.R. (2d) 202</w:t>
        </w:r>
      </w:hyperlink>
      <w:r>
        <w:rPr>
          <w:rFonts w:ascii="arial" w:eastAsia="arial" w:hAnsi="arial" w:cs="arial"/>
          <w:color w:val="000000"/>
          <w:sz w:val="20"/>
          <w:lang w:val="en-US" w:eastAsia="en-US" w:bidi="ar-SA"/>
        </w:rPr>
        <w:t xml:space="preserve"> at 214-215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For the purposes of this application, the applicants asked that the question of liability be severed from any determination of damages, and these reasons address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It is common ground that if Ms. Hernandez is liable, so too is FDU. On that point, Mr. Forestieri cites </w:t>
      </w:r>
      <w:r>
        <w:rPr>
          <w:rFonts w:ascii="arial" w:eastAsia="arial" w:hAnsi="arial" w:cs="arial"/>
          <w:i/>
          <w:color w:val="000000"/>
          <w:sz w:val="20"/>
          <w:lang w:val="en-US" w:eastAsia="en-US" w:bidi="ar-SA"/>
        </w:rPr>
        <w:t>London Drugs Ltd. v. Kuehne &amp; Nagel International Ltd.</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[1992] 3 S.C.R. 299</w:t>
      </w:r>
      <w:r>
        <w:rPr>
          <w:rFonts w:ascii="arial" w:eastAsia="arial" w:hAnsi="arial" w:cs="arial"/>
          <w:color w:val="000000"/>
          <w:sz w:val="20"/>
          <w:lang w:val="en-US" w:eastAsia="en-US" w:bidi="ar-SA"/>
        </w:rPr>
        <w:t>. Since the parties are in agreement about FDU's vicarious liability, I will say no more about it. When I discuss the liability of Ms. Hernandez, what I say embraces the liability of FDU as well.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third party, Urban Recreation Ltd. ("Urban Rec"), has not appeared on this application. Initially, Mr. Forestieri sued only Urban Rec and John Doe. But he had signed a waiver of liability as against Urban Rec and has settled his claim with that company without prejudicing his right to proceed against Ms. Hernandez and FDU. The game on February 6, 2011, was played in the Urban Recreation Co-Ed Outdoor Soccer League ("League"). Urban Rec organized and operated the League.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 Forestieri was an experienced soccer player. He played organized soccer while he was growing up in Italy. He knew about slide tackles. A player side tackles when he, or she, slides on the ground to the ball, to get it away from the opposing player or at least to make that player lose control of the ball. Slide tackles can be dangerous.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Soccer is regulated worldwide by the entity known as Fédération Internationale de Football Association ("FIFA"). FIFA permits slide tackles if they are fair, but provides a range of penalties when they are not. At worst, the tackler will be ejected from the game and not replaced, and the opposing team will be given a penalty kick. In that case, the tackler will have used excessive force and perhaps injured the opponent.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That is what happened here. In the game on February 6, 2011, John Doe used excessive force in a slide tackle and so injured Mr. Forestieri. Mr. Doe intended to slide tackle. Whether he intended to hurt Mr. Forestieri is not known and it does not matter.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Beyond that, all that is known about John Doe is that he was not registered as an FDU player in the League for the 2011 soccer season.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By 2011, Mr. Forestieri had played in the League for several seasons. He had moved to Canada as a university student in 2008. He studied chemistry at the University of British Columbia and earned his PhD in May 2014. Now he is a post-doctoral associate in chemistry at the University of Pennsylvania.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League was co-educational. Its Rules and its Code of Conduct made clear that there would be no contact or rough play of any sort. The soccer played in the League is to regular soccer as touch football is to regular football.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The printed Rules of the League expressly prohibited, in bold type, any form of slide tackling: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Slide tackling is not allowed in any URBAN REC soccer league. Slide tackling includes any player, including the goalie, who leaves the ground in a foot or feet-forward motion. The goalie may dive head-forward to make a save, but may not dive feet-forward.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Slide tackles were almost unheard of in the League. In his several seasons in the League, at some 60 games, Mr. Forestieri had seen perhaps three of them. He selected the League because it was thought to be safe. He had read its Rules. His team had been told the Rules. Mr. Forestieri was in Vancouver to study. He had left serious soccer behind, and for him, the co-ed League was only for exercise, fun and fresh air. He had no reason to anticipate a slide tackle. That altered the way he played. He was not on the lookout for slide tackles, and when he was injured by John Doe, he was not guarding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FDU is small educational institution located in downtown Vancouver. It is part of a larger organization based in the United States. In 2011, it had between 60 and 80 students at the Vancouver location.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2010 and 2011, Ms. Hernandez was employed at FDU as the Activities Coordinator and Marketing Assistant. She had a master's degree in administrative science and a bachelor's degree in communications. She organized social events and activities for the students. In 2010, students at FDU expressed interest in playing recreational soccer. Ms. Hernandez learned of the League. She contacted the League and registered FDU as a team.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For the 2011 season, she registered nine players for the FDU team, including herself. Each team paid $822.25 to the League to play, and FDU contributed $20 per player, or $180, of the $822.25. The League Rules provided that teams were to play with seven players on the field, including the goalie, and always including at least two females.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When she registered the FDU team, the League designated Ms. Hernandez as the FDU team captain. But she did not have much interest in soccer. She came to games only rarely. She played a couple of times. She was not there the day Mr. Forestieri was injured.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Counsel for Ms. Hernandez and FDU submitted that for the 2011 season, the real team captain was a student named Zeyna Berdan. Ms. Berdan has now graduated from FDU. She did not give evidence. The only evidence about her as team captain in 2011 is in the following paragraph from Ms. Hernandez's affidavit:</w:t>
      </w:r>
      <w:r>
        <w:rPr>
          <w:rFonts w:ascii="arial" w:eastAsia="arial" w:hAnsi="arial" w:cs="arial"/>
          <w:sz w:val="20"/>
          <w:lang w:val="en-US" w:eastAsia="en-US" w:bidi="ar-SA"/>
        </w:rPr>
        <w:cr/>
      </w:r>
    </w:p>
    <w:p>
      <w:pPr>
        <w:numPr>
          <w:numId w:val="50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I was designated as the "Team Captain" by Urban Rec, I did not function as the team captain in the traditional sense. During both seasons [2010 and 2011], a FDU student named Zeyna Berdan assumed the role of team captain and attended the games. Ms. Berdan has since graduated from FDU.</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is not clear that Ms. Berdan was present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Evidence about the team captain carries some importance because the League Rules emphasized that team captains were to "self-police" their teams. Specifically, team captains were to ensure that their players knew the Rules. The Rules were four pages long. Rule 4, on page 4, provided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Players are responsible for calling all their own fouls; Team Captains are responsible for informing their team of the rules and also for enforcing them if their team is negligent in this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theme of the Rules was that the soccer to be played was non-contact</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just for fun. As I noted before, slide tackles of any kind were expressly</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Code of Conduct, which accompanied the Rules, concluded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registering as a member of Urban Rec and within the context of the activities of Urban Rec an individual agrees to take part in a spirit of fair play, honesty and with the rules and regulations of Urban Rec. As such the member is expected to:</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Have read the rules and agree to compete/ participate within the rules of League and Urban Rec</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Play within the spirit of the leagues which is to have fun and be social in a sports setting</w:t>
      </w:r>
    </w:p>
    <w:p>
      <w:pPr>
        <w:numPr>
          <w:numId w:val="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Compete/participate in a spirit of fair play and honesty.</w:t>
      </w:r>
    </w:p>
    <w:p>
      <w:pPr>
        <w:numPr>
          <w:numId w:val="5"/>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Control your temper. Verbal and/or physical abuse of officials and other players, deliberately distracting or provoking an opponent are not acceptable or permitted behaviours in any sport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Refrain from using profane, insulting, harassing or otherwise offensive language in the context of the activities. Respect an individual['s] dignity; verbal or physical behaviors that constitute harassment or abuse are unacceptable.</w:t>
      </w:r>
    </w:p>
    <w:p>
      <w:pPr>
        <w:numPr>
          <w:numId w:val="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Agree to cooperate with the event coordinator, teammates and opponents as well as address fellow athletes, coaches, officials, volunteers, event organizers, spectators and others associated with Urban Rec in a courteous and respectful manner.</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Participate for your own enjoyment and benefit.</w:t>
      </w:r>
    </w:p>
    <w:p>
      <w:pPr>
        <w:numPr>
          <w:numId w:val="10"/>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Treat all participants in your sport as you like to be treated. Respect the rights, dignity and worth of all participants at all times.</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Put the good of the game and your fellow participants safety and enjoyment above the desire to win at all costs.</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Shake hands with the opposing team at the end of the match</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Act in a manner that will bring credit to yourself, both within and outside the competition area.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Anyone that fails to adhere to the code of conduct is subject to penalties that include but are not limited to suspension of any length, complete expulsion for an indefinite amount of time, exclusion from other Urban Rec leagues and/or events.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It was obviously important in the League that the players realize, before a game, that regular soccer rules did not apply and that the League's Rules were to govern instead. Otherwise, an experienced soccer player might show up, as John Doe appears to have done, and wreak havoc simply from not knowing the League Rules. No evidence says that John Doe intended to harm Mr. Forestieri, but, as I noted, the evidence does show that he intended his aggressive slide tackle which injured Mr. Forestieri's knee.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For the 2011 season, Ms. Hernandez posted sign-up sheets at FDU and later registered the nine players on the Urban Rec website. She collected the individual contributions toward the team's fee for the season from the players and sent the full fee for the team to Urban Rec. She instructed the team to visit the Urban Rec website in order to complete the registration online which included signing the online Urban Rec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When registering, players had to click on a box to say that they had read the Rules. When Ms. Hernandez spoke to FDU students about registering for the team online, she told each of them to review the Rules and the Code of Conduct. Also, Urban Rec emailed the Rules and the Code of Conduct to the players who had registered. As a result, the registered players probably knew the Rules and the Code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For John Doe, who was not registered, there was no reason to believe he knew that slide tackles were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Ms. Hernandez had responsibilities as the designated team captain. She had to ensure that those who played for FDU knew the Rules. She could have attempted that by ensuring that only registered players participated. More directly, she could have ensured that those who played each game knew the Rules beforehand.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latter of those approaches would have been safer, because Ms. Hernandez could never be sure that students knew the Rules just because they should have known them through the registration process. But Ms. Hernandez took neither of those steps. She never confirmed with registered players that they had learned the Rules and she took no step to see that those who showed up to play knew the Rules, whether they were registered or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her examination for discovery before the summary trial, Ms. Hernandez acknowledged:</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her duty as the team captain was to ensure that communication from the League was passed on to the players and that the players were playing within the Rules;</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she never discussed with the FDU team what kinds of physical play were illegal in the League;</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having the FDU team members review the Rules and the Code of Conduct was important for helping to avoid injuries to other players in the League;</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it would be dangerous to allow players to participate in a game if they were unaware of the Rules and the Code of Conduct;</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person who was not registered on the FDU team, and had not read the Rules and the Code of Conduct, should not have been playing in the League; and</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if an unregistered player was playing, she did not believe such a player had read the Code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In 2011, Ms. Hernandez could have had Zeyna Berdan ensure that the players knew the Rules. However, she did not delegate that task to Ms. Berdan. There is no evidence that either of the two ever turned their mind to having Ms. Berdan ensure that the players were either registered or knew the Rules,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Urban Rec, now the third party, never assumed responsibility for ensuring that players in the League knew the Rules. The only responsibility it assumed was to remind teams before games of any common rule infractions observed in recent weeks. That was not relevant here because slide tackles were almost unheard of in the League. As I noted earlier, the League Rules fixed the team captains with responsibility for policing their own teams.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Ms. Hernandez, on her own or through Ms. Berdan as her delegate, could not have ensured the avoidance of slide tackles. However, she could have ensured that each player fielded for FDU knew that slide tackles were outlawed. There is no evidence to suggest that John Doe knew the Rules or that the Rules were even made available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 Ms. Hernandez and FDU to be found liable to Mr. Forestieri, they must have breached a duty they owed him, which caused him to sustain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1932, Lord Atkin, in </w:t>
      </w:r>
      <w:r>
        <w:rPr>
          <w:rFonts w:ascii="arial" w:eastAsia="arial" w:hAnsi="arial" w:cs="arial"/>
          <w:i/>
          <w:color w:val="000000"/>
          <w:sz w:val="20"/>
          <w:lang w:val="en-US" w:eastAsia="en-US" w:bidi="ar-SA"/>
        </w:rPr>
        <w:t>Donoghue v. Stevenson</w:t>
      </w:r>
      <w:r>
        <w:rPr>
          <w:rFonts w:ascii="arial" w:eastAsia="arial" w:hAnsi="arial" w:cs="arial"/>
          <w:color w:val="000000"/>
          <w:sz w:val="20"/>
          <w:lang w:val="en-US" w:eastAsia="en-US" w:bidi="ar-SA"/>
        </w:rPr>
        <w:t xml:space="preserve">, [1932] A.C. 562 (H.L.), described actionable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a failure to take reasonable care to avoid acts or omissions which could be reasonably foreseen to cause injury to one's neighbour. The seminal formulation, in his speech to the Law Lords, at 580, reads this way:</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rule that you are to love your neighbour becomes in law, you must not injure your neighbour; and the lawyer's question, Who is my neighbour? receives a restricted reply. You must take reasonable care to avoid acts or omissions which you can reasonably foresee would be likely to injure your neighbour. Who, then, in law is my neighbour? The answer seems to be--persons who are so closely and directly affected by my act that I ought reasonably to have them in contemplation as being so affected when I am directing my mind to the acts or omissions which are called in question.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question then, in this case, is whether Mr. Forestieri was the "neighbour" of Ms. Hernandez, as a matter of law, when she was tasked with ensuring that the FDU players were registered and knew that they must not slide tackle.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Hill v. Hamilton-Wentworth Regional Police Services Board</w:t>
      </w:r>
      <w:r>
        <w:rPr>
          <w:rFonts w:ascii="arial" w:eastAsia="arial" w:hAnsi="arial" w:cs="arial"/>
          <w:color w:val="000000"/>
          <w:sz w:val="20"/>
          <w:lang w:val="en-US" w:eastAsia="en-US" w:bidi="ar-SA"/>
        </w:rPr>
        <w:t xml:space="preserve">, </w:t>
      </w:r>
      <w:hyperlink r:id="rId934" w:history="1">
        <w:r>
          <w:rPr>
            <w:rFonts w:ascii="arial" w:eastAsia="arial" w:hAnsi="arial" w:cs="arial"/>
            <w:i/>
            <w:color w:val="0077CC"/>
            <w:sz w:val="20"/>
            <w:u w:val="single"/>
            <w:shd w:val="clear" w:color="auto" w:fill="FFFFFF"/>
            <w:lang w:val="en-US" w:eastAsia="en-US" w:bidi="ar-SA"/>
          </w:rPr>
          <w:t>2007 SCC 41</w:t>
        </w:r>
      </w:hyperlink>
      <w:r>
        <w:rPr>
          <w:rFonts w:ascii="arial" w:eastAsia="arial" w:hAnsi="arial" w:cs="arial"/>
          <w:color w:val="000000"/>
          <w:sz w:val="20"/>
          <w:lang w:val="en-US" w:eastAsia="en-US" w:bidi="ar-SA"/>
        </w:rPr>
        <w:t xml:space="preserve"> at para. 20, McLachlin C.J.C., for the majority, summarised the two-stage duty of care test set out in </w:t>
      </w:r>
      <w:r>
        <w:rPr>
          <w:rFonts w:ascii="arial" w:eastAsia="arial" w:hAnsi="arial" w:cs="arial"/>
          <w:i/>
          <w:color w:val="000000"/>
          <w:sz w:val="20"/>
          <w:lang w:val="en-US" w:eastAsia="en-US" w:bidi="ar-SA"/>
        </w:rPr>
        <w:t>Anns v. Merton London Borough Council</w:t>
      </w:r>
      <w:r>
        <w:rPr>
          <w:rFonts w:ascii="arial" w:eastAsia="arial" w:hAnsi="arial" w:cs="arial"/>
          <w:color w:val="000000"/>
          <w:sz w:val="20"/>
          <w:lang w:val="en-US" w:eastAsia="en-US" w:bidi="ar-SA"/>
        </w:rPr>
        <w:t xml:space="preserve">, [1978] A.C. 728 (H.L.), and affirmed in </w:t>
      </w:r>
      <w:r>
        <w:rPr>
          <w:rFonts w:ascii="arial" w:eastAsia="arial" w:hAnsi="arial" w:cs="arial"/>
          <w:i/>
          <w:color w:val="000000"/>
          <w:sz w:val="20"/>
          <w:lang w:val="en-US" w:eastAsia="en-US" w:bidi="ar-SA"/>
        </w:rPr>
        <w:t>Cooper v. Hobart</w:t>
      </w:r>
      <w:r>
        <w:rPr>
          <w:rFonts w:ascii="arial" w:eastAsia="arial" w:hAnsi="arial" w:cs="arial"/>
          <w:color w:val="000000"/>
          <w:sz w:val="20"/>
          <w:lang w:val="en-US" w:eastAsia="en-US" w:bidi="ar-SA"/>
        </w:rPr>
        <w:t xml:space="preserve">, </w:t>
      </w:r>
      <w:hyperlink r:id="rId704" w:history="1">
        <w:r>
          <w:rPr>
            <w:rFonts w:ascii="arial" w:eastAsia="arial" w:hAnsi="arial" w:cs="arial"/>
            <w:i/>
            <w:color w:val="0077CC"/>
            <w:sz w:val="20"/>
            <w:u w:val="single"/>
            <w:shd w:val="clear" w:color="auto" w:fill="FFFFFF"/>
            <w:lang w:val="en-US" w:eastAsia="en-US" w:bidi="ar-SA"/>
          </w:rPr>
          <w:t>2001 SCC 79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test for determining whether a person owes a duty of care involves two questions: (1) Does the relationship between the plaintiff and the defendant disclose sufficient foreseeability and proximity to establish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duty of care; and (2) If so, are there any residual policy considerations which ought to negate or limit that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Ms. Hernandez and FDU submitted that they owed no legal duty to Mr. Forestieri because the elements of foreseeability and proximity were not met. They stressed that Ms. Hernandez was team captain in name only, that she was not aware of the incident until long after it occurred and that she had no reason to believe that the team was not following the Rules. They cited </w:t>
      </w:r>
      <w:r>
        <w:rPr>
          <w:rFonts w:ascii="arial" w:eastAsia="arial" w:hAnsi="arial" w:cs="arial"/>
          <w:i/>
          <w:color w:val="000000"/>
          <w:sz w:val="20"/>
          <w:lang w:val="en-US" w:eastAsia="en-US" w:bidi="ar-SA"/>
        </w:rPr>
        <w:t>Childs v. Desormeaux</w:t>
      </w:r>
      <w:r>
        <w:rPr>
          <w:rFonts w:ascii="arial" w:eastAsia="arial" w:hAnsi="arial" w:cs="arial"/>
          <w:color w:val="000000"/>
          <w:sz w:val="20"/>
          <w:lang w:val="en-US" w:eastAsia="en-US" w:bidi="ar-SA"/>
        </w:rPr>
        <w:t xml:space="preserve">, </w:t>
      </w:r>
      <w:hyperlink r:id="rId935" w:history="1">
        <w:r>
          <w:rPr>
            <w:rFonts w:ascii="arial" w:eastAsia="arial" w:hAnsi="arial" w:cs="arial"/>
            <w:i/>
            <w:color w:val="0077CC"/>
            <w:sz w:val="20"/>
            <w:u w:val="single"/>
            <w:shd w:val="clear" w:color="auto" w:fill="FFFFFF"/>
            <w:lang w:val="en-US" w:eastAsia="en-US" w:bidi="ar-SA"/>
          </w:rPr>
          <w:t>2006 SCC 18</w:t>
        </w:r>
      </w:hyperlink>
      <w:r>
        <w:rPr>
          <w:rFonts w:ascii="arial" w:eastAsia="arial" w:hAnsi="arial" w:cs="arial"/>
          <w:color w:val="000000"/>
          <w:sz w:val="20"/>
          <w:lang w:val="en-US" w:eastAsia="en-US" w:bidi="ar-SA"/>
        </w:rPr>
        <w:t>, the leading decision in Canada at present addressing the liability of a social host. I was shown the following passage from the reasons of the Chief Justice, who wrote for the Court at para. 31: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Foreseeability without more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establish a duty of care. This is usually the case, for example, where an </w:t>
      </w:r>
      <w:r>
        <w:rPr>
          <w:rFonts w:ascii="arial" w:eastAsia="arial" w:hAnsi="arial" w:cs="arial"/>
          <w:i/>
          <w:color w:val="000000"/>
          <w:sz w:val="20"/>
          <w:lang w:val="en-US" w:eastAsia="en-US" w:bidi="ar-SA"/>
        </w:rPr>
        <w:t>overt act of the defendant</w:t>
      </w:r>
      <w:r>
        <w:rPr>
          <w:rFonts w:ascii="arial" w:eastAsia="arial" w:hAnsi="arial" w:cs="arial"/>
          <w:color w:val="000000"/>
          <w:sz w:val="20"/>
          <w:lang w:val="en-US" w:eastAsia="en-US" w:bidi="ar-SA"/>
        </w:rPr>
        <w:t xml:space="preserve"> has </w:t>
      </w:r>
      <w:r>
        <w:rPr>
          <w:rFonts w:ascii="arial" w:eastAsia="arial" w:hAnsi="arial" w:cs="arial"/>
          <w:i/>
          <w:color w:val="000000"/>
          <w:sz w:val="20"/>
          <w:lang w:val="en-US" w:eastAsia="en-US" w:bidi="ar-SA"/>
        </w:rPr>
        <w:t>directly caused foreseeable physical harm</w:t>
      </w:r>
      <w:r>
        <w:rPr>
          <w:rFonts w:ascii="arial" w:eastAsia="arial" w:hAnsi="arial" w:cs="arial"/>
          <w:color w:val="000000"/>
          <w:sz w:val="20"/>
          <w:lang w:val="en-US" w:eastAsia="en-US" w:bidi="ar-SA"/>
        </w:rPr>
        <w:t xml:space="preserve"> to the plaintiff: see </w:t>
      </w:r>
      <w:r>
        <w:rPr>
          <w:rFonts w:ascii="arial" w:eastAsia="arial" w:hAnsi="arial" w:cs="arial"/>
          <w:i/>
          <w:color w:val="000000"/>
          <w:sz w:val="20"/>
          <w:lang w:val="en-US" w:eastAsia="en-US" w:bidi="ar-SA"/>
        </w:rPr>
        <w:t>Cooper</w:t>
      </w:r>
      <w:r>
        <w:rPr>
          <w:rFonts w:ascii="arial" w:eastAsia="arial" w:hAnsi="arial" w:cs="arial"/>
          <w:color w:val="000000"/>
          <w:sz w:val="20"/>
          <w:lang w:val="en-US" w:eastAsia="en-US" w:bidi="ar-SA"/>
        </w:rPr>
        <w:t xml:space="preserve">. However, where the conduct alleged against the defendant is a </w:t>
      </w:r>
      <w:r>
        <w:rPr>
          <w:rFonts w:ascii="arial" w:eastAsia="arial" w:hAnsi="arial" w:cs="arial"/>
          <w:i/>
          <w:color w:val="000000"/>
          <w:sz w:val="20"/>
          <w:lang w:val="en-US" w:eastAsia="en-US" w:bidi="ar-SA"/>
        </w:rPr>
        <w:t>failure to act</w:t>
      </w:r>
      <w:r>
        <w:rPr>
          <w:rFonts w:ascii="arial" w:eastAsia="arial" w:hAnsi="arial" w:cs="arial"/>
          <w:color w:val="000000"/>
          <w:sz w:val="20"/>
          <w:lang w:val="en-US" w:eastAsia="en-US" w:bidi="ar-SA"/>
        </w:rPr>
        <w:t>, foreseeability alone may not establish a duty of care. In the absence of an overt act on the part of the defendant, the nature of the relationship must be examined to determine whether there is a nexus between the parties. Although there is no doubt that an omission may be negligent, as a general principle, the common law is a jealous guardian of individual autonomy. Duties to take positive action in the face of risk or danger are not free-standing. Generally, the mere fact that a person faces danger, or has become a danger to others, does not itself impose any kind of duty on those in a position to become involved.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That passage does not protect Ms. Hernandez and FDU. It must of course be read in the factual context from which it arose. While both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and the case before me could be characterized as addressing a failure to act, they are different cases.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was decided as part of the emerging law governing the liability of a social host to third parties. The Court spoke of three "themes that animate the cases imposing positive duties to act -- risk enhancement and control, autonomy and reasonable reliance":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 43. It then found that the social host did not owe a duty of care. The Court took into account respect for the autonomy of guests at a social function. The Court observed as well that neither the creation of risk nor reliance upon the host can be assumed in the context of a social gathering where alcohol is consumed: </w:t>
      </w:r>
      <w:r>
        <w:rPr>
          <w:rFonts w:ascii="arial" w:eastAsia="arial" w:hAnsi="arial" w:cs="arial"/>
          <w:i/>
          <w:color w:val="000000"/>
          <w:sz w:val="20"/>
          <w:lang w:val="en-US" w:eastAsia="en-US" w:bidi="ar-SA"/>
        </w:rPr>
        <w:t>Childs</w:t>
      </w:r>
      <w:r>
        <w:rPr>
          <w:rFonts w:ascii="arial" w:eastAsia="arial" w:hAnsi="arial" w:cs="arial"/>
          <w:color w:val="000000"/>
          <w:sz w:val="20"/>
          <w:lang w:val="en-US" w:eastAsia="en-US" w:bidi="ar-SA"/>
        </w:rPr>
        <w:t xml:space="preserve"> at paras. 42-46.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A host who invites guests to a social event where alcohol is served is obviously different, as a matter of law, from a team captain responsible for ensuring that players know and abide by rules which are in place to ensure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prohibition against slide tackling was aimed at protecting opposing players. Mr. Forestieri falls squarely within the concept of a neighbour as expressed above by Lord Atkin. It was readily foreseeable that Ms. Hernandez's failure to fulfill her responsibilities could cause harm to an opposing player. Mr. Forestieri was someone so closely and directly affected by Ms. Hernandez's conduct that she owed a duty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turn to the second stage of the analysis: policy considerations that could negate imposing a duty of care on the team captain.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Someone in Ms. Hernandez's position needed to see that the players knew the Rules. There is no policy consideration to negate that duty. If no one had the responsibility to see that the Rules were made known, the Rules might as well have been discarded. There is no policy consideration to condone passivity about trying to ensure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Standard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One might be inclined to think that anyone playing a sport assumes the risk of injury, but that thought cannot survive when viewed in relation to the facts of this case. Mr. Forestieri picked this League to play in, after studying its Rules, precisely because it was safe. It was safe in part because slide tackles of any kind were expressly prohibited.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law recognizes that an athlete consents only to what is reasonable conduct from his or her opponent, as measured after all the relevant circumstances are taken into account. First among those circumstances will be the rules governing the game in which the injury occurred. See, for example, </w:t>
      </w:r>
      <w:r>
        <w:rPr>
          <w:rFonts w:ascii="arial" w:eastAsia="arial" w:hAnsi="arial" w:cs="arial"/>
          <w:i/>
          <w:color w:val="000000"/>
          <w:sz w:val="20"/>
          <w:lang w:val="en-US" w:eastAsia="en-US" w:bidi="ar-SA"/>
        </w:rPr>
        <w:t>Colby v. Schmidt</w:t>
      </w:r>
      <w:r>
        <w:rPr>
          <w:rFonts w:ascii="arial" w:eastAsia="arial" w:hAnsi="arial" w:cs="arial"/>
          <w:color w:val="000000"/>
          <w:sz w:val="20"/>
          <w:lang w:val="en-US" w:eastAsia="en-US" w:bidi="ar-SA"/>
        </w:rPr>
        <w:t xml:space="preserve">, </w:t>
      </w:r>
      <w:hyperlink r:id="rId936" w:history="1">
        <w:r>
          <w:rPr>
            <w:rFonts w:ascii="arial" w:eastAsia="arial" w:hAnsi="arial" w:cs="arial"/>
            <w:i/>
            <w:color w:val="0077CC"/>
            <w:sz w:val="20"/>
            <w:u w:val="single"/>
            <w:shd w:val="clear" w:color="auto" w:fill="FFFFFF"/>
            <w:lang w:val="en-US" w:eastAsia="en-US" w:bidi="ar-SA"/>
          </w:rPr>
          <w:t>[1986] B.C.J. No. 3248</w:t>
        </w:r>
      </w:hyperlink>
      <w:r>
        <w:rPr>
          <w:rFonts w:ascii="arial" w:eastAsia="arial" w:hAnsi="arial" w:cs="arial"/>
          <w:color w:val="000000"/>
          <w:sz w:val="20"/>
          <w:lang w:val="en-US" w:eastAsia="en-US" w:bidi="ar-SA"/>
        </w:rPr>
        <w:t xml:space="preserve"> at para. 15 (S.C.); </w:t>
      </w:r>
      <w:r>
        <w:rPr>
          <w:rFonts w:ascii="arial" w:eastAsia="arial" w:hAnsi="arial" w:cs="arial"/>
          <w:i/>
          <w:color w:val="000000"/>
          <w:sz w:val="20"/>
          <w:lang w:val="en-US" w:eastAsia="en-US" w:bidi="ar-SA"/>
        </w:rPr>
        <w:t>Unruh (Guardian of) v. Webber</w:t>
      </w:r>
      <w:r>
        <w:rPr>
          <w:rFonts w:ascii="arial" w:eastAsia="arial" w:hAnsi="arial" w:cs="arial"/>
          <w:color w:val="000000"/>
          <w:sz w:val="20"/>
          <w:lang w:val="en-US" w:eastAsia="en-US" w:bidi="ar-SA"/>
        </w:rPr>
        <w:t xml:space="preserve"> </w:t>
      </w:r>
      <w:hyperlink r:id="rId937" w:history="1">
        <w:r>
          <w:rPr>
            <w:rFonts w:ascii="arial" w:eastAsia="arial" w:hAnsi="arial" w:cs="arial"/>
            <w:i/>
            <w:color w:val="0077CC"/>
            <w:sz w:val="20"/>
            <w:u w:val="single"/>
            <w:shd w:val="clear" w:color="auto" w:fill="FFFFFF"/>
            <w:lang w:val="en-US" w:eastAsia="en-US" w:bidi="ar-SA"/>
          </w:rPr>
          <w:t>(1994), 88 B.C.L.R. (2d) 353</w:t>
        </w:r>
      </w:hyperlink>
      <w:r>
        <w:rPr>
          <w:rFonts w:ascii="arial" w:eastAsia="arial" w:hAnsi="arial" w:cs="arial"/>
          <w:color w:val="000000"/>
          <w:sz w:val="20"/>
          <w:lang w:val="en-US" w:eastAsia="en-US" w:bidi="ar-SA"/>
        </w:rPr>
        <w:t xml:space="preserve"> (C.A.) at paras. 29-30; </w:t>
      </w:r>
      <w:r>
        <w:rPr>
          <w:rFonts w:ascii="arial" w:eastAsia="arial" w:hAnsi="arial" w:cs="arial"/>
          <w:i/>
          <w:color w:val="000000"/>
          <w:sz w:val="20"/>
          <w:lang w:val="en-US" w:eastAsia="en-US" w:bidi="ar-SA"/>
        </w:rPr>
        <w:t>Zapf v. Muckalt</w:t>
      </w:r>
      <w:r>
        <w:rPr>
          <w:rFonts w:ascii="arial" w:eastAsia="arial" w:hAnsi="arial" w:cs="arial"/>
          <w:color w:val="000000"/>
          <w:sz w:val="20"/>
          <w:lang w:val="en-US" w:eastAsia="en-US" w:bidi="ar-SA"/>
        </w:rPr>
        <w:t xml:space="preserve"> </w:t>
      </w:r>
      <w:hyperlink r:id="rId938" w:history="1">
        <w:r>
          <w:rPr>
            <w:rFonts w:ascii="arial" w:eastAsia="arial" w:hAnsi="arial" w:cs="arial"/>
            <w:i/>
            <w:color w:val="0077CC"/>
            <w:sz w:val="20"/>
            <w:u w:val="single"/>
            <w:shd w:val="clear" w:color="auto" w:fill="FFFFFF"/>
            <w:lang w:val="en-US" w:eastAsia="en-US" w:bidi="ar-SA"/>
          </w:rPr>
          <w:t>(1996), 26 B.C.L.R. (3d) 201</w:t>
        </w:r>
      </w:hyperlink>
      <w:r>
        <w:rPr>
          <w:rFonts w:ascii="arial" w:eastAsia="arial" w:hAnsi="arial" w:cs="arial"/>
          <w:color w:val="000000"/>
          <w:sz w:val="20"/>
          <w:lang w:val="en-US" w:eastAsia="en-US" w:bidi="ar-SA"/>
        </w:rPr>
        <w:t xml:space="preserve"> at para. 16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Hernandez did not have a duty to attend every game in order to ensure that non-registered participants were not playing and that every rule was followed. Her duty, as guided by the Rules, was to take reasonable steps to see that those playing for FDU knew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What act or omission by Ms. Hernandez could cause her to breach her duty to Mr. Forestieri? He complains that:</w:t>
      </w:r>
      <w:r>
        <w:rPr>
          <w:rFonts w:ascii="arial" w:eastAsia="arial" w:hAnsi="arial" w:cs="arial"/>
          <w:sz w:val="20"/>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and FDU failed to register John Doe, the player who injured Mr. Forestieri;</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and FDU failed to inform John Doe of the League's Rules and Code of Conduct; and</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she and FDU failed to enforce the Rules and Code of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my view, those complaints are merited. Ms. Hernandez and FDU did not take reasonable steps to ensure that those playing for FDU knew the League Rules. Ms. Hernandez could have seen to that directly or by seeing that Ms. Berdan acted on her behalf in performing that task. Between them, they should have ensured that only registered players who knew the Rules were playing, or, at least, that all who played knew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As it was, the omissions resulted in John Doe playing for FDU when he probably thought he could slide tackle. Mr. Forestieri has proved, on the balance of probabilities, that Ms. Hernandez failed to take reasonable steps to ensure that John Doe knew the rule prohibiting slide tackles.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Causation and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As found in </w:t>
      </w:r>
      <w:r>
        <w:rPr>
          <w:rFonts w:ascii="arial" w:eastAsia="arial" w:hAnsi="arial" w:cs="arial"/>
          <w:i/>
          <w:color w:val="000000"/>
          <w:sz w:val="20"/>
          <w:lang w:val="en-US" w:eastAsia="en-US" w:bidi="ar-SA"/>
        </w:rPr>
        <w:t>Clements v. Clements</w:t>
      </w:r>
      <w:r>
        <w:rPr>
          <w:rFonts w:ascii="arial" w:eastAsia="arial" w:hAnsi="arial" w:cs="arial"/>
          <w:color w:val="000000"/>
          <w:sz w:val="20"/>
          <w:lang w:val="en-US" w:eastAsia="en-US" w:bidi="ar-SA"/>
        </w:rPr>
        <w:t xml:space="preserve">, </w:t>
      </w:r>
      <w:hyperlink r:id="rId633" w:history="1">
        <w:r>
          <w:rPr>
            <w:rFonts w:ascii="arial" w:eastAsia="arial" w:hAnsi="arial" w:cs="arial"/>
            <w:i/>
            <w:color w:val="0077CC"/>
            <w:sz w:val="20"/>
            <w:u w:val="single"/>
            <w:shd w:val="clear" w:color="auto" w:fill="FFFFFF"/>
            <w:lang w:val="en-US" w:eastAsia="en-US" w:bidi="ar-SA"/>
          </w:rPr>
          <w:t>2012 SCC 32</w:t>
        </w:r>
      </w:hyperlink>
      <w:r>
        <w:rPr>
          <w:rFonts w:ascii="arial" w:eastAsia="arial" w:hAnsi="arial" w:cs="arial"/>
          <w:color w:val="000000"/>
          <w:sz w:val="20"/>
          <w:lang w:val="en-US" w:eastAsia="en-US" w:bidi="ar-SA"/>
        </w:rPr>
        <w:t xml:space="preserve"> at para. 8, causation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determined by application of the "but for" test. There should generally be a "substantial connection between the injury and the defendant's conduct": </w:t>
      </w:r>
      <w:r>
        <w:rPr>
          <w:rFonts w:ascii="arial" w:eastAsia="arial" w:hAnsi="arial" w:cs="arial"/>
          <w:i/>
          <w:color w:val="000000"/>
          <w:sz w:val="20"/>
          <w:lang w:val="en-US" w:eastAsia="en-US" w:bidi="ar-SA"/>
        </w:rPr>
        <w:t>Resurfice Corp. v. Hanke</w:t>
      </w:r>
      <w:r>
        <w:rPr>
          <w:rFonts w:ascii="arial" w:eastAsia="arial" w:hAnsi="arial" w:cs="arial"/>
          <w:color w:val="000000"/>
          <w:sz w:val="20"/>
          <w:lang w:val="en-US" w:eastAsia="en-US" w:bidi="ar-SA"/>
        </w:rPr>
        <w:t xml:space="preserve">, </w:t>
      </w:r>
      <w:hyperlink r:id="rId521" w:history="1">
        <w:r>
          <w:rPr>
            <w:rFonts w:ascii="arial" w:eastAsia="arial" w:hAnsi="arial" w:cs="arial"/>
            <w:i/>
            <w:color w:val="0077CC"/>
            <w:sz w:val="20"/>
            <w:u w:val="single"/>
            <w:shd w:val="clear" w:color="auto" w:fill="FFFFFF"/>
            <w:lang w:val="en-US" w:eastAsia="en-US" w:bidi="ar-SA"/>
          </w:rPr>
          <w:t>2007 SCC 7</w:t>
        </w:r>
      </w:hyperlink>
      <w:r>
        <w:rPr>
          <w:rFonts w:ascii="arial" w:eastAsia="arial" w:hAnsi="arial" w:cs="arial"/>
          <w:color w:val="000000"/>
          <w:sz w:val="20"/>
          <w:lang w:val="en-US" w:eastAsia="en-US" w:bidi="ar-SA"/>
        </w:rPr>
        <w:t xml:space="preserve"> at para. 23. Mr. Forestieri must show, on a balance of probabilities, that "but for" Ms. Hernandez's failure to fulfill her duty, Mr. Forestieri's injury would not have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Ms. Hernandez and FDU argue that the damage Mr. Forestieri suffered was too remote from Ms. Hernandez's failing to ensure that John Doe knew he was not to slide tackle. They cite </w:t>
      </w:r>
      <w:r>
        <w:rPr>
          <w:rFonts w:ascii="arial" w:eastAsia="arial" w:hAnsi="arial" w:cs="arial"/>
          <w:i/>
          <w:color w:val="000000"/>
          <w:sz w:val="20"/>
          <w:lang w:val="en-US" w:eastAsia="en-US" w:bidi="ar-SA"/>
        </w:rPr>
        <w:t>Mustapha v. Culligan of Canada Ltd.</w:t>
      </w:r>
      <w:r>
        <w:rPr>
          <w:rFonts w:ascii="arial" w:eastAsia="arial" w:hAnsi="arial" w:cs="arial"/>
          <w:color w:val="000000"/>
          <w:sz w:val="20"/>
          <w:lang w:val="en-US" w:eastAsia="en-US" w:bidi="ar-SA"/>
        </w:rPr>
        <w:t xml:space="preserve">, </w:t>
      </w:r>
      <w:hyperlink r:id="rId939" w:history="1">
        <w:r>
          <w:rPr>
            <w:rFonts w:ascii="arial" w:eastAsia="arial" w:hAnsi="arial" w:cs="arial"/>
            <w:i/>
            <w:color w:val="0077CC"/>
            <w:sz w:val="20"/>
            <w:u w:val="single"/>
            <w:shd w:val="clear" w:color="auto" w:fill="FFFFFF"/>
            <w:lang w:val="en-US" w:eastAsia="en-US" w:bidi="ar-SA"/>
          </w:rPr>
          <w:t>2008 SCC 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Hussack v. Chilliwack School District No. 33</w:t>
      </w:r>
      <w:r>
        <w:rPr>
          <w:rFonts w:ascii="arial" w:eastAsia="arial" w:hAnsi="arial" w:cs="arial"/>
          <w:color w:val="000000"/>
          <w:sz w:val="20"/>
          <w:lang w:val="en-US" w:eastAsia="en-US" w:bidi="ar-SA"/>
        </w:rPr>
        <w:t xml:space="preserve">, </w:t>
      </w:r>
      <w:hyperlink r:id="rId527" w:history="1">
        <w:r>
          <w:rPr>
            <w:rFonts w:ascii="arial" w:eastAsia="arial" w:hAnsi="arial" w:cs="arial"/>
            <w:i/>
            <w:color w:val="0077CC"/>
            <w:sz w:val="20"/>
            <w:u w:val="single"/>
            <w:shd w:val="clear" w:color="auto" w:fill="FFFFFF"/>
            <w:lang w:val="en-US" w:eastAsia="en-US" w:bidi="ar-SA"/>
          </w:rPr>
          <w:t>2011 BCCA 258</w:t>
        </w:r>
      </w:hyperlink>
      <w:r>
        <w:rPr>
          <w:rFonts w:ascii="arial" w:eastAsia="arial" w:hAnsi="arial" w:cs="arial"/>
          <w:color w:val="000000"/>
          <w:sz w:val="20"/>
          <w:lang w:val="en-US" w:eastAsia="en-US" w:bidi="ar-SA"/>
        </w:rPr>
        <w:t xml:space="preserve">, at para. 54. </w:t>
      </w:r>
      <w:r>
        <w:rPr>
          <w:rFonts w:ascii="arial" w:eastAsia="arial" w:hAnsi="arial" w:cs="arial"/>
          <w:i/>
          <w:color w:val="000000"/>
          <w:sz w:val="20"/>
          <w:lang w:val="en-US" w:eastAsia="en-US" w:bidi="ar-SA"/>
        </w:rPr>
        <w:t>Mustapha</w:t>
      </w:r>
      <w:r>
        <w:rPr>
          <w:rFonts w:ascii="arial" w:eastAsia="arial" w:hAnsi="arial" w:cs="arial"/>
          <w:color w:val="000000"/>
          <w:sz w:val="20"/>
          <w:lang w:val="en-US" w:eastAsia="en-US" w:bidi="ar-SA"/>
        </w:rPr>
        <w:t xml:space="preserve">, at para. 12, states that the question of remoteness is whether the harm is too unrelated to the wrongful conduct to hold the defendant fairly liable. In other words, was the harm reasonably foreseeable? </w:t>
      </w:r>
      <w:r>
        <w:rPr>
          <w:rFonts w:ascii="arial" w:eastAsia="arial" w:hAnsi="arial" w:cs="arial"/>
          <w:i/>
          <w:color w:val="000000"/>
          <w:sz w:val="20"/>
          <w:lang w:val="en-US" w:eastAsia="en-US" w:bidi="ar-SA"/>
        </w:rPr>
        <w:t>Hussack</w:t>
      </w:r>
      <w:r>
        <w:rPr>
          <w:rFonts w:ascii="arial" w:eastAsia="arial" w:hAnsi="arial" w:cs="arial"/>
          <w:color w:val="000000"/>
          <w:sz w:val="20"/>
          <w:lang w:val="en-US" w:eastAsia="en-US" w:bidi="ar-SA"/>
        </w:rPr>
        <w:t>, at para. 54, summarizes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losses or injuries sustained by the plaintiff are not compensable unless they were caused in fact and in law by the defendant's negligent conduct. In order to establish causation, the plaintiff must demonstrate first, that the damage was caused in fact by the conduct of the defendant, and second, that the conduct of the defendant was a proximate cause of the loss, or in other words, that the damage was not too remote from the factual cause. This is referred to as causation in law. The remoteness inquiry assumes that but for the defendant's wrongful act, the plaintiff's loss would not have occurred, but places legal limits on the defendant's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Mr. Forestieri would not have played if he had known that another player did not know the League Rules. Team captains were responsible for informing their players of the Rules. The FDU team captain did not take reasonable steps to ensure that those playing for the team knew the Rules. An FDU player committed an act that was clearly prohibited by the Rules. That act injured Mr. Forestieri. In my view, Mr. Forestieri's injury was reasonably foreseeable from Ms. Hernandez failing to ensure that those who played knew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The parties agree that the evidence about John Doe establishes only that he was not registered to play for FDU in 2011. Ms. Hernandez and FDU submit that he might have played for FDU in 2009, for example, or that in 2011, he perhaps was registered to play for some other team in the League and so may have known the Rules. Both of those submissions are only conjecture. All that the evidence establishes is, to summarize, that John Doe played for FDU on February 6, 2011, that he slide tackled and injured Mr. Forestieri that day and that he was not registered as an FDU player. There is no evidence that he was ever told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It is not enough for Ms. Hernandez and FDU to speculate, without evidence, that John Doe might have known the Rules from playing in an earlier season or for another team. In the face of the evidence that (i) John Doe was unregistered for FDU in 2011, (ii) registration was the only mechanism in place to inform FDU players of the Rules and (iii) slide tackling, while prohibited by the Rules, was otherwise common in the sport; Ms. Hernandez and FDU needed to present some evidence of their own if they wanted the Court to conclude that John Doe somehow knew about the Rules.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Our Court of Appeal, in </w:t>
      </w:r>
      <w:r>
        <w:rPr>
          <w:rFonts w:ascii="arial" w:eastAsia="arial" w:hAnsi="arial" w:cs="arial"/>
          <w:i/>
          <w:color w:val="000000"/>
          <w:sz w:val="20"/>
          <w:lang w:val="en-US" w:eastAsia="en-US" w:bidi="ar-SA"/>
        </w:rPr>
        <w:t>Northland Properties Corporation v. British Columbia</w:t>
      </w:r>
      <w:r>
        <w:rPr>
          <w:rFonts w:ascii="arial" w:eastAsia="arial" w:hAnsi="arial" w:cs="arial"/>
          <w:color w:val="000000"/>
          <w:sz w:val="20"/>
          <w:lang w:val="en-US" w:eastAsia="en-US" w:bidi="ar-SA"/>
        </w:rPr>
        <w:t xml:space="preserve">, </w:t>
      </w:r>
      <w:hyperlink r:id="rId940" w:history="1">
        <w:r>
          <w:rPr>
            <w:rFonts w:ascii="arial" w:eastAsia="arial" w:hAnsi="arial" w:cs="arial"/>
            <w:i/>
            <w:color w:val="0077CC"/>
            <w:sz w:val="20"/>
            <w:u w:val="single"/>
            <w:shd w:val="clear" w:color="auto" w:fill="FFFFFF"/>
            <w:lang w:val="en-US" w:eastAsia="en-US" w:bidi="ar-SA"/>
          </w:rPr>
          <w:t>2010 BCCA 177</w:t>
        </w:r>
      </w:hyperlink>
      <w:r>
        <w:rPr>
          <w:rFonts w:ascii="arial" w:eastAsia="arial" w:hAnsi="arial" w:cs="arial"/>
          <w:color w:val="000000"/>
          <w:sz w:val="20"/>
          <w:lang w:val="en-US" w:eastAsia="en-US" w:bidi="ar-SA"/>
        </w:rPr>
        <w:t>, addressed this evidentiary point. Huddart J.A., said this at para. 7 of her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w:t>
      </w:r>
      <w:r>
        <w:rPr>
          <w:rFonts w:ascii="arial" w:eastAsia="arial" w:hAnsi="arial" w:cs="arial"/>
          <w:i/>
          <w:color w:val="000000"/>
          <w:sz w:val="20"/>
          <w:lang w:val="en-US" w:eastAsia="en-US" w:bidi="ar-SA"/>
        </w:rPr>
        <w:t>tactical</w:t>
      </w:r>
      <w:r>
        <w:rPr>
          <w:rFonts w:ascii="arial" w:eastAsia="arial" w:hAnsi="arial" w:cs="arial"/>
          <w:color w:val="000000"/>
          <w:sz w:val="20"/>
          <w:lang w:val="en-US" w:eastAsia="en-US" w:bidi="ar-SA"/>
        </w:rPr>
        <w:t xml:space="preserve"> burden is not a legal burden in the true sense, but a question of common sense. It arises when the party bearing a legal burden has adduced evidence, and that evidence is the only evidence unless the other side acts positively to introduce some of its own. The legal burden does not shift, because the responding party is not legally compelled to prove or disprove anything. In certain circumstances, a responding party may not even need to adduce evidence, but in the majority of cases, uncontested and uncontradicted evidence creates a situation in which a trier of fact may draw an inference. Although a finding of fact is not automatic, it is incumbent on the responding party to provide some evidentiary basis on which that inference may be rebutted -- hence, the </w:t>
      </w:r>
      <w:r>
        <w:rPr>
          <w:rFonts w:ascii="arial" w:eastAsia="arial" w:hAnsi="arial" w:cs="arial"/>
          <w:i/>
          <w:color w:val="000000"/>
          <w:sz w:val="20"/>
          <w:lang w:val="en-US" w:eastAsia="en-US" w:bidi="ar-SA"/>
        </w:rPr>
        <w:t>tactical</w:t>
      </w:r>
      <w:r>
        <w:rPr>
          <w:rFonts w:ascii="arial" w:eastAsia="arial" w:hAnsi="arial" w:cs="arial"/>
          <w:color w:val="000000"/>
          <w:sz w:val="20"/>
          <w:lang w:val="en-US" w:eastAsia="en-US" w:bidi="ar-SA"/>
        </w:rPr>
        <w:t xml:space="preserve"> burden: see </w:t>
      </w:r>
      <w:r>
        <w:rPr>
          <w:rFonts w:ascii="arial" w:eastAsia="arial" w:hAnsi="arial" w:cs="arial"/>
          <w:i/>
          <w:color w:val="000000"/>
          <w:sz w:val="20"/>
          <w:lang w:val="en-US" w:eastAsia="en-US" w:bidi="ar-SA"/>
        </w:rPr>
        <w:t>R. v. Johnson</w:t>
      </w:r>
      <w:r>
        <w:rPr>
          <w:rFonts w:ascii="arial" w:eastAsia="arial" w:hAnsi="arial" w:cs="arial"/>
          <w:color w:val="000000"/>
          <w:sz w:val="20"/>
          <w:lang w:val="en-US" w:eastAsia="en-US" w:bidi="ar-SA"/>
        </w:rPr>
        <w:t xml:space="preserve"> </w:t>
      </w:r>
      <w:hyperlink r:id="rId941" w:history="1">
        <w:r>
          <w:rPr>
            <w:rFonts w:ascii="arial" w:eastAsia="arial" w:hAnsi="arial" w:cs="arial"/>
            <w:i/>
            <w:color w:val="0077CC"/>
            <w:sz w:val="20"/>
            <w:u w:val="single"/>
            <w:shd w:val="clear" w:color="auto" w:fill="FFFFFF"/>
            <w:lang w:val="en-US" w:eastAsia="en-US" w:bidi="ar-SA"/>
          </w:rPr>
          <w:t>(1993), 12 O.R. (3d) 340</w:t>
        </w:r>
      </w:hyperlink>
      <w:r>
        <w:rPr>
          <w:rFonts w:ascii="arial" w:eastAsia="arial" w:hAnsi="arial" w:cs="arial"/>
          <w:color w:val="000000"/>
          <w:sz w:val="20"/>
          <w:lang w:val="en-US" w:eastAsia="en-US" w:bidi="ar-SA"/>
        </w:rPr>
        <w:t xml:space="preserve"> (Ont. C.A.) at 348-49; </w:t>
      </w:r>
      <w:r>
        <w:rPr>
          <w:rFonts w:ascii="arial" w:eastAsia="arial" w:hAnsi="arial" w:cs="arial"/>
          <w:i/>
          <w:color w:val="000000"/>
          <w:sz w:val="20"/>
          <w:lang w:val="en-US" w:eastAsia="en-US" w:bidi="ar-SA"/>
        </w:rPr>
        <w:t>R. v. Darrach</w:t>
      </w:r>
      <w:r>
        <w:rPr>
          <w:rFonts w:ascii="arial" w:eastAsia="arial" w:hAnsi="arial" w:cs="arial"/>
          <w:color w:val="000000"/>
          <w:sz w:val="20"/>
          <w:lang w:val="en-US" w:eastAsia="en-US" w:bidi="ar-SA"/>
        </w:rPr>
        <w:t xml:space="preserve">, </w:t>
      </w:r>
      <w:hyperlink r:id="rId942" w:history="1">
        <w:r>
          <w:rPr>
            <w:rFonts w:ascii="arial" w:eastAsia="arial" w:hAnsi="arial" w:cs="arial"/>
            <w:i/>
            <w:color w:val="0077CC"/>
            <w:sz w:val="20"/>
            <w:u w:val="single"/>
            <w:shd w:val="clear" w:color="auto" w:fill="FFFFFF"/>
            <w:lang w:val="en-US" w:eastAsia="en-US" w:bidi="ar-SA"/>
          </w:rPr>
          <w:t>[2000] 2 S.C.R. 443</w:t>
        </w:r>
      </w:hyperlink>
      <w:r>
        <w:rPr>
          <w:rFonts w:ascii="arial" w:eastAsia="arial" w:hAnsi="arial" w:cs="arial"/>
          <w:color w:val="000000"/>
          <w:sz w:val="20"/>
          <w:lang w:val="en-US" w:eastAsia="en-US" w:bidi="ar-SA"/>
        </w:rPr>
        <w:t xml:space="preserve"> (S.C.C.).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Writing for the Court, in </w:t>
      </w:r>
      <w:r>
        <w:rPr>
          <w:rFonts w:ascii="arial" w:eastAsia="arial" w:hAnsi="arial" w:cs="arial"/>
          <w:i/>
          <w:color w:val="000000"/>
          <w:sz w:val="20"/>
          <w:lang w:val="en-US" w:eastAsia="en-US" w:bidi="ar-SA"/>
        </w:rPr>
        <w:t>Fontaine v. British-Columbia (Official Administrator)</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Major J. expressed a similar point at para. 27 of his reasons: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would appear that the law would be better served if the maxim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Both of the passages quoted above have application here. Mr. Forestieri had the legal burden of proof from beginning to end, but once he demonstrated that John Doe was unregistered to play for FDU in 2011, Ms. Hernandez and FDU would have needed to present their own evidence toward disproving John Doe's ignorance of the League Rules before I would find that Mr. Forestieri failed to satisfy the burden which was upon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 have found that Ms. Hernandez and FDU owed a duty to Mr. Forestieri, which they breached. The breaches by Ms. Hernandez and FDU resulted in John Doe playing on February 6, 2011, while probably not knowing of the prohibition against slide tackles. On the balance of probabilities, those breaches resulted in John Doe slide tackling Mr. Forestieri and causing him the knee injury he suffered that day.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therefore find that Ms. Hernandez and FDU are liable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injury suffered by Mr. Forestieri.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I want to thank both counsel for their helpful submissions.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Forestieri is entitled to his costs, on the ordinary scale.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 MACINTOSH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0" style="position:absolute;z-index:25184358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44"/>
          <w:headerReference w:type="default" r:id="rId945"/>
          <w:footerReference w:type="even" r:id="rId946"/>
          <w:footerReference w:type="default" r:id="rId947"/>
          <w:headerReference w:type="first" r:id="rId948"/>
          <w:footerReference w:type="first" r:id="rId94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50" w:history="1">
        <w:r>
          <w:rPr>
            <w:rFonts w:ascii="arial" w:eastAsia="arial" w:hAnsi="arial" w:cs="arial"/>
            <w:b/>
            <w:bCs/>
            <w:i/>
            <w:color w:val="0077CC"/>
            <w:kern w:val="32"/>
            <w:sz w:val="28"/>
            <w:szCs w:val="32"/>
            <w:u w:val="single"/>
            <w:shd w:val="clear" w:color="auto" w:fill="FFFFFF"/>
            <w:lang w:val="en-US" w:eastAsia="en-US" w:bidi="ar-SA"/>
          </w:rPr>
          <w:t>Gunderson v. Jackson, [2005] B.C.J. No. 1862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Quesnel,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Chamberlist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9 and 10,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19, 2005.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Quesnel Registry No. 11377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[2005] B.C.J. No. 1862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BCSC 1204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22 M.V.R. (5th) 23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142 A.C.W.S. (3d) 204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2005 CarswellBC 1968</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Dean Charles Gunderson, plaintiff, and Thomas Roger Jackson and Leatherwood Log Homes Ltd.,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(52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1" style="position:absolute;z-index:2516910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09" w:name="Keywords_31"/>
      <w:bookmarkEnd w:id="209"/>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Duty of care — Motor vehicles — Vehicle equipment — Standard of care.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0" w:name="Case Summary_30"/>
            <w:bookmarkEnd w:id="21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Gunderson for damages arising from a motor vehicle accident. At issue was liability. A truck operated by the defendant Jackson and owned by the defendant Log Homes lost two wheels. One of the wheels hit Gunderson's vehicle. Expert evidence concluded that the nuts on the wheels of the Jackson vehicle loosened and fell off. There was no evidence that the appropriate tightness or torque of the wheels was ever obtained. Jackson claimed that he took all appropriate precautions and that the accident was inevitable.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1" w:name="Holdings of Court_27"/>
            <w:bookmarkEnd w:id="211"/>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defendants were liable. Jackson was negligent by not ensuring the wheel nuts on the rear residual wheels were tightened to the specifications required.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accident. The court accepted the expert evidence that the wheels from the Jackson vehicle separated because the nuts loosened and fell off. The court also accepted the evidence that tightening without measuring the torque could render the nuts too tight or too loose. Jackson did not establish that he followed the owner's manual in ensuring properly tightening of the wheel nuts by merely testifying to having his tires and wheels regularly checked by a tire store. Jackson knew that the store used an air torque wrench to tighten the wheel nuts. Based on other defence evidence, air torque wrenches were unreliable. The court also accepted evidence that a distinctive sound emanated from the truck before the wheels came off. With reasonable diligence Jackson would have detected the ominous sound from the rear of the truck. Jackson could then have taken appropriate evasive action before the wheels separated from his vehicle.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2" w:name="Counsel_31"/>
      <w:bookmarkEnd w:id="21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82" style="position:absolute;z-index:25174220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B.K.P. Chudiak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S.J. Oliver</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13" w:name="Judgment_31"/>
      <w:bookmarkEnd w:id="213"/>
      <w:r>
        <w:pict>
          <v:line id="_x0000_s1183" style="position:absolute;z-index:25179340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14" w:name="CHAMBERLIST J."/>
            <w:bookmarkEnd w:id="214"/>
            <w:r>
              <w:rPr>
                <w:rFonts w:ascii="arial" w:eastAsia="arial" w:hAnsi="arial" w:cs="arial"/>
                <w:b/>
                <w:color w:val="000000"/>
                <w:sz w:val="30"/>
                <w:lang w:val="en-US" w:eastAsia="en-US" w:bidi="ar-SA"/>
              </w:rPr>
              <w:t>CHAMBERLIST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these proceedings the court is asked only to determine the issue of liability arising out of the plaintiff's vehicle colliding with a wheel that separated from the defendant Leatherwood Log Homes Ltd.'s truck operated by the defendant Thomas Roger Jackson, on October 19, 2001, east of Quesnel, B.C., on the Barkerville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parties have asked that I not decide the issue of quantum and no evidence was led with respect to that 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October 19, 2001, the plaintiff, Dean Charles Gunderson, was driving his 2002 GMC Sierra pickup truck easterly on the Barkerville Highway towards the Troll Ski Resort to attend a funeral at the resort. Approximately one kilometre from the ski hill the GMC one ton flat deck truck owned by the corporate defendant and driven by the defendant Jackson came into Gunderson's view. Gunderson noticed something fall from the back of the flat deck and thereafter noticed two wheels coming towards him at a high rate of speed. One of the wheels hit his vehicle; Gunderson braked and proceeded to the side of the highway. The defendant's truck went past him and he noted that the back of the flat deck had dropped to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That portion of the Barkerville Highway had recently been resurfaced with new asphalt and, according to Gunderson, was absolutely smooth, save and except for the scar left by the left side of the defendant's truck which was, at that point, without rear left wheels. There is no issue with the plaintiff having any opportunity to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wheel that hit the plaintiff's vehicle bounced onto his hood and over the top of his truck. He described the two wheels coming at him with one of the wheels being some 50 feet ahead of the other but that only one hit his truck. Attempts were made by the plaintiff and his friends later that day, and a few days later, to locate the wheels but they were not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Ronald Scott Callis, another attendee at the funeral, was present at the Troll Resort when the defendant's motor vehicle passed on the highway. He was standing by the entrance to the Resort, which is approximately 300 feet from the highway. From his vantage point, being located at an elevated portion of the parking lot overlooking the highway, he had a clear view of the highway. He was standing and chatting with a friend, Gordon Duke Gunderson, when, according to him, he commented to his friend about a silver flat deck carrying all terrain vehicles. He described how he heard the flat deck before he observed it and heard what he described as a whirring sound or a clickity-clack sound. He recalled commenting on it; words to the effect that it sounded like something was going to come apart. He estimated its speed to be 70 to 80 kph. He recalled the Gunderson vehicle being towed into the resort parking lot approximately 20 minutes later.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Under cross-examination Callis expressed the opinion that the sound was more like a tire noise or a whomp, whomp-whomp, with a clickity-clack at intervals. Under further cross-examination he indicated that the sound was like a tire separating, which he termed a distinctive noise when the tire separates together with a mechanical sound. He again testified that he remembered commenting that "something was going to come apart".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Callis described his vantage point of the highway being such that he was able to observe a long straight stretch directly in front of the Resort, which he estimated to be approximately 1 1/2 kilometres and that from his recollection he had a view of the vehicle for 1 to 1 1/2 minutes and heard the vehicle coming and heard the vehicle going past the Resort, making noise the whole time. He was adamant that it was the sound of the vehicle that brought it to his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Gordon Duke Gunderson was also present at the same locale. He also could hear noise that got louder and louder as a vehicle approached. He described it as a distinctive noise and he observed the flat deck truck approach the Resort and pass by. He described the noise as being an audible "woo-woo-woo". He described the vehicle as a flat deck Chev pickup, light in colour, with dual wheels and having all terrain vehicles in the back. He estimated that he observed the flat deck for perhaps 5 to 7 seconds but that he was able to hear it prior to seeing it. He estimated that he heard the sound he described for some 12 seconds. He also described being able to hear the engine noise of the flat deck, but stated that the other noise he heard was distinctive and felt it was a tire noise. He recollected saying to Callis, who was near him, "that truck doesn't sound like it's going to make it further down the road", or words to that effect.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Mark Bailey, MASc., P. Eng., of MacInnis Engineering Associates Ltd., prepared an expert report, dated September 20, 2004, related to this incident. The report was primarily objected to by the defence on the basis of relevance and necessity. The defence also objected to the report on the basis of the expertise of Mr. Bailey with reference to wheel separation. His report was also objected to on the basis that Mr. Bailey's background was primarily in accident reconstruction rather than metal fatigue. Mr. Bailey testified that a level 3 or level 4 university student would be able to opine on the effects of over-tightening and under-tightening of nuts and bolts. He explained how over-tightening a bolt can lead to the failure of the nut and bolt system in that over-tightening can create distortion in the nuts because the threads are no longer round and do not seat properly. This over-tightening, he opined, can cause a nut to come off. I found Mr. Bailey to be qualified to give expert opinion, but reserved my decision on the admissibility of the whole of his report. I will deal with that issue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Bailey's report starts with a background of the accident and then describes his inspection of the vehicle on June 23, 2004, almost three years after the accident. He describes utilizing a torque wrench with 150 lb. capacity to undo each of the eight nuts located on the front and rear wheels. He was unable to undo any of the nuts. He then described applying considerable effort, utilizing the stock wrench supplied with the vehicle to finally undo the rear left nuts. He described how he was then able to remove seven of eight nuts with the stock wrench. He described each of the removed nuts and the then-exposed stud holes and studs having damage from over-tightening. He described a wear pattern beginning at the nose of the taper being caused by the nuts having been torqued so hard that they began to drill their way through the wheel walls. He described instructions contained with the jack that came with the vehicle having this notation on it: "as soon as possible tighten wheel nuts with a torque wrench to specification shown in owner's manual" after changing the wheel. He also described the 1990 maintenance guide contained in the vehicle which provided "for dual wheels, whenever the vehicle, wheels, or fasteners are new, have the wheel fastener torque set at the first 100, 1000 and 6000 miles (160, 1600 and 10000 km)". He also included an excerpt from the owner's manual which indicated the correct wheel nut torque for the dual wheels being 140 foot/pounds and set out this extract from the owner's manual:</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Improperly tightened wheel nuts could eventually allow the wheel to come off while the vehicle is moving, possibly causing loss of control, and personal injury and property damage. As soon as possible after installing a new wheel, have a technician tighten the wheel nuts with a torque wrench to the torque specified in "Specifications" Section 6. In addition, for vehicles with dual wheels, when the vehicle wheels or fasteners are new, also have the torque set at the first 100, 1000 and 6000 miles (160, 1600 and 9600 kilometres). This is necessary because the clamping system used on this type of wheel must seat before the fasteners will hold a uniform clamp load and remain fully tightened.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Bailey then proceeded with his analysis utilizing a number of Kal Tire invoices; the first of which was dated July 31, 2001 and the balance from October 19, 2001 to December 10, 2002.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October 19, 2001, invoice was from Kal Tire in Quesnel and related to the replacement wheel rims and tires which were installed by them immediately after the accident in question. I will deal with the evidence of Michael George Meester, the Kal Tire serviceman who attended at the site later in these reasons. Suffice it to say, Mr. Bailey inferred from the October 19, 2001, purchase order that as only seven nuts were purchased, that purchase was consistent with there being one broken stud on the left rear wheel of the defendant's vehicle. Mr. Bailey found support for that inference in that 12 days later a single stud and nut were purchased from the Kal Tire store in Enderby. Mr. Bailey concluded that as there were still some intact studs, the wheel separated by coming off of those studs and "the sequences that all the nuts came off, followed by the dual wheels". He also opined that it was possible that there were only seven studs before the accident or that one stud broke during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Bailey then went on to reference from the invoices that on October 29 and 31, 2001, sometime after the accident in question, new wheels and fasteners were installed.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He also excerpted portions of Mr. Jackson's responses to interrogatories which indicated that he did not check the torque of his wheels at certain mileage intervals and only used the wrench included with the vehicle rather than a torque wrench. Bailey then went on to reference the fact that when he examined the vehicle on June 23, 2004, he had observed that the wheel nuts on the rear were badly over-torqued and that they were so over-tightened that damage to the nuts, wheels and studs had occurred. He also again referenced his own observations made on June 23,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Thereafter Mr. Bailey concluded as follows:</w:t>
      </w:r>
      <w:r>
        <w:rPr>
          <w:rFonts w:ascii="arial" w:eastAsia="arial" w:hAnsi="arial" w:cs="arial"/>
          <w:sz w:val="20"/>
          <w:lang w:val="en-US" w:eastAsia="en-US" w:bidi="ar-SA"/>
        </w:rPr>
        <w:cr/>
      </w:r>
    </w:p>
    <w:p>
      <w:pPr>
        <w:numPr>
          <w:numId w:val="50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left rear dual wheel separated from the Jackson vehicle because the nuts loosened and fell off;</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 Jackson did not follow procedures contained in the vehicle's owner's manual and on Kal Tire invoices for ensuring the wheel nuts remained properly tightened;</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examined on June 23, 2004, the wheel nuts on the Jackson vehicle were so badly over-tightened (torque set too high) that nuts, wheel and studs were damaged. This damage would not be present if the nut torque had been set at 140 foot/pounds with a torque wrench.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have considered the objections of the defence to the report, being primarily that which occurred after October 19th not being relevant and not necessary to assist the court in determining the issue of liability in this case. I have concluded that the references as to what occurred after the date of the accident and what was observed by Mr. Bailey some three years after the accident should be excised from his report on the basis that their prejudicial value greatly outweighs the probative value. It would be highly speculative to assume that the condition of the wheels and studs as observed some three years after the accident were indicative of the condition on the relevant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What is helpful to the court and relevant to a determination of the issues between the parties in this litigation is, however, the opinion of Mr. Bailey that: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Over-tightening is not a remedy to under-tightening. The stud/wheel/nut system is designed to function at a certain torque. Setting the proper torque with a torque wrench at specified intervals ensures the nuts do not loosen and fall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found it helpful in Mr. Bailey's evidence that over-tightening of a nut past its recommended torque can result in distortion of the nut and stud configuration to such an extent that loosening of the studs can take place. This is consistent with the reference to improperly tightened wheels in the owner's manual. This is a phenomenon not within the everyday grasp of the ordinary man, which would include trial judges. Mr. Bailey's conclusion that the left rear dual wheel separated from the defendant's vehicle because the nuts loosened and fell off cannot be questioned. That is a matter of common sense. Likewise I accept his conclusion that tightening without measuring the torque can render the nuts too tight or too loose and that if they are too tight the nut/stud/wheel system can become deformed or otherwise damaged and the clamping force provided by the wheel nuts cannot be maintained because of the damage. Likewise I accept his evidence that if the nuts are too loose they will never develop the proper clamping force and his opinion "developing and maintaining the proper clamping force is done by tightening to the recommended torque and checking the torque at the recommended intervals".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must however reject his conclusion that "Mr. Jackson did not follow procedures contained in the vehicle owner's manual and on Kal Tire invoices for ensuring the wheel nuts remained properly tightened". Mr. Bailey, to some extent, relied on the literature included with the vehicle (owner's manual, maintenance manual and tire change instructions), which he identified in his report, which required an owner to re-torque wheels at 100, 600 and 6000 miles to 140 pounds. Under cross-examination he agreed that that only applied to "new wheels or fasteners". That is not a factor that was involved in this accident. As such, I find that his opinion may have been influenced by this misapprehension of the instructions in the manual. I would therefore not place weight on his conclusions 2 and 3 as they are predicated on evidence not established at trial and, in the case of conclusion number 3, on highly speculative and overly prejudicial conclusions.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defence called as its first witness Michael George Meester, who was, at the material time, employed by Kal Tire in Quesnel, as a sales and service tire technician. On October 19th he attended with a service truck at the defendant's truck and installed new wheels and tires. He thereafter followed the defendant back to the Quesnel shop where he re-checked all of the defendant's wheels and he re-torqued all of the new wheels he had installed for the defendants. He could not recall any other loose nuts. He gave evidence of once having experienced a situation where nuts had been over-tightened with the results that the studs had stretched causing the threads on the studs to start pulling off.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Under cross-examination Mr. Meester agreed that he had not had a torque wrench with him when he installed the new rear wheels on the defendant's truck, although he had an air torque wrench on his service truck. He testified that an air torque wrench is not accurate for measuring torque and that only a hand torque wrench is accurate to check the proper torque on nuts. He recalled that when he tried the torque wrench, which he had adjusted to approximately 140 pounds pressure on the other nuts of the other wheels on the truck, the nuts did not move.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It does not appear that when he checked the remaining wheels on the truck that he ensured their torque was as stipulated but merely checked to make sure they were not loose. Mr. Meester agreed under cross-examination that to accurately check for the appropriate torque on a wheel nut it would be necessary to first loosen the nut and then re-tighten it and thereafter check to ascertain if the torque is correct. He agreed that if the nut is too tight it is impossible to tell if it is over-torqued. He also agreed that when using an air torque wrench to tighten a wheel nut there is no calibration and therefore it is impossible to tell if the nut is over-tightened. He also testified to having no knowledge of the operations of the Enderby Kal Tire shop.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After Mr. Meester had given his evidence the defendant Thomas Roger Jackson testified. He provided a history of his company's one-half ton flat deck truck. He had acquired it as a used vehicle. Since 1991 when it was approximately one year old, he had had maintenance work done on it at Tony's Tire Service Ltd. in Enderby, B.C., another Kal Tire outlet. He testified to not changing his all-season tires at specific kilometrage but that he would do visual inspections and relied on "Tony's" whom he regularly dealt with. He indicated that he would regularly check the wheel nuts and always took his truck back to have the wheels re-torqued after having tires changed. He had not replaced the wheel rims over the ten years that he owned it. He described how he would instruct Kal Tire ("Tony's") if he did not replace all six tires at one time to place the front tires on the back and the new tires on the front. Likewise, he did not do tire rotations himself but relied on "Tony's". He testified to not being aware of any special attention required for dual wheels but did indicate over the ten year period he had the truck he had, on one occasion after having the tires changed, checked the nuts with a wrench and having found them loose returned the truck to the tire vendor. That occurred in 1993 and it was determined that the tires were incompatible with the truck. He had had no similar difficulties after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Mr. Jackson recalled the work that he had had done in July of 2001 when he had purchased two new tires which were, on his instructions, placed on the front with the existing front tires placed on the back by the personnel at "Tony's". He recalled driving the truck home, going for a drive and then having to re-tighten the nuts by hand utilizing the stock wrench. Thereafter, within a few days, he took the truck back to Kal Tire where they re-torqued the wheels.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Under cross-examination Mr. Jackson testified that when he took the truck back after those few days he could not recall what they did but that he stood there while they did it, stating "their job to torque those wheels". It is somewhat noteworthy that at his examination for discovery, held April 29, 2004, at Kamloops, B.C., he answered relative to that second visit two days after the new tires were installed,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1359"/>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133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221 Q</w:t>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Okay. And prior to the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342"/>
        <w:gridCol w:w="516"/>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331"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51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They would have - they would have - I would have tightened them and then had them check them with an </w:t>
            </w:r>
            <w:r>
              <w:rPr>
                <w:rFonts w:ascii="arial" w:eastAsia="arial" w:hAnsi="arial" w:cs="arial"/>
                <w:color w:val="000000"/>
                <w:sz w:val="18"/>
                <w:u w:val="single"/>
                <w:lang w:val="en-US" w:eastAsia="en-US" w:bidi="ar-SA"/>
              </w:rPr>
              <w:t>air torque wrench</w:t>
            </w:r>
            <w:r>
              <w:rPr>
                <w:rFonts w:ascii="arial" w:eastAsia="arial" w:hAnsi="arial" w:cs="arial"/>
                <w:color w:val="000000"/>
                <w:sz w:val="18"/>
                <w:lang w:val="en-US" w:eastAsia="en-US" w:bidi="ar-SA"/>
              </w:rPr>
              <w: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7946"/>
        <w:gridCol w:w="251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778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2458"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Jackson then described his hunting trip which took him to the area east of the accident and how before leaving from his home at Mara Lake, B.C., he proceeded to check the wheel nuts utilizing the stock wrench from his truck. He testified that all the nuts were fine in that he did not have to move any of them. He described how after leaving their hunting camp he proceeded westerly on the Barkerville Highway without any difficulty until his left dual wheels came off while he was heading west of the Troll Ski Hill. He described having felt nothing wrong with the truck until he heard a bang and the left rear of his truck fell to the pavement.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Jackson testified to not hearing any noise and described his vehicle as being one that echoes quite a bit due to a three inch flow master exhaust but that it is quiet in his cab. He described his tires as having a certain hum due to the deck being only some four inches above the tires.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Upon exiting his vehicle after he brought it to a stop he observed the bottom brake drum had flattened off and that one stud was missing. He and the attending police officer also looked for the missing wheels but none were found. He was unable to say when the stud had broken off the left rear assembly although he had performed a walk-around when he had left camp and determined that everything appeared in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Against this background the defendants submit that appropriate precautions and an appropriate maintenance protocol had been followed by the defendants and that there cannot be any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would attach liability to either of them. In essence the defendants submit that this was an inevitable accident that occurred without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either of the defendants and that the plaintiff's claim should therefore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plaintiff submits that the evidence is clear that the wheel nuts on the remaining wheel studs were all too tight when Meester checked them for tightness after the accident and back at the Quesnel Kal Tire Store on the day of the accident because by his evidence he could not tighten them with the torque wrench set at 145 lbs. torque, thus indicating a torque in excess of the required 140 lbs. The plaintiff submits that it does not appear that Jackson advised the Enderby Kal Tire Store (Tony's) when he took the truck back to have the wheel nuts re-torqued after the tires were changed in July that he was required to re-tighten all the nuts in the field, thus possibly indicating a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Although no witness gave evidence from the Enderby Kal Tire Store, Mr. Jackson, in his discovery evidence, referred to them checking the wheels with "an air torque wrench". Yet under cross-examination he stated that he could not recall what they did although he stood there while they did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Meester, called by the defence, had testified prior to Mr. Jackson testifying, that air torque wrenches were not reliable when it came to applying the appropriate torque to a wheel nut.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have concluded that Mr. Jackson tailored his evidence with respect to the type of torque utensil used by the Enderby Kal Tire Shop after he heard Mr. Meester's evidence as to the unreliability of an air torque wrench.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Jackson himself never knew the required torque for the wheel nuts on his truck. It appears that technicians he relied on at Kal Tire in Enderby did not use the appropriate torque utensil to accurately check the torque of the nuts when he took it back within two days to recheck the torque, and as I have stated, there is no evidence that he advised them of him having to tighten the nuts in the field within two days of their installation in July 2001.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it cannot be said that the defendant has established that he followed the owner's manual in ensuring proper tightening of the wheel nuts by merely testifying to having his tires and wheels regularly checked by the Kal Tire Store in Enderby without more. His evidence at discovery was that they used an air torque wrench to tighten the wheel nuts. His own witness, Mr. Meester, testified as to the unreliability of air torque wrenches and that the only reliable utensil is a hand torque wrench.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expertise of the Kal Tire Stores has not been established. In fact, the evidence of Mr. Jackson is that the Enderby Kal Tire Store advised him that he had been sold inappropriate replacement wheels by the Quesnel Kal Tire Store and the Enderby Store was instrumental in having him credited for the wrong wheels which had been supplied and installed in Quesnel.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Lastly, the evidence of the two independent witnesses demonstrate that they were aware of a possible problem with the defendant's wheels which they both identified at a distance of some 300 feet from the highway and several seconds before the truck came into their view. While Mr. Jackson testified to his truck having "a certain hum" because of there only being some four inches clearance above the tires to the flat deck, that explanation does not fit with the audible description given by both Mr. Callis and Mr. Gunderson. Their description did not included a "hum"; rather they referred to it as a "woo-woo-woo" or a "clickity-clack". Why Mr. Jackson did not hear this distinctive sound is not adequately explained by him, but I am of the view that it ought to have been heard by him as it was so noticeable some 300 feet away.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 have concluded that reasonable diligence would have detected what I have concluded was an ominous sound emanating from the rear of the defendant's truck and that appropriate action on the part of Mr. Jackson over the twelve to fifteen seconds the sound was audible over 300 feet from the highway would have allowed him to take appropriate evasive action before the wheel separated from his vehicle. In not appreciating the foreign sound, which I find was not a hum as indicated by Mr. Jackson, Mr. Jackson failed to appreciate the possibility of a mechanical malfunction which could signal a mechanical defect with his vehicle which could cause damage to other users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 am satisfied on a balance of probabilities that Mr. Jackson and the corporate defendant, by not ensuring the wheel nuts on the left rear dual wheels were tightened to the specifications required caused the accident in question. These omissions render the corporate defendant and Mr. Jackson in breach of their duty of reasonable care for other users of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coming to this conclusion I have considered, in particular, the decision of our Court of Appeal in Phillips v. Lyle, </w:t>
      </w:r>
      <w:hyperlink r:id="rId951" w:history="1">
        <w:r>
          <w:rPr>
            <w:rFonts w:ascii="arial" w:eastAsia="arial" w:hAnsi="arial" w:cs="arial"/>
            <w:i/>
            <w:color w:val="0077CC"/>
            <w:sz w:val="20"/>
            <w:u w:val="single"/>
            <w:shd w:val="clear" w:color="auto" w:fill="FFFFFF"/>
            <w:lang w:val="en-US" w:eastAsia="en-US" w:bidi="ar-SA"/>
          </w:rPr>
          <w:t>[1990] B.C.J. No. 212</w:t>
        </w:r>
      </w:hyperlink>
      <w:r>
        <w:rPr>
          <w:rFonts w:ascii="arial" w:eastAsia="arial" w:hAnsi="arial" w:cs="arial"/>
          <w:color w:val="000000"/>
          <w:sz w:val="20"/>
          <w:lang w:val="en-US" w:eastAsia="en-US" w:bidi="ar-SA"/>
        </w:rPr>
        <w:t xml:space="preserve">, January 19, 1990, B.C.C.A. No. V00854, Victoria Registry, and this court's decision in Clifton v. Anderson, Vancouver Registry No. C842160, </w:t>
      </w:r>
      <w:hyperlink r:id="rId952" w:history="1">
        <w:r>
          <w:rPr>
            <w:rFonts w:ascii="arial" w:eastAsia="arial" w:hAnsi="arial" w:cs="arial"/>
            <w:i/>
            <w:color w:val="0077CC"/>
            <w:sz w:val="20"/>
            <w:u w:val="single"/>
            <w:shd w:val="clear" w:color="auto" w:fill="FFFFFF"/>
            <w:lang w:val="en-US" w:eastAsia="en-US" w:bidi="ar-SA"/>
          </w:rPr>
          <w:t>[1986] B.C.J. No. 1743</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Phillips v. Lyle, supra, the Court of Appeal quoted extensively from the decision of the trial judge, Southin J. (as she then was). In her reasons, at para. 13, Southin J. said: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not the law that somebody must be found negligent whenever there is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Court of Appeal then went on to quote, with approval, Southin J. when she said, at para. 54:</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clear from Gauthier v. The King, </w:t>
      </w:r>
      <w:hyperlink r:id="rId953" w:history="1">
        <w:r>
          <w:rPr>
            <w:rFonts w:ascii="arial" w:eastAsia="arial" w:hAnsi="arial" w:cs="arial"/>
            <w:i/>
            <w:color w:val="0077CC"/>
            <w:sz w:val="20"/>
            <w:u w:val="single"/>
            <w:shd w:val="clear" w:color="auto" w:fill="FFFFFF"/>
            <w:lang w:val="en-US" w:eastAsia="en-US" w:bidi="ar-SA"/>
          </w:rPr>
          <w:t>[1945] S.C.R. 143</w:t>
        </w:r>
      </w:hyperlink>
      <w:r>
        <w:rPr>
          <w:rFonts w:ascii="arial" w:eastAsia="arial" w:hAnsi="arial" w:cs="arial"/>
          <w:color w:val="000000"/>
          <w:sz w:val="20"/>
          <w:lang w:val="en-US" w:eastAsia="en-US" w:bidi="ar-SA"/>
        </w:rPr>
        <w:t xml:space="preserve">, and the cases reviewed by Mr. Justice Kellock in his judgment that in the circumstances which existed here, in order to escape liability on the defendant Lyle there would have to be a body of evidence which would furnish an explanation of how the accident could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 . . .</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Broadly speaking, in such cases, where the defendant produces an explanation equally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burden of establishing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still remains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Court of Appeal, in Lyle, agreed with the learned trial judge that the evidence in that case, taken in its entirety, provided a reasonable explanation of how the collision could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the case at bar, there is, I find, simply no body of evidence to provide a reasonable explanation of how the two rear wheels of the flat deck truck could have come loose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defendants. The wheels are intended to be tightened to a specified torque. There is no evidence that they were ever tightened to the required torque. All there is is some evidence of the defendants utilizing a tire shop in Enderby, B.C., to re-torque the wheels in July 2001, some months before the accident. No direct evidence was provided by them as to whether they adhered to the vehicle manufacturer's specification for tightness of the wheel nuts.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fact, the evidence of the plaintiff at discovery was that they used a device which Mr. Meester said was not reliable for obtaining accurate calibration of torque. I find the evidence of a regular maintenance regime given by Mr. Jackson is not a sufficient body of evidence from which I can infer an explanation consistent with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with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owner's manual and the invoices from Kal Tire demonstrate the importance of proper torquing of the wheel nuts. The clamping powers of the design of the stud/nut device are, according to Mr. Bailey, only achieved when the appropriate torque has been applied. I believe I can take judicial notice of the fact that there are tens of thousands of dual wheeled vehicles on the Queen's highways in Canada at any given time. One's expectation as a fellow user of a highway is that the owners of dual wheeled vehicles will take appropriate steps to ensure that the manufacturer's specifications and instructions are followed to ensure that the clamping properties of the wheel nut and stud device are maximized. Wheels should not be approaching one's vehicle on the highway unattached to a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Clifton v. Anderson, supra, Taylor J. (as he then was) had occasion to deal with a similar circumstance as the one here. In that case, the defendant Anderson's vehicle lost a rear wheel on the highway, causing a "pileup" on the Upper Levels Highway in West Vancouver. Anderson had been working on his car and had removed the rear wheel and testified to having secured the nuts. He also testified that he was satisfied that they were properly tightened. The wheel suddenly came off after he had driven only 30 miles. At p. 2 of the Quicklaw report, Taylor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Anderson car was impounded by the police. It had been crushed at a wrecking yard before Mr. Anderson got back to town again. If either of the insurers involved ever took the trouble to have anyone look at Mr. Anderson's vehicle, or at the wheel, they have chosen not to disclose what was found.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Mr. Anderson's testimony that he is satisfied the wheel was properly secured before he started his journey is uncontradicted and unchallenged.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Counsel declined an invitation to question Mr. Anderson as to why he did not examine his car when he had an opportunity to do so for two hours after the accident and I must presume they thought the answer would not help them. No evidence was called with respect to the result of the police examination of the vehicle, nor was the tow truck driver who removed the vehicle called. No evidence was called to establish that a wheel will not come loose from a car of this sort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person who last put it on. Had that been true, I feel sure such evidence could easily have been called.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 am asked to reject Mr. Anderson's unchallenged evidence and to draw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him simply from the fact that the wheel came loose only 30 or so miles from the place where he last put it 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 evidentiary basis has been laid on which the plea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could succeed. There is no evidence that a wheel will not come loose from such a vehicle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person having control of the vehicle, and there is, in any event, the unchallenged and uncontradicted evidence of Mr. Anderson that he put the wheel back on carefully.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To find Mr. Anderson responsible for this accident I would have to give effect to uninformed - and probably unjustified - suspicion, rather than his unchallenged evidence. This I decline to do.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In the case at bar there are glaring differences in the evidence established here -</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Firstly, there is evidence that the maximum clamping properties of the wheel nut/stud will be obtained only when the appropriate tightness or torque has been achieved;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no evidence that the appropriate tightness or torque was ever obtained;</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evidence from Mr. Blake that over-tightening and under-tightening can lead to the loosening of the wheel nuts and studs and the resultant separation of the wheels from the vehicle;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Anderson's evidence (Clifton v. Anderson) of him having put the wheel back on carefully was unchallenged and uncontradicted, the same cannot be said of Mr. Jackson's evidence. I have already referred to his evidence given on discovery that a device termed unreliable by his own witness, namely a torque air wrench, was used at "Tony's" while at trial he could not recall exactly what was done and no direct evidence was led by any representative of "Tony's". In my view, one cannot say the appropriate degree of affixation was accomplished.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These key evidentiary differences distinguish the case at bar from the decision of this court in Clifton v. Anderson.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 would conclude my decision in this action by quoting, with approval, this extract from Shallow v. Town of Fort Nelson and Radford, </w:t>
      </w:r>
      <w:hyperlink r:id="rId954" w:history="1">
        <w:r>
          <w:rPr>
            <w:rFonts w:ascii="arial" w:eastAsia="arial" w:hAnsi="arial" w:cs="arial"/>
            <w:i/>
            <w:color w:val="0077CC"/>
            <w:sz w:val="20"/>
            <w:u w:val="single"/>
            <w:shd w:val="clear" w:color="auto" w:fill="FFFFFF"/>
            <w:lang w:val="en-US" w:eastAsia="en-US" w:bidi="ar-SA"/>
          </w:rPr>
          <w:t>[1995] B.C.J. No. 416</w:t>
        </w:r>
      </w:hyperlink>
      <w:r>
        <w:rPr>
          <w:rFonts w:ascii="arial" w:eastAsia="arial" w:hAnsi="arial" w:cs="arial"/>
          <w:color w:val="000000"/>
          <w:sz w:val="20"/>
          <w:lang w:val="en-US" w:eastAsia="en-US" w:bidi="ar-SA"/>
        </w:rPr>
        <w:t>, No. B902897 Vancouver Registry, March 3, 1995, where Saunders J. (as she then was) said this at para. 30: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often difficult to determine the cause of an accident. The law does not require the plaintiff to establish his case to a certainty. Rather it only requires the plaintiff to establish, on the evidence accepted by the court, that the assertion advanced by the plaintiff is more probable than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this case I am satisfied that the defendants failed to ensure that the maximum clamping strength of the wheel nut/stud assembly of the left rear dual wheel assembly was obtained and that in failing to do so they breached their duty of care to other users of the highway. Further, I find that the defendant Jackson ought to have known from reading the manuals that the possibility of a wheel coming loose existed if the appropriate tightness or torque was not achieved. I also find that Mr. Jackson ought to have heard the warning sounds heard by the bystanders some 300 feet away and could have by ordinary due diligence been able to take evasive action that could have resulted in the damage to the plaintiff's vehicle being avoided.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In conclusion I find for the plaintiff on the issue of liability for the damage to his vehicle. Unless the parties otherwise wish to speak to the issue of costs, the plaintiff shall have his costs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CHAMBERLIST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4" style="position:absolute;z-index:25184460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55"/>
          <w:headerReference w:type="default" r:id="rId956"/>
          <w:footerReference w:type="even" r:id="rId957"/>
          <w:footerReference w:type="default" r:id="rId958"/>
          <w:headerReference w:type="first" r:id="rId959"/>
          <w:footerReference w:type="first" r:id="rId9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61" w:history="1">
        <w:r>
          <w:rPr>
            <w:rFonts w:ascii="arial" w:eastAsia="arial" w:hAnsi="arial" w:cs="arial"/>
            <w:b/>
            <w:bCs/>
            <w:i/>
            <w:color w:val="0077CC"/>
            <w:kern w:val="32"/>
            <w:sz w:val="28"/>
            <w:szCs w:val="32"/>
            <w:u w:val="single"/>
            <w:shd w:val="clear" w:color="auto" w:fill="FFFFFF"/>
            <w:lang w:val="en-US" w:eastAsia="en-US" w:bidi="ar-SA"/>
          </w:rPr>
          <w:t>Hardie v. Kamloops Towne Lodge Ltd., [2014] B.C.J. No. 1065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Kamloops,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T.C. Armstrong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May 6,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May 30, 2014.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44474</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Kamloops</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[2014] B.C.J. No. 1065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2014 BCSC 955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Linda Hardie, Plaintiff, and Kamloops Towne Lodge Ltd., Defendant, and Forster Restaurants Kamloops Ltd. and Great Canadian Railtour Company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(77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85" style="position:absolute;z-index:2516920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15" w:name="Keywords_32"/>
      <w:bookmarkEnd w:id="215"/>
      <w:r>
        <w:rPr>
          <w:rFonts w:ascii="arial" w:eastAsia="arial" w:hAnsi="arial" w:cs="arial"/>
          <w:b/>
          <w:color w:val="000000"/>
          <w:sz w:val="20"/>
          <w:lang w:val="en-US" w:eastAsia="en-US" w:bidi="ar-SA"/>
        </w:rPr>
        <w:t xml:space="preserve">Civil litigation — Civil procedure — Applications and motions — Application by defendant for declaration that third party was obliged to defend it in plaintiff's claim for damages for injuries sustained in trip and fall accident allowed — Third party operated food service facilities at defendant's hotel under lease that contained indemnification clause — Plaintiff sustained injuries after falling in restaurant and commenced claim against defendant, which settled — Third party's liability to defend and indemnify defendant was engaged as true nature of plaintiff's claim was based on alleged breach of third party's duty to warn and its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Landlord and tenant law — Commercial tenancies — Tenant's obligations — Application by defendant for declaration that third party was obliged to defend it in plaintiff's claim for damages for injuries sustained in trip and fall accident allowed — Third party operated food service facilities at defendant's hotel under lease that contained indemnification clause — Plaintiff sustained injuries after falling in restaurant and commenced claim against defendant, which settled — Third party's liability to defend and indemnify defendant was engaged as true nature of plaintiff's claim was based on alleged breach of third party's duty to warn and its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16" w:name="Case Summary_31"/>
            <w:bookmarkEnd w:id="21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for a declaration that the third party was obliged to defend it in the plaintiff's action for damages for injuries sustained in a trip and fall accident. The defendant owned a full service hotel. The third party provided food and beverage services in the hotel and managed the food service facilities under a lease agreement. The lease contained an indemnification clause that provided that the third party would indemnify the defendant if it became a party to an action by reason of an act or omission of the third party or for any act occurring at the facilities except for the defendant's wilful or negligent act. In July 2008, the plaintiff was attending a dinner theatre at the facilities at the hotel. She fell while moving around a buffet table, injuring herself. She commenced an action against the defendant. The defendant filed a third party claim against the third party and against the company that ran the dinner theatre alleging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action had since settled. Although the defendant had repeatedly requested that the third party indemnify it, the third party did not.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17" w:name="Holdings of Court_28"/>
            <w:bookmarkEnd w:id="217"/>
            <w:r>
              <w:rPr>
                <w:rFonts w:ascii="arial" w:eastAsia="arial" w:hAnsi="arial" w:cs="arial"/>
                <w:color w:val="000000"/>
                <w:sz w:val="20"/>
                <w:lang w:val="en-US" w:eastAsia="en-US" w:bidi="ar-SA"/>
              </w:rPr>
              <w:t>HELD: Application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third party's liability to defend and indemnify the defendant was engaged as the true nature of the plaintiff's claim was, in part, based on an alleged breach of the third party's duty to warn and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managing the flow or location of patrons. The plaintiff's pleadings alleged a failure, on the part of the third party, to warn, maintain or direct patrons away from a dangerous area or take other actions that would have prevented the fall.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18" w:name="Legislation Cited_20"/>
      <w:bookmarkEnd w:id="21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86" style="position:absolute;z-index:2517432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Occupiers Liability Act, </w:t>
      </w:r>
      <w:r>
        <w:rPr>
          <w:rFonts w:ascii="arial" w:eastAsia="arial" w:hAnsi="arial" w:cs="arial"/>
          <w:i/>
          <w:color w:val="000000"/>
          <w:sz w:val="20"/>
          <w:lang w:val="en-US" w:eastAsia="en-US" w:bidi="ar-SA"/>
        </w:rPr>
        <w:t>RSBC 1996, CHAPTER 337</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Supreme Court Civil Rules, Rule 9-7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19" w:name="Counsel_32"/>
      <w:bookmarkEnd w:id="219"/>
      <w:r>
        <w:rPr>
          <w:rFonts w:ascii="arial" w:eastAsia="arial" w:hAnsi="arial" w:cs="arial"/>
          <w:b/>
          <w:color w:val="000000"/>
          <w:sz w:val="28"/>
          <w:lang w:val="en-US" w:eastAsia="en-US" w:bidi="ar-SA"/>
        </w:rPr>
        <w:t>Appearances</w:t>
      </w:r>
    </w:p>
    <w:p>
      <w:pPr>
        <w:spacing w:line="60" w:lineRule="exact"/>
        <w:rPr>
          <w:rFonts w:ascii="arial" w:eastAsia="arial" w:hAnsi="arial" w:cs="arial"/>
          <w:sz w:val="20"/>
          <w:lang w:val="en-US" w:eastAsia="en-US" w:bidi="ar-SA"/>
        </w:rPr>
      </w:pPr>
      <w:r>
        <w:pict>
          <v:line id="_x0000_s1187" style="position:absolute;z-index:25179443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No one Appearing.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S.J. Wheeldon.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C. Tham.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INST,PILT,TRRT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0" w:name="Judgment_32"/>
      <w:bookmarkEnd w:id="220"/>
      <w:r>
        <w:pict>
          <v:line id="_x0000_s1188" style="position:absolute;z-index:251845632"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2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1" w:name="T.C. ARMSTRONG J."/>
            <w:bookmarkEnd w:id="221"/>
            <w:r>
              <w:rPr>
                <w:rFonts w:ascii="arial" w:eastAsia="arial" w:hAnsi="arial" w:cs="arial"/>
                <w:b/>
                <w:color w:val="000000"/>
                <w:sz w:val="30"/>
                <w:lang w:val="en-US" w:eastAsia="en-US" w:bidi="ar-SA"/>
              </w:rPr>
              <w:t>T.C. ARMSTRONG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Overview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These reasons for judgment address an application for a declaration that the third party, Forster Restaurants Kamloops Ltd. ("Forster") is obliged to defend the applicant, Kamloops Towne Lodge Ltd. ("Kamloops"), in the plaintiff's damages claim against it. Kamloops seeks indemnity for any damages and costs associated with the claim, including the settlement.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Kamloops owns a full service hotel in Kamloops, BC. Forster provides food and beverage services in the hotel and manages the facilities under a lease agreement with Kamloops ("Lease"), The Lease defines Forster's role related to the restaurant, room service, lounge, banquet and dinner theatre facilities located in the hotel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Lease contains an indemnification and save harmless clause ("the indemnity clause") that protects Kamloops if it becomes a party to any claim or suit, by reason of any act of or omission of Forster or, by any reason of any act occurring on the Facilities except for Kamloops's wilful or negligent act. If the Lease's indemnification clause is triggered, Forster must indemnify Kamloops for defending and/or settling the claim and pay all of its related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On July 31, 2008, the plaintiff fell and injured herself in the Facilities' restaurant area where Forster was providing dinner services. And on June 30, 2010, the plaintiff commenced an action against Kamloops. The matter has since settled.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Despite Kamloops repeatedly requesting Forster to indemnify it, Forster has not.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am granting the application because the Lease's indemnification clause was triggered. Forster must indemnify Kamloops against the settlement, costs and expenses, including solicitors' fees, court costs and other expenses of the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1992, Forster began managing the Facilities restaurant, lounge and banquet facilities under a lease agreement, and it has provided food and beverage vending services in the Facilities since.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On March 23, 2000, the parties agreed to a new agreement that reiterated the management and services terms and the indemnification clause. It allowed Forster to use the premises for theatre entertainment. Some of the Lease's pertinent terms,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are:</w:t>
      </w:r>
      <w:r>
        <w:rPr>
          <w:rFonts w:ascii="arial" w:eastAsia="arial" w:hAnsi="arial" w:cs="arial"/>
          <w:sz w:val="20"/>
          <w:lang w:val="en-US" w:eastAsia="en-US" w:bidi="ar-SA"/>
        </w:rPr>
        <w:cr/>
      </w:r>
    </w:p>
    <w:p>
      <w:pPr>
        <w:numPr>
          <w:numId w:val="50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Forster would have exclusive use of the Facilities to provide food and beverage services within the Facilities during the Lease term;</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Forster would provide management of and supervise the food and beverage services;</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Forster would pay all utilities and pay for maintaining the service elevator;</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Forster would maintain and repair the fixed and mobile equipment in the restaurant, lounge, and banquet facilities;</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Forster would provide all advertising promotions, displays and signage;</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Forster would pay all restaurant, lounge, and banquet facilities' electrical and energy costs, and it would permit Kamloops access to inspect the Facilities at all reasonable times; and,</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Forster would obtain liability insurance of at least $1 million and include Kamloops as a co-insured on all insurance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Kamloops agreed,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 to:</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supply and give Forster exclusive use of the equipment described in appendix "B";</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provide use of the service elevator; and,</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renovate the dinner theater basement, including installing bathrooms/showers and finishing or otherwise decorating the stage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Section 4.1 of the Lease required Forster to maintain a comprehensive general liability insurance coverage naming Kamloops as co-insured. Forster's commercial general liability policy ("CGL Policy") included Kamloops as a co-insured with the following endorsement: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following are added as additional insured but only with respect to liability arising out of the operations of the named insured.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Under the Lease, Forster was entitled to use of the Facilities' dinner theater for a minimum of 120 days at a rent of $30,000 per year; they could use the theatre for more than 120 days for additional daily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2006 Forster made an agreement with the third-party, Great Canadian Railtour Company Ltd. ("Great Canadian") to provide unrestricted access to the dinner theatre in the hotel premises and cater meals to Great Canadian's customers.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On July 31, 2008, the plaintiff was attending a dinner theater at the Facilities operated by the third-party, Great Canadian under the agreement with Forster. Forster had placed a dessert buffet on a table near the elevated tier and the plaintiff fell when negotiating around the table. She suffered injuries, including a fractured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On June 30, 2010, the plaintiff commenced action against the defendant, and on August 11, 2010, she filed an amended Notice of Civil Claim; it includes the following allegations about her July 31, 2008 fall at the Kamloops hotel:</w:t>
      </w:r>
      <w:r>
        <w:rPr>
          <w:rFonts w:ascii="arial" w:eastAsia="arial" w:hAnsi="arial" w:cs="arial"/>
          <w:sz w:val="20"/>
          <w:lang w:val="en-US" w:eastAsia="en-US" w:bidi="ar-SA"/>
        </w:rPr>
        <w:cr/>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At times material hereto the Defendant, Kamloops Towne Lodge Ltd., operates a hotel and convention center at 1250 Rogers Way, in the city of Kamloops, in the Province of British Columbia, commonly called the "Best Western Forster's Convention Center"...</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Defendant was the occupier of the Property. The Property is a "premises" within the meaning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by virtue of the Defendant's physical possession and ownership of the Property.</w:t>
      </w:r>
    </w:p>
    <w:p>
      <w:pPr>
        <w:numPr>
          <w:numId w:val="15"/>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the 31st day of July, 2008, the Plaintiff was a customer and guest at the property when she suffered a fall in one of the meeting rooms luncheon rooms of the Property when she walked around a table after visiting a buffet and fell off the edge of a raised tier. The raised tier was hidden as a result of the same carpeting being used on the upper and lower tier.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6"/>
        </w:numPr>
        <w:tabs>
          <w:tab w:val="clear" w:pos="148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fall was caused solely by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and the Plaintiff pleads the provisions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Particulars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Defendants are as follows:</w:t>
      </w:r>
    </w:p>
    <w:p>
      <w:pPr>
        <w:numPr>
          <w:numId w:val="19"/>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any care, or the alternative, any reasonable care, to ensure that the Plaintiff would be reasonably safe in using the premises, and in particular and walking around the area where the buffet table was set up for guests of the premises owned and operated by the Defendant;</w:t>
      </w:r>
    </w:p>
    <w:p>
      <w:pPr>
        <w:numPr>
          <w:numId w:val="2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exposing the Plaintiff to a risk of damage or injury from failing to clearly mark a change in height on the floor where guests were expected to walk;</w:t>
      </w:r>
    </w:p>
    <w:p>
      <w:pPr>
        <w:numPr>
          <w:numId w:val="21"/>
        </w:numPr>
        <w:tabs>
          <w:tab w:val="clear" w:pos="112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any measure, or in the alternative, any adequate measures, whether by way of examination, inspection, or test or otherwise, to ensure that the premises where the buffet was located were not dangerous to use;</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effect, and adhere to, a reasonable and comprehensive maintenance and safety program including, but not limited to, the inspection of the premises where the buffet was set up to ensure that there was no tripping hazard or risk to guests;</w:t>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take any, or any reasonable care, to ensure the Plaintiff would be reasonably safe from risk of harm when using the premises owned and operated by the Defendant, thereby exposing the Plaintiff to the risk of injury as a result of failing to affix a barrier or clearly marking the split-level on the floor, which the Defendant either knew or ought to of known that posed a potential risk;</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failing to give the Plaintiff any warning, or the alternative, any adequate warning of the dangers conditions of the floors on and around the buffet area where the Plaintiff was walking; and</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failing to discharge the common duty of care to the Plaintiff in breach of the </w:t>
      </w:r>
      <w:r>
        <w:rPr>
          <w:rFonts w:ascii="arial" w:eastAsia="arial" w:hAnsi="arial" w:cs="arial"/>
          <w:i/>
          <w:color w:val="000000"/>
          <w:sz w:val="20"/>
          <w:lang w:val="en-US" w:eastAsia="en-US" w:bidi="ar-SA"/>
        </w:rPr>
        <w:t>Occupiers Liability Act</w:t>
      </w:r>
      <w:r>
        <w:rPr>
          <w:rFonts w:ascii="arial" w:eastAsia="arial" w:hAnsi="arial" w:cs="arial"/>
          <w:color w:val="000000"/>
          <w:sz w:val="20"/>
          <w:lang w:val="en-US" w:eastAsia="en-US" w:bidi="ar-SA"/>
        </w:rPr>
        <w:t>,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Kamloops responded to the amended Notice of Civil Claim and alleged that Forster and/or Great Canadian occupied the premises under its Lease with Forster.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Kamloops also filed third party proceedings against Forster. In Forster's response, it alleges that Kamloops, the plaintiff and Great Canadian were each negligent. Kamloops alleged that Forster and Great Canadian failed to inspect and maintain the premises, to warn the plaintiff of defects/dangers to users of the Facilities, and used the Facilities in an unsafe manner that exposed the plaintiff to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On October 9, 2013, the plaintiff, Forster and Kamloops settled the plaintiff's action for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This r. 9-7 application is for a summary determination of the defendants' claim that Forster pay the costs of investigating the circumstances connected with the action, the legal fees expended for defending the action, and the settlement cost. Kamloops also requests special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Kamloops relies on the indemnity clause in the Lease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858"/>
        <w:gridCol w:w="238"/>
        <w:gridCol w:w="7328"/>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84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14.1</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FRK covenants and agrees that in the event KTL shall become a party to any claim, demand or penalty or become a party to any suit or other judicial or ministry to </w:t>
            </w:r>
            <w:r>
              <w:rPr>
                <w:rFonts w:ascii="arial" w:eastAsia="arial" w:hAnsi="arial" w:cs="arial"/>
                <w:color w:val="000000"/>
                <w:sz w:val="18"/>
                <w:u w:val="single"/>
                <w:lang w:val="en-US" w:eastAsia="en-US" w:bidi="ar-SA"/>
              </w:rPr>
              <w:t>proceeding by reason of any act or omission of FRK, or those for whom FRK is in law responsible hereunder, or by reason of any act occurring on the Facilities save and except the willful or negligent act of KTL, FRK shall indemnify and save KPL harmless</w:t>
            </w:r>
            <w:r>
              <w:rPr>
                <w:rFonts w:ascii="arial" w:eastAsia="arial" w:hAnsi="arial" w:cs="arial"/>
                <w:color w:val="000000"/>
                <w:sz w:val="18"/>
                <w:lang w:val="en-US" w:eastAsia="en-US" w:bidi="ar-SA"/>
              </w:rPr>
              <w:t xml:space="preserve"> against all judgments, settlements, penalties, costs and expenses, including solicitor's fees, court costs and other expenses of litigation or other judicial or administrative proceeding incurred by or imposed upon KTL in connection with the investigation or defence relating to such claim or litigation or administrative proceeding and, at the election of KPL, FRK shall also defend KTL at FRK's sole cost and expense.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added.]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indemnification clause is clear: read in sequence, the clause makes Forster responsible to Kamloops if a claim or suit was made by reason of any one of following: (1) Forster's act or omission; (2) an act or omission by those for whom Forster is legally responsible, or (3) any other acts occurring on the Facilities except if Kamloops willfully or negligently committed the act. If the Lease's indemnification clause is triggered, Forster must indemnify Kamloops for defending and/or settling the claim and pay all of its related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September 2011, Kamloops's counsel requested that Forster assume defence of the plaintiff's claim required under the Lease. Forster disagreed with Kamloops's interpretation of the Lease and declined to defend the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Parties' Submissions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Kamloops argues that proper analysis includes considering the temporal, spatial and legal aspects to the plaintiff's claim as it relates to Forster's operations.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Kamloops contends that Forster had exclusive control over the area where the plaintiff suffered her injury. Forster placed the food on the table and was responsible for directing the patrons' movement in the restaurant. In other words, Forster possessed and exclusively controlled the area around the buffet table when the plaintiff was injured and Forster's act or omission must have caused or contributed to the plaintiff's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Kamloops argued its application, in part on the basis that the plaintiff's claim arose out of Forster's operations at the Facilities and Forster had insured against the specific risk of injuries to guests arising out of its operations. Kamloops contends that these factors should have triggered coverage and the duty to defend under Forster's policy. In addition, the Lease triggered an obligation to defend and indemnify it from the plaintiff's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Kamloops referred to </w:t>
      </w:r>
      <w:r>
        <w:rPr>
          <w:rFonts w:ascii="arial" w:eastAsia="arial" w:hAnsi="arial" w:cs="arial"/>
          <w:i/>
          <w:color w:val="000000"/>
          <w:sz w:val="20"/>
          <w:lang w:val="en-US" w:eastAsia="en-US" w:bidi="ar-SA"/>
        </w:rPr>
        <w:t>Vernon Vipers Hockey Club v. Canadian Recreation Excellence (Vernon) Corporation</w:t>
      </w:r>
      <w:r>
        <w:rPr>
          <w:rFonts w:ascii="arial" w:eastAsia="arial" w:hAnsi="arial" w:cs="arial"/>
          <w:color w:val="000000"/>
          <w:sz w:val="20"/>
          <w:lang w:val="en-US" w:eastAsia="en-US" w:bidi="ar-SA"/>
        </w:rPr>
        <w:t xml:space="preserve">, </w:t>
      </w:r>
      <w:hyperlink r:id="rId962" w:history="1">
        <w:r>
          <w:rPr>
            <w:rFonts w:ascii="arial" w:eastAsia="arial" w:hAnsi="arial" w:cs="arial"/>
            <w:i/>
            <w:color w:val="0077CC"/>
            <w:sz w:val="20"/>
            <w:u w:val="single"/>
            <w:shd w:val="clear" w:color="auto" w:fill="FFFFFF"/>
            <w:lang w:val="en-US" w:eastAsia="en-US" w:bidi="ar-SA"/>
          </w:rPr>
          <w:t>2012 BCCA 291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Vernon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Williams (Guardian ad litem of) v. B.C. Conference of the Mennonite Brethren Churches</w:t>
      </w:r>
      <w:r>
        <w:rPr>
          <w:rFonts w:ascii="arial" w:eastAsia="arial" w:hAnsi="arial" w:cs="arial"/>
          <w:color w:val="000000"/>
          <w:sz w:val="20"/>
          <w:lang w:val="en-US" w:eastAsia="en-US" w:bidi="ar-SA"/>
        </w:rPr>
        <w:t xml:space="preserve">, </w:t>
      </w:r>
      <w:hyperlink r:id="rId963" w:history="1">
        <w:r>
          <w:rPr>
            <w:rFonts w:ascii="arial" w:eastAsia="arial" w:hAnsi="arial" w:cs="arial"/>
            <w:i/>
            <w:color w:val="0077CC"/>
            <w:sz w:val="20"/>
            <w:u w:val="single"/>
            <w:shd w:val="clear" w:color="auto" w:fill="FFFFFF"/>
            <w:lang w:val="en-US" w:eastAsia="en-US" w:bidi="ar-SA"/>
          </w:rPr>
          <w:t>2010 BCSC 791</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Waterloo (City) v. Economical Mutual Insurance Co.</w:t>
      </w:r>
      <w:r>
        <w:rPr>
          <w:rFonts w:ascii="arial" w:eastAsia="arial" w:hAnsi="arial" w:cs="arial"/>
          <w:color w:val="000000"/>
          <w:sz w:val="20"/>
          <w:lang w:val="en-US" w:eastAsia="en-US" w:bidi="ar-SA"/>
        </w:rPr>
        <w:t xml:space="preserve">, </w:t>
      </w:r>
      <w:hyperlink r:id="rId964" w:history="1">
        <w:r>
          <w:rPr>
            <w:rFonts w:ascii="arial" w:eastAsia="arial" w:hAnsi="arial" w:cs="arial"/>
            <w:i/>
            <w:color w:val="0077CC"/>
            <w:sz w:val="20"/>
            <w:u w:val="single"/>
            <w:shd w:val="clear" w:color="auto" w:fill="FFFFFF"/>
            <w:lang w:val="en-US" w:eastAsia="en-US" w:bidi="ar-SA"/>
          </w:rPr>
          <w:t>[2006] O.J. No. 5252</w:t>
        </w:r>
      </w:hyperlink>
      <w:r>
        <w:rPr>
          <w:rFonts w:ascii="arial" w:eastAsia="arial" w:hAnsi="arial" w:cs="arial"/>
          <w:color w:val="000000"/>
          <w:sz w:val="20"/>
          <w:lang w:val="en-US" w:eastAsia="en-US" w:bidi="ar-SA"/>
        </w:rPr>
        <w:t xml:space="preserve"> (Sup. Ct.) [</w:t>
      </w:r>
      <w:r>
        <w:rPr>
          <w:rFonts w:ascii="arial" w:eastAsia="arial" w:hAnsi="arial" w:cs="arial"/>
          <w:i/>
          <w:color w:val="000000"/>
          <w:sz w:val="20"/>
          <w:lang w:val="en-US" w:eastAsia="en-US" w:bidi="ar-SA"/>
        </w:rPr>
        <w:t>Waterloo</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Board of S.D. 79 v. Oppenheim</w:t>
      </w:r>
      <w:r>
        <w:rPr>
          <w:rFonts w:ascii="arial" w:eastAsia="arial" w:hAnsi="arial" w:cs="arial"/>
          <w:color w:val="000000"/>
          <w:sz w:val="20"/>
          <w:lang w:val="en-US" w:eastAsia="en-US" w:bidi="ar-SA"/>
        </w:rPr>
        <w:t xml:space="preserve">, </w:t>
      </w:r>
      <w:hyperlink r:id="rId965" w:history="1">
        <w:r>
          <w:rPr>
            <w:rFonts w:ascii="arial" w:eastAsia="arial" w:hAnsi="arial" w:cs="arial"/>
            <w:i/>
            <w:color w:val="0077CC"/>
            <w:sz w:val="20"/>
            <w:u w:val="single"/>
            <w:shd w:val="clear" w:color="auto" w:fill="FFFFFF"/>
            <w:lang w:val="en-US" w:eastAsia="en-US" w:bidi="ar-SA"/>
          </w:rPr>
          <w:t>2003 BCSC 1303</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Oppenheim</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Potvin v. Canadian Museum of Nature</w:t>
      </w:r>
      <w:r>
        <w:rPr>
          <w:rFonts w:ascii="arial" w:eastAsia="arial" w:hAnsi="arial" w:cs="arial"/>
          <w:color w:val="000000"/>
          <w:sz w:val="20"/>
          <w:lang w:val="en-US" w:eastAsia="en-US" w:bidi="ar-SA"/>
        </w:rPr>
        <w:t xml:space="preserve">, </w:t>
      </w:r>
      <w:hyperlink r:id="rId966" w:history="1">
        <w:r>
          <w:rPr>
            <w:rFonts w:ascii="arial" w:eastAsia="arial" w:hAnsi="arial" w:cs="arial"/>
            <w:i/>
            <w:color w:val="0077CC"/>
            <w:sz w:val="20"/>
            <w:u w:val="single"/>
            <w:shd w:val="clear" w:color="auto" w:fill="FFFFFF"/>
            <w:lang w:val="en-US" w:eastAsia="en-US" w:bidi="ar-SA"/>
          </w:rPr>
          <w:t>[2003] O.J. No. 2020</w:t>
        </w:r>
      </w:hyperlink>
      <w:r>
        <w:rPr>
          <w:rFonts w:ascii="arial" w:eastAsia="arial" w:hAnsi="arial" w:cs="arial"/>
          <w:color w:val="000000"/>
          <w:sz w:val="20"/>
          <w:lang w:val="en-US" w:eastAsia="en-US" w:bidi="ar-SA"/>
        </w:rPr>
        <w:t xml:space="preserve"> (Sup. Ct.) [</w:t>
      </w:r>
      <w:r>
        <w:rPr>
          <w:rFonts w:ascii="arial" w:eastAsia="arial" w:hAnsi="arial" w:cs="arial"/>
          <w:i/>
          <w:color w:val="000000"/>
          <w:sz w:val="20"/>
          <w:lang w:val="en-US" w:eastAsia="en-US" w:bidi="ar-SA"/>
        </w:rPr>
        <w:t>Potvin</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Forster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Forster contends it is not legally obligated to defend Kamloops pursuant to the CGL Policy because liability for the plaintiff's fall did not arise out of Forster's operations of providing food and beverage services, operating the dinner theater or from any failure to maintain the premises in clean condition and good repair.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Forster argues that the allegations in the amended Notice of Civil Claim are directed at Kamloops and centered on its obligation to ensure the Facilities were safe. The plaintiff pled that her injury was caused by Kamloops's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breach of its duty under the </w:t>
      </w:r>
      <w:r>
        <w:rPr>
          <w:rFonts w:ascii="arial" w:eastAsia="arial" w:hAnsi="arial" w:cs="arial"/>
          <w:i/>
          <w:color w:val="000000"/>
          <w:sz w:val="20"/>
          <w:lang w:val="en-US" w:eastAsia="en-US" w:bidi="ar-SA"/>
        </w:rPr>
        <w:t>Occupiers Liability Act and</w:t>
      </w:r>
      <w:r>
        <w:rPr>
          <w:rFonts w:ascii="arial" w:eastAsia="arial" w:hAnsi="arial" w:cs="arial"/>
          <w:color w:val="000000"/>
          <w:sz w:val="20"/>
          <w:lang w:val="en-US" w:eastAsia="en-US" w:bidi="ar-SA"/>
        </w:rPr>
        <w:t xml:space="preserve"> none of the allegations relate specifically to Forster's operations of providing food and beverages.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plaintiff alleged Kamloops failed to warn, failed to maintain the premises, failed to direct patrons away from a dangerous area, and failed to put up a barrier to prevent the plaintiff from walking on the carpet where she fell. The plaintiff focused her claim solely on Kamloops as the cause of her injury and ignored any involvement of Forster.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Kamloops was responsible for designing and constructing the Facilities, including fixing the table close to where the plaintiff fell, and thus the "arising out of" clause in the CGL Policy is not triggered.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Forster listed its submissions concerning the basis and authorities that will inform the Court as to its liability under the Lease:</w:t>
      </w:r>
      <w:r>
        <w:rPr>
          <w:rFonts w:ascii="arial" w:eastAsia="arial" w:hAnsi="arial" w:cs="arial"/>
          <w:sz w:val="20"/>
          <w:lang w:val="en-US" w:eastAsia="en-US" w:bidi="ar-SA"/>
        </w:rPr>
        <w:cr/>
      </w:r>
    </w:p>
    <w:p>
      <w:pPr>
        <w:numPr>
          <w:numId w:val="2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words "arising out of the insured's operations" require a causation element greater than the "but for" test. There should be an unbroken chain of causation extant that is more than incidental or fortuitous: </w:t>
      </w:r>
      <w:r>
        <w:rPr>
          <w:rFonts w:ascii="arial" w:eastAsia="arial" w:hAnsi="arial" w:cs="arial"/>
          <w:i/>
          <w:color w:val="000000"/>
          <w:sz w:val="20"/>
          <w:lang w:val="en-US" w:eastAsia="en-US" w:bidi="ar-SA"/>
        </w:rPr>
        <w:t>Vernon;</w:t>
      </w:r>
    </w:p>
    <w:p>
      <w:pPr>
        <w:numPr>
          <w:numId w:val="27"/>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Kamloops must demonstrate a sufficient connection between the liability for the injury and the dining buffet operations or failure to maintain the Facilities in good repair; absent such a connection, allegations against Kamloops or other occupiers do not have any connection with Forster's operations: </w:t>
      </w:r>
      <w:r>
        <w:rPr>
          <w:rFonts w:ascii="arial" w:eastAsia="arial" w:hAnsi="arial" w:cs="arial"/>
          <w:i/>
          <w:color w:val="000000"/>
          <w:sz w:val="20"/>
          <w:lang w:val="en-US" w:eastAsia="en-US" w:bidi="ar-SA"/>
        </w:rPr>
        <w:t>Waterloo</w:t>
      </w:r>
      <w:r>
        <w:rPr>
          <w:rFonts w:ascii="arial" w:eastAsia="arial" w:hAnsi="arial" w:cs="arial"/>
          <w:color w:val="000000"/>
          <w:sz w:val="20"/>
          <w:lang w:val="en-US" w:eastAsia="en-US" w:bidi="ar-SA"/>
        </w:rPr>
        <w:t>;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more than a temporal connection between Forster's activity and Kamloops must exist to engage the indemnity clause and pass the consequences of Kamloops's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Forster. The plaintiff did not allege that Forster's operations or services, including food provided, or any negligent act of Forster's employee's caused or contributed to the injury; there was an insufficient connection between the injury and Forster's activity: </w:t>
      </w:r>
      <w:r>
        <w:rPr>
          <w:rFonts w:ascii="arial" w:eastAsia="arial" w:hAnsi="arial" w:cs="arial"/>
          <w:i/>
          <w:color w:val="000000"/>
          <w:sz w:val="20"/>
          <w:lang w:val="en-US" w:eastAsia="en-US" w:bidi="ar-SA"/>
        </w:rPr>
        <w:t>Potvin</w:t>
      </w:r>
      <w:r>
        <w:rPr>
          <w:rFonts w:ascii="arial" w:eastAsia="arial" w:hAnsi="arial" w:cs="arial"/>
          <w:color w:val="000000"/>
          <w:sz w:val="20"/>
          <w:lang w:val="en-US" w:eastAsia="en-US" w:bidi="ar-SA"/>
        </w:rPr>
        <w:t>.</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the fall was the negligent design or construction of the floor/tier platform by Kamloops and Kamloops could not contract out of its occupier's liability duty.</w:t>
      </w:r>
    </w:p>
    <w:p>
      <w:pPr>
        <w:numPr>
          <w:numId w:val="30"/>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Lease did not express an intent to transfer all of Kamloops's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occupier to Forester due to the term "any act or omission" and the indemnity clause should be construed narrowly.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Forster argues that the injury resulted from Kamloops's negligent design and/or the Facilities construction, including placing and fixing the table in a place where patrons risked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Forster argues its use of the dinner theatre was limited to 120 days per year. During the 245 day balance, Kamloops had sole possession and control of that area. Forster contends that because all of the plaintiff's allegations in the claim are directed at Kamloops no act or omission on its part was the reason Kamloops was made a party to the plaintiff's claim. The injury did not arise out of the plaintiff's consumption of food or beverages or the delivery of food or beverage to her and Forster argues that the plaintiff's allegation of failure to warn does not implicate it because the loss did not "arise out of its operations", namely providing food and beverages.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Forster argues that it would be wrong to require it to indemnify Kamloops for costs that arose out of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It argues that the term "arising out of the named insured's operations" in a policy endorsement requires a causation element that is more than "the but for" test. An unbroken chain of causation in a connection that is more clearly incidental or fortuitous is required to activate Forster's duty to defend and indemnify.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Forster argued that </w:t>
      </w:r>
      <w:r>
        <w:rPr>
          <w:rFonts w:ascii="arial" w:eastAsia="arial" w:hAnsi="arial" w:cs="arial"/>
          <w:i/>
          <w:color w:val="000000"/>
          <w:sz w:val="20"/>
          <w:lang w:val="en-US" w:eastAsia="en-US" w:bidi="ar-SA"/>
        </w:rPr>
        <w:t>Liu</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are distinguishable on the facts and that </w:t>
      </w:r>
      <w:r>
        <w:rPr>
          <w:rFonts w:ascii="arial" w:eastAsia="arial" w:hAnsi="arial" w:cs="arial"/>
          <w:i/>
          <w:color w:val="000000"/>
          <w:sz w:val="20"/>
          <w:lang w:val="en-US" w:eastAsia="en-US" w:bidi="ar-SA"/>
        </w:rPr>
        <w:t>Potvin</w:t>
      </w:r>
      <w:r>
        <w:rPr>
          <w:rFonts w:ascii="arial" w:eastAsia="arial" w:hAnsi="arial" w:cs="arial"/>
          <w:color w:val="000000"/>
          <w:sz w:val="20"/>
          <w:lang w:val="en-US" w:eastAsia="en-US" w:bidi="ar-SA"/>
        </w:rPr>
        <w:t xml:space="preserve"> is apposite to this case. </w:t>
      </w:r>
      <w:r>
        <w:rPr>
          <w:rFonts w:ascii="arial" w:eastAsia="arial" w:hAnsi="arial" w:cs="arial"/>
          <w:i/>
          <w:color w:val="000000"/>
          <w:sz w:val="20"/>
          <w:lang w:val="en-US" w:eastAsia="en-US" w:bidi="ar-SA"/>
        </w:rPr>
        <w:t>Potvin</w:t>
      </w:r>
      <w:r>
        <w:rPr>
          <w:rFonts w:ascii="arial" w:eastAsia="arial" w:hAnsi="arial" w:cs="arial"/>
          <w:color w:val="000000"/>
          <w:sz w:val="20"/>
          <w:lang w:val="en-US" w:eastAsia="en-US" w:bidi="ar-SA"/>
        </w:rPr>
        <w:t xml:space="preserve"> rests on the principle that in the absence of a clear expression of intent to transfer all the occupiers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liability to a renter is found, the indemnity will apply only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with a causal connection to the renters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Finally, Forster argues that if it is liable, special costs should not be awarded because its conduct was reasonable in the circumstances. Forster argues it responded to Kamloops's request that it assume the defence and indemnify Kamloops in a timely manner, and nothing in their conduct invites a special costs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evidence establishes that the plaintiff's injuries occurred near a table fixed to the Facilities' floor. The parties agree that the fall occurred when the plaintiff was collecting food from the buffet table and lost her footing due to a defect in the floor or carpet. The plaintiff's injury is clearly connected to her movement while obtaining food at the buffet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Kamloops contends that the location where the plaintiff fell was within Forster's exclusive control, at least for the purposes of managing patrons. Kamloops permitted Forster to create the layout by which the plaintiff collected food from the table. Forster earned its profit from the patrons entering into the Facilities and Forster promised to defend claims from patrons against Kamloops if they arose:</w:t>
      </w:r>
      <w:r>
        <w:rPr>
          <w:rFonts w:ascii="arial" w:eastAsia="arial" w:hAnsi="arial" w:cs="arial"/>
          <w:sz w:val="20"/>
          <w:lang w:val="en-US" w:eastAsia="en-US" w:bidi="ar-SA"/>
        </w:rPr>
        <w:cr/>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any act or omission" of Forster;</w:t>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any act or omission" of any individual for whom Forster is legally responsible hereunder; or,</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any act occurring on the Facilities save and except the willful or negligent act of"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Therefore, three situations will impose obligations on Forster to defend Kamloops and compensate for applicable costs and expenses under the 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The three parts of the indemnity clause must be construed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Regarding the first and second situations if an act or omission of Forster (or anyone it is legally responsible for) was the reason Kamloops was named in the pleadings, then Forster must indemnify Kamloops. The plaintiff's pleadings must be examined to ascertain if the claim alleges Forster's acts or omissions are the reason for the suit against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Regarding the third situation, if any other act occurs on the Facilities that results in a claim where Kamloops is named, Forster must indemnify Kamloops unless Kamloops was willful or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this case, the question is whether the reason Kamloops is a party to the suit is, by reason of the plaintiff's allegations in the amended Notice of Civil Claim because of an act or omission by Forster. If it is, then the claim triggers the indemnity clause. If allegations against Kamloops arise from one of the first two situations, Forster must indemnify Kamloops. If the third scenario is the reason for the claim then Kamloops is deprived of a defence and indemnity. I find that the plaintiff's amended Notice of Civil Claim contains allegations implicating Kamloops by reason of the first situation - i.e., Forster's acts or omissions - so Forster must indemnify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Forster obtained public liability insurance in addition to other policies. Kamloops was a co-insured on this policy. There was no suggestion in argument that Kamloops was obliged to pursue a remedy against the insurer rather than invoking the parts of the Lease requiring Forster to defend and indemnify Kamloops directly. Although it appeared that Kamloops may have had a direct cause of action against the insurer, I was not informed that Kamloops made any claim as a co-insured. This application concerned Kamloops against Forster and not against Forster's insurer: Forster premised its rejection of its indemnity obligation on the insurance policy that named Kamloops as a co-insured. Each of the authorities Forster's counsel cited referred to insurance policies containing similar language. Counsel argued that the obligation to indemnify and defend arises "only in respect of liability arising out of the named insured's operations": see </w:t>
      </w:r>
      <w:r>
        <w:rPr>
          <w:rFonts w:ascii="arial" w:eastAsia="arial" w:hAnsi="arial" w:cs="arial"/>
          <w:i/>
          <w:color w:val="000000"/>
          <w:sz w:val="20"/>
          <w:lang w:val="en-US" w:eastAsia="en-US" w:bidi="ar-SA"/>
        </w:rPr>
        <w:t>Great Atlantic &amp; Pacific Co. of Canada Ltd. v. Economical Mutual Insurance Co.</w:t>
      </w:r>
      <w:r>
        <w:rPr>
          <w:rFonts w:ascii="arial" w:eastAsia="arial" w:hAnsi="arial" w:cs="arial"/>
          <w:color w:val="000000"/>
          <w:sz w:val="20"/>
          <w:lang w:val="en-US" w:eastAsia="en-US" w:bidi="ar-SA"/>
        </w:rPr>
        <w:t xml:space="preserve">, </w:t>
      </w:r>
      <w:hyperlink r:id="rId967" w:history="1">
        <w:r>
          <w:rPr>
            <w:rFonts w:ascii="arial" w:eastAsia="arial" w:hAnsi="arial" w:cs="arial"/>
            <w:i/>
            <w:color w:val="0077CC"/>
            <w:sz w:val="20"/>
            <w:u w:val="single"/>
            <w:shd w:val="clear" w:color="auto" w:fill="FFFFFF"/>
            <w:lang w:val="en-US" w:eastAsia="en-US" w:bidi="ar-SA"/>
          </w:rPr>
          <w:t>2013 ONSC 7200</w:t>
        </w:r>
      </w:hyperlink>
      <w:r>
        <w:rPr>
          <w:rFonts w:ascii="arial" w:eastAsia="arial" w:hAnsi="arial" w:cs="arial"/>
          <w:color w:val="000000"/>
          <w:sz w:val="20"/>
          <w:lang w:val="en-US" w:eastAsia="en-US" w:bidi="ar-SA"/>
        </w:rPr>
        <w:t xml:space="preserve"> at para. 2; </w:t>
      </w:r>
      <w:r>
        <w:rPr>
          <w:rFonts w:ascii="arial" w:eastAsia="arial" w:hAnsi="arial" w:cs="arial"/>
          <w:i/>
          <w:color w:val="000000"/>
          <w:sz w:val="20"/>
          <w:lang w:val="en-US" w:eastAsia="en-US" w:bidi="ar-SA"/>
        </w:rPr>
        <w:t>Vernon</w:t>
      </w:r>
      <w:r>
        <w:rPr>
          <w:rFonts w:ascii="arial" w:eastAsia="arial" w:hAnsi="arial" w:cs="arial"/>
          <w:color w:val="000000"/>
          <w:sz w:val="20"/>
          <w:lang w:val="en-US" w:eastAsia="en-US" w:bidi="ar-SA"/>
        </w:rPr>
        <w:t xml:space="preserve"> at para. 5; </w:t>
      </w:r>
      <w:r>
        <w:rPr>
          <w:rFonts w:ascii="arial" w:eastAsia="arial" w:hAnsi="arial" w:cs="arial"/>
          <w:i/>
          <w:color w:val="000000"/>
          <w:sz w:val="20"/>
          <w:lang w:val="en-US" w:eastAsia="en-US" w:bidi="ar-SA"/>
        </w:rPr>
        <w:t>Williams</w:t>
      </w:r>
      <w:r>
        <w:rPr>
          <w:rFonts w:ascii="arial" w:eastAsia="arial" w:hAnsi="arial" w:cs="arial"/>
          <w:color w:val="000000"/>
          <w:sz w:val="20"/>
          <w:lang w:val="en-US" w:eastAsia="en-US" w:bidi="ar-SA"/>
        </w:rPr>
        <w:t xml:space="preserve"> at para. 9; </w:t>
      </w:r>
      <w:r>
        <w:rPr>
          <w:rFonts w:ascii="arial" w:eastAsia="arial" w:hAnsi="arial" w:cs="arial"/>
          <w:i/>
          <w:color w:val="000000"/>
          <w:sz w:val="20"/>
          <w:lang w:val="en-US" w:eastAsia="en-US" w:bidi="ar-SA"/>
        </w:rPr>
        <w:t>Liu v. Chu</w:t>
      </w:r>
      <w:r>
        <w:rPr>
          <w:rFonts w:ascii="arial" w:eastAsia="arial" w:hAnsi="arial" w:cs="arial"/>
          <w:color w:val="000000"/>
          <w:sz w:val="20"/>
          <w:lang w:val="en-US" w:eastAsia="en-US" w:bidi="ar-SA"/>
        </w:rPr>
        <w:t xml:space="preserve">, </w:t>
      </w:r>
      <w:hyperlink r:id="rId968" w:history="1">
        <w:r>
          <w:rPr>
            <w:rFonts w:ascii="arial" w:eastAsia="arial" w:hAnsi="arial" w:cs="arial"/>
            <w:i/>
            <w:color w:val="0077CC"/>
            <w:sz w:val="20"/>
            <w:u w:val="single"/>
            <w:shd w:val="clear" w:color="auto" w:fill="FFFFFF"/>
            <w:lang w:val="en-US" w:eastAsia="en-US" w:bidi="ar-SA"/>
          </w:rPr>
          <w:t>2009 BCSC 753</w:t>
        </w:r>
      </w:hyperlink>
      <w:r>
        <w:rPr>
          <w:rFonts w:ascii="arial" w:eastAsia="arial" w:hAnsi="arial" w:cs="arial"/>
          <w:color w:val="000000"/>
          <w:sz w:val="20"/>
          <w:lang w:val="en-US" w:eastAsia="en-US" w:bidi="ar-SA"/>
        </w:rPr>
        <w:t xml:space="preserve"> at para. 75; </w:t>
      </w:r>
      <w:r>
        <w:rPr>
          <w:rFonts w:ascii="arial" w:eastAsia="arial" w:hAnsi="arial" w:cs="arial"/>
          <w:i/>
          <w:color w:val="000000"/>
          <w:sz w:val="20"/>
          <w:lang w:val="en-US" w:eastAsia="en-US" w:bidi="ar-SA"/>
        </w:rPr>
        <w:t>Harris v. Memorial Boys' and Girls' Club Inc.</w:t>
      </w:r>
      <w:r>
        <w:rPr>
          <w:rFonts w:ascii="arial" w:eastAsia="arial" w:hAnsi="arial" w:cs="arial"/>
          <w:color w:val="000000"/>
          <w:sz w:val="20"/>
          <w:lang w:val="en-US" w:eastAsia="en-US" w:bidi="ar-SA"/>
        </w:rPr>
        <w:t xml:space="preserve">, </w:t>
      </w:r>
      <w:hyperlink r:id="rId969" w:history="1">
        <w:r>
          <w:rPr>
            <w:rFonts w:ascii="arial" w:eastAsia="arial" w:hAnsi="arial" w:cs="arial"/>
            <w:i/>
            <w:color w:val="0077CC"/>
            <w:sz w:val="20"/>
            <w:u w:val="single"/>
            <w:shd w:val="clear" w:color="auto" w:fill="FFFFFF"/>
            <w:lang w:val="en-US" w:eastAsia="en-US" w:bidi="ar-SA"/>
          </w:rPr>
          <w:t>[2008] O.J. No. 2750</w:t>
        </w:r>
      </w:hyperlink>
      <w:r>
        <w:rPr>
          <w:rFonts w:ascii="arial" w:eastAsia="arial" w:hAnsi="arial" w:cs="arial"/>
          <w:color w:val="000000"/>
          <w:sz w:val="20"/>
          <w:lang w:val="en-US" w:eastAsia="en-US" w:bidi="ar-SA"/>
        </w:rPr>
        <w:t xml:space="preserve"> at para. 8 (Sup. Ct.); </w:t>
      </w:r>
      <w:r>
        <w:rPr>
          <w:rFonts w:ascii="arial" w:eastAsia="arial" w:hAnsi="arial" w:cs="arial"/>
          <w:i/>
          <w:color w:val="000000"/>
          <w:sz w:val="20"/>
          <w:lang w:val="en-US" w:eastAsia="en-US" w:bidi="ar-SA"/>
        </w:rPr>
        <w:t>Oppenheim</w:t>
      </w:r>
      <w:r>
        <w:rPr>
          <w:rFonts w:ascii="arial" w:eastAsia="arial" w:hAnsi="arial" w:cs="arial"/>
          <w:color w:val="000000"/>
          <w:sz w:val="20"/>
          <w:lang w:val="en-US" w:eastAsia="en-US" w:bidi="ar-SA"/>
        </w:rPr>
        <w:t xml:space="preserve"> at para. 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arguments on the "arising out of" clause and the insurance policy were helpful in understanding this application, the focal point is the indemnification clause from the March 23, 2000 Lease. The indemnification clause does not contain the phrase "arising out of" nor does it address liability arising out of Forster's operations. Kamloops's claim does not mention the co-insurance agreement nor does it engage the "insurance" coverage referred to in the Lease. Neither aspects of their relationship are at issue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This application is limited to considerations pertaining to the indemnification clause, and that outcome is not contingent on the insurance section of the Lease. The issue is not whether the plaintiff's claim arises out of Forster's operations; rather the issue is whether Kamloops became a party to the litigation by reason of Forster acting, or failing to act, in a way that falls within the scope of the Lease's indemnity clause. To restate what I said earlier for clarity, Forster promised to defend claims against Kamloops in three situations:</w:t>
      </w:r>
      <w:r>
        <w:rPr>
          <w:rFonts w:ascii="arial" w:eastAsia="arial" w:hAnsi="arial" w:cs="arial"/>
          <w:sz w:val="20"/>
          <w:lang w:val="en-US" w:eastAsia="en-US" w:bidi="ar-SA"/>
        </w:rPr>
        <w:cr/>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any act or omission" of Forster;</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any act or omission" of any individual for whom Forster is legally responsible hereunder; or,</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reason of any act occurring on the Facilities save and except the willful or negligent act of"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analysis focuses on whether the plaintiff's pleadings allege facts that reasonably implicate (1) Forster's actions or omissions as causing or contributing to her injuries or (2) any act occurring on the Facilities (according to the March 23, 2000 Lease, Appendix A, the Facilities includes the entire 1250 Rogers Way property) causing or contributing to her injuries except for Kamloops's willful or negligent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Both situations are triggered in this case. I will address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Regarding the first situation, the application of the indemnification clause depends on whether the pleadings address facts that might point to Forster's acts or omissions as reasons the claim was made against Kamloops. If the pleadings include facts that, if true, would require an insurer to provide a defence, it does not matter that the actual facts may differ from the pleadings. The mere possibility that the claim falls within the policy will be sufficient: </w:t>
      </w:r>
      <w:r>
        <w:rPr>
          <w:rFonts w:ascii="arial" w:eastAsia="arial" w:hAnsi="arial" w:cs="arial"/>
          <w:i/>
          <w:color w:val="000000"/>
          <w:sz w:val="20"/>
          <w:lang w:val="en-US" w:eastAsia="en-US" w:bidi="ar-SA"/>
        </w:rPr>
        <w:t>Monenco Ltd. v. Commonwealth Insurance Co.</w:t>
      </w:r>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2001 SCC 49</w:t>
        </w:r>
      </w:hyperlink>
      <w:r>
        <w:rPr>
          <w:rFonts w:ascii="arial" w:eastAsia="arial" w:hAnsi="arial" w:cs="arial"/>
          <w:color w:val="000000"/>
          <w:sz w:val="20"/>
          <w:lang w:val="en-US" w:eastAsia="en-US" w:bidi="ar-SA"/>
        </w:rPr>
        <w:t xml:space="preserve">, </w:t>
      </w:r>
      <w:hyperlink r:id="rId970" w:history="1">
        <w:r>
          <w:rPr>
            <w:rFonts w:ascii="arial" w:eastAsia="arial" w:hAnsi="arial" w:cs="arial"/>
            <w:i/>
            <w:color w:val="0077CC"/>
            <w:sz w:val="20"/>
            <w:u w:val="single"/>
            <w:shd w:val="clear" w:color="auto" w:fill="FFFFFF"/>
            <w:lang w:val="en-US" w:eastAsia="en-US" w:bidi="ar-SA"/>
          </w:rPr>
          <w:t>[2001] 2 SCR 699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at para. 29-35.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my view, the </w:t>
      </w:r>
      <w:r>
        <w:rPr>
          <w:rFonts w:ascii="arial" w:eastAsia="arial" w:hAnsi="arial" w:cs="arial"/>
          <w:i/>
          <w:color w:val="000000"/>
          <w:sz w:val="20"/>
          <w:lang w:val="en-US" w:eastAsia="en-US" w:bidi="ar-SA"/>
        </w:rPr>
        <w:t>Monenco</w:t>
      </w:r>
      <w:r>
        <w:rPr>
          <w:rFonts w:ascii="arial" w:eastAsia="arial" w:hAnsi="arial" w:cs="arial"/>
          <w:color w:val="000000"/>
          <w:sz w:val="20"/>
          <w:lang w:val="en-US" w:eastAsia="en-US" w:bidi="ar-SA"/>
        </w:rPr>
        <w:t xml:space="preserve"> analysis is apposite to this case. If the plaintiff's claim against Kamloops might have been made by reason of Forster's impugned acts, then Forster's duty to indemnify and defend is activated.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It is obvious that Forster was catering the food delivery part of the dinner theatre event when the plaintiff was hurt. In light of the many years it had operated in the hotel, it likely possessed the means and experience to identify risks to its patrons, even if those risks were created by a negligent design or construction. It could have protected its patrons from a dangerous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To engage Forster's liability to defend and indemnify Kamloops, an act or omission was required. The pleadings alleged, among other things, a failure to warn and a failure to take steps to mark the change in the height of the floor, and failing to affix a barrier marking the split-level on the floor. In other words, Forster omitted to do several things that might have prevented the plaintiff's fall.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I find that the allegation that Kamloops failed to warn, failed to maintain, failed to direct patrons away from a dangerous area, and failed to put up a barrier to prevent the plaintiff walking on the carpet where she fell, etc. are actions that Forster might have reasonably undertaken specifically, ensuring the Facilities were safe for its patrons. In this regard, Forster's failure to act constituted "an omission" to act to protect its patrons from falling in and near the buffet.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Moreover, in argument, Forster's counsel acknowledged that, if Forster was aware of other patrons falling on that part of the floor, it would have owed patrons a common law duty to warn them of the risk created by the buffet's uneven surface. Obviously, Forster, having been in possession of the Facilities for many years, should have been aware of the danger around the buffet 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Therefore, the duty to defend was triggered because the true nature of the plaintiff's claim was, in part, based on an alleged breach of Forster's duty to warn and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not managing the flow or location of patrons using the dinner theatre and dining facilities.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Regarding the second situation, if Forster's act or omission were not involved in the plaintiff's injuries, her fall was an action that occurred on the Facilities. In those circumstances, Forster argues it was Kamloops's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caused the injury and therefore it was not liable.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Indeed, Forster's counsel argued that all of the plaintiff's claims relate entirely to Kamloops's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Forster did not have exclusive right to make changes to the structure or Facilities that could cause or eliminate the risk of the plaintiff's injury. Kamloops could enter the premises at any time and make changes or repairs without Forster's permission. The plaintiff raised no cleanliness or tidiness issues, so on that basis, Forster asserts it was solely Kamloops's negligent design and maintenance that caused the plaintiff's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It was not contested that the plaintiff fell because of a structural or surface problem at the buffet table. Although Kamloops may have been negligent or in breach of its duty under the </w:t>
      </w:r>
      <w:r>
        <w:rPr>
          <w:rFonts w:ascii="arial" w:eastAsia="arial" w:hAnsi="arial" w:cs="arial"/>
          <w:i/>
          <w:color w:val="000000"/>
          <w:sz w:val="20"/>
          <w:lang w:val="en-US" w:eastAsia="en-US" w:bidi="ar-SA"/>
        </w:rPr>
        <w:t>Occupier Liability Act</w:t>
      </w:r>
      <w:r>
        <w:rPr>
          <w:rFonts w:ascii="arial" w:eastAsia="arial" w:hAnsi="arial" w:cs="arial"/>
          <w:color w:val="000000"/>
          <w:sz w:val="20"/>
          <w:lang w:val="en-US" w:eastAsia="en-US" w:bidi="ar-SA"/>
        </w:rPr>
        <w:t>, the claim included allegations that implicitly related to Forster's breach of duty of care, and therefore the Lease required Forster to indemnify and defend Kamloops notwithstanding that Kamloops may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fact, the indemnification clause itself supports this conclusion. Read grammatically, the clause makes Forster responsible to Kamloops if a claim was made by reason of any one the following: (1) Forster's act or omission; (2) an act or omission by those for whom Forster is legally responsible, or (3) any other acts occurring on the Facilities </w:t>
      </w:r>
      <w:r>
        <w:rPr>
          <w:rFonts w:ascii="arial" w:eastAsia="arial" w:hAnsi="arial" w:cs="arial"/>
          <w:color w:val="000000"/>
          <w:sz w:val="20"/>
          <w:u w:val="single"/>
          <w:lang w:val="en-US" w:eastAsia="en-US" w:bidi="ar-SA"/>
        </w:rPr>
        <w:t>except if Kamloops willfully or negligently committed the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Reading the indemnification grammatically, the "</w:t>
      </w:r>
      <w:r>
        <w:rPr>
          <w:rFonts w:ascii="arial" w:eastAsia="arial" w:hAnsi="arial" w:cs="arial"/>
          <w:color w:val="000000"/>
          <w:sz w:val="20"/>
          <w:u w:val="single"/>
          <w:lang w:val="en-US" w:eastAsia="en-US" w:bidi="ar-SA"/>
        </w:rPr>
        <w:t>except"</w:t>
      </w:r>
      <w:r>
        <w:rPr>
          <w:rFonts w:ascii="arial" w:eastAsia="arial" w:hAnsi="arial" w:cs="arial"/>
          <w:color w:val="000000"/>
          <w:sz w:val="20"/>
          <w:lang w:val="en-US" w:eastAsia="en-US" w:bidi="ar-SA"/>
        </w:rPr>
        <w:t xml:space="preserve"> only applies to the third situation. So in effect, Forster's negligent act or omission coupled with Kamloops's possible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vitiate Forster's obligation to indemnify Kamloops. Forster's indemnity obligation would only be vitiated if: (1) Forster (or anyone who it is legally responsible for) was not liable for an act or omission and (2) an act that occurred on the Facilities was caused by a willful or negligent act of Kamloops.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w:t>
      </w:r>
      <w:r>
        <w:rPr>
          <w:rFonts w:ascii="arial" w:eastAsia="arial" w:hAnsi="arial" w:cs="arial"/>
          <w:i/>
          <w:color w:val="000000"/>
          <w:sz w:val="20"/>
          <w:lang w:val="en-US" w:eastAsia="en-US" w:bidi="ar-SA"/>
        </w:rPr>
        <w:t>Potvin</w:t>
      </w:r>
      <w:r>
        <w:rPr>
          <w:rFonts w:ascii="arial" w:eastAsia="arial" w:hAnsi="arial" w:cs="arial"/>
          <w:color w:val="000000"/>
          <w:sz w:val="20"/>
          <w:lang w:val="en-US" w:eastAsia="en-US" w:bidi="ar-SA"/>
        </w:rPr>
        <w:t xml:space="preserve"> was not as helpful as argued by Forster. That case dealt with a lease indemnification clause that used the phrase "arise out of or in connection with the entry onto and use of the museums facilities". There, the court cautioned against permitting a landlord to pass on its occupiers liability to a tenant without close scrutiny. The decision turned on the principle that a temporal connection alone was insufficient to establish liability for a claim that "arises out of or in connection with entry onto and 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do accept Forster's argument that the indemnity clause should be construed narrowly and should not permit prevent Kamloops from the protection of the clause by requiring Forster to indemnify notwithstanding that its failure to construct the platform differently. Forster was always in a position to keep patrons away from the danger and could have prevented the injury. Forster assumed that responsibility when it took control of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On this case's facts, I am satisfied the plaintiff's claim against Kamloops was made by reason of the first of these three situations described in the indemnification clause and Kamloops's possible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does not vitiate Forster's obligation. Forster was obliged to defend and indemnify Kamloops, and it failed to do so.</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Arising Out of Cases/The Insurance Cases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If this case dealt with the insurance policy and was premised on an "arising out of" clause, I would not have acceded to Forster's contention; Kamloops would have been entitled to a defence and indemnification as co-insured under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The parties referred to </w:t>
      </w:r>
      <w:r>
        <w:rPr>
          <w:rFonts w:ascii="arial" w:eastAsia="arial" w:hAnsi="arial" w:cs="arial"/>
          <w:i/>
          <w:color w:val="000000"/>
          <w:sz w:val="20"/>
          <w:lang w:val="en-US" w:eastAsia="en-US" w:bidi="ar-SA"/>
        </w:rPr>
        <w:t>Vernon</w:t>
      </w:r>
      <w:r>
        <w:rPr>
          <w:rFonts w:ascii="arial" w:eastAsia="arial" w:hAnsi="arial" w:cs="arial"/>
          <w:color w:val="000000"/>
          <w:sz w:val="20"/>
          <w:lang w:val="en-US" w:eastAsia="en-US" w:bidi="ar-SA"/>
        </w:rPr>
        <w:t xml:space="preserve"> in which the Court of Appeal reviewed many of the decisions counsel relied on, including </w:t>
      </w:r>
      <w:r>
        <w:rPr>
          <w:rFonts w:ascii="arial" w:eastAsia="arial" w:hAnsi="arial" w:cs="arial"/>
          <w:i/>
          <w:color w:val="000000"/>
          <w:sz w:val="20"/>
          <w:lang w:val="en-US" w:eastAsia="en-US" w:bidi="ar-SA"/>
        </w:rPr>
        <w:t>Monenco, Oppenheim</w:t>
      </w:r>
      <w:r>
        <w:rPr>
          <w:rFonts w:ascii="arial" w:eastAsia="arial" w:hAnsi="arial" w:cs="arial"/>
          <w:color w:val="000000"/>
          <w:sz w:val="20"/>
          <w:lang w:val="en-US" w:eastAsia="en-US" w:bidi="ar-SA"/>
        </w:rPr>
        <w:t>,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And at para. 26 of </w:t>
      </w:r>
      <w:r>
        <w:rPr>
          <w:rFonts w:ascii="arial" w:eastAsia="arial" w:hAnsi="arial" w:cs="arial"/>
          <w:i/>
          <w:color w:val="000000"/>
          <w:sz w:val="20"/>
          <w:lang w:val="en-US" w:eastAsia="en-US" w:bidi="ar-SA"/>
        </w:rPr>
        <w:t>Vernon</w:t>
      </w:r>
      <w:r>
        <w:rPr>
          <w:rFonts w:ascii="arial" w:eastAsia="arial" w:hAnsi="arial" w:cs="arial"/>
          <w:color w:val="000000"/>
          <w:sz w:val="20"/>
          <w:lang w:val="en-US" w:eastAsia="en-US" w:bidi="ar-SA"/>
        </w:rPr>
        <w:t>, the Court summarized the interpretation principles as follows:</w:t>
      </w:r>
      <w:r>
        <w:rPr>
          <w:rFonts w:ascii="arial" w:eastAsia="arial" w:hAnsi="arial" w:cs="arial"/>
          <w:sz w:val="20"/>
          <w:lang w:val="en-US" w:eastAsia="en-US" w:bidi="ar-SA"/>
        </w:rPr>
        <w:cr/>
      </w:r>
    </w:p>
    <w:p>
      <w:pPr>
        <w:numPr>
          <w:numId w:val="37"/>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courts should broadly construe insurance contract provisions that provide coverage;</w:t>
      </w:r>
    </w:p>
    <w:p>
      <w:pPr>
        <w:numPr>
          <w:numId w:val="38"/>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courts should resolve ambiguity in the insured's favour;</w:t>
      </w:r>
    </w:p>
    <w:p>
      <w:pPr>
        <w:numPr>
          <w:numId w:val="39"/>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courts should construe insurance contracts </w:t>
      </w:r>
      <w:r>
        <w:rPr>
          <w:rFonts w:ascii="arial" w:eastAsia="arial" w:hAnsi="arial" w:cs="arial"/>
          <w:i/>
          <w:color w:val="000000"/>
          <w:sz w:val="20"/>
          <w:lang w:val="en-US" w:eastAsia="en-US" w:bidi="ar-SA"/>
        </w:rPr>
        <w:t>contra proferentem</w:t>
      </w:r>
      <w:r>
        <w:rPr>
          <w:rFonts w:ascii="arial" w:eastAsia="arial" w:hAnsi="arial" w:cs="arial"/>
          <w:color w:val="000000"/>
          <w:sz w:val="20"/>
          <w:lang w:val="en-US" w:eastAsia="en-US" w:bidi="ar-SA"/>
        </w:rPr>
        <w:t xml:space="preserve"> because the insurer chooses the language; and</w:t>
      </w:r>
    </w:p>
    <w:p>
      <w:pPr>
        <w:numPr>
          <w:numId w:val="40"/>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courts should narrowly construe insurance contracts' provisions excluding or limiting coverage.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Vernon</w:t>
      </w:r>
      <w:r>
        <w:rPr>
          <w:rFonts w:ascii="arial" w:eastAsia="arial" w:hAnsi="arial" w:cs="arial"/>
          <w:color w:val="000000"/>
          <w:sz w:val="20"/>
          <w:lang w:val="en-US" w:eastAsia="en-US" w:bidi="ar-SA"/>
        </w:rPr>
        <w:t>, a hockey team used a recreational facility owned by the District of North Okanagan ("District"). The hockey club obtained a policy of insurance that included the District as "additional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 club patron left the building and as he was walking away from the rink injured himself. He sued the District and no others. In turn, the District issued third-party proceedings against the hockey club and insurer. It made a claim for defence and indemnity under the policy endorsement adding them as additional insured's because the policy used the phrase "in respect of liability arising out of the named insured's operations". The District argued that the patron's injuries arose out of the hockey club operations. The hockey club and insurer applied for declarations that they were not obligated to defend or indemnify the District; the trial judge agreed.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case turned on the meaning of "arising out of", and the Court of Appeal considered the "but for" test in the process of interpreting the phrase "arising out of". The Court held that use of "arising out of" imposed a closer causal connection between the claim and the insured's operations than a simple "but for test". At para. 52 the Court said:</w:t>
      </w:r>
      <w:r>
        <w:rPr>
          <w:rFonts w:ascii="arial" w:eastAsia="arial" w:hAnsi="arial" w:cs="arial"/>
          <w:sz w:val="20"/>
          <w:lang w:val="en-US" w:eastAsia="en-US" w:bidi="ar-SA"/>
        </w:rPr>
        <w:cr/>
      </w:r>
    </w:p>
    <w:p>
      <w:pPr>
        <w:numPr>
          <w:numId w:val="4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 conclude that the contractual term "arising out of the Named Insured's operations" ... imposes a causal requirement greater than a simple "but for" test. Borrowing from the cases discussed above, the phrase "arising out of" should be construed as requiring "an unbroken chain of causation" and a connection that is more than "merely incidental or fortuitous."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Court reviewed the term "operations". And at para. 54 it said:</w:t>
      </w:r>
      <w:r>
        <w:rPr>
          <w:rFonts w:ascii="arial" w:eastAsia="arial" w:hAnsi="arial" w:cs="arial"/>
          <w:sz w:val="20"/>
          <w:lang w:val="en-US" w:eastAsia="en-US" w:bidi="ar-SA"/>
        </w:rPr>
        <w:cr/>
      </w:r>
    </w:p>
    <w:p>
      <w:pPr>
        <w:numPr>
          <w:numId w:val="42"/>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my view "operations" is a word of sufficiently broad meaning as to include the creation of a situation, or circumstance, that is connected in some way to the alleged liability. It does not necessarily imply an </w:t>
      </w:r>
      <w:r>
        <w:rPr>
          <w:rFonts w:ascii="arial" w:eastAsia="arial" w:hAnsi="arial" w:cs="arial"/>
          <w:color w:val="000000"/>
          <w:sz w:val="20"/>
          <w:u w:val="single"/>
          <w:lang w:val="en-US" w:eastAsia="en-US" w:bidi="ar-SA"/>
        </w:rPr>
        <w:t>active</w:t>
      </w:r>
      <w:r>
        <w:rPr>
          <w:rFonts w:ascii="arial" w:eastAsia="arial" w:hAnsi="arial" w:cs="arial"/>
          <w:color w:val="000000"/>
          <w:sz w:val="20"/>
          <w:lang w:val="en-US" w:eastAsia="en-US" w:bidi="ar-SA"/>
        </w:rPr>
        <w:t xml:space="preserve"> role by the named insured in creation of the liability event. Operations can include the occupation and use of premises or other "passive" conduct that might not be included within the meaning of the word "activities", as the latter term was used in </w:t>
      </w:r>
      <w:r>
        <w:rPr>
          <w:rFonts w:ascii="arial" w:eastAsia="arial" w:hAnsi="arial" w:cs="arial"/>
          <w:i/>
          <w:color w:val="000000"/>
          <w:sz w:val="20"/>
          <w:lang w:val="en-US" w:eastAsia="en-US" w:bidi="ar-SA"/>
        </w:rPr>
        <w:t>Saanich</w:t>
      </w: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[Emphasis in original.]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On this basis, the Court rejected that the District's liability arose out of the hockey club operation. While the club patron clearly met a "but for" test, he was outside the rink and walking off the property when his injury happened. His injury was merely incidental to his attendance at the hockey club's operation and the hockey club had no obligation to defend or indemnify the District.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xml:space="preserve">  On the facts of this case, more a simple "but for" test is met. The plaintiff's slip and fall was more than merely incidental or fortuitous to Forster's operations; it arose out of her attendance to dine and be entertained. In </w:t>
      </w:r>
      <w:r>
        <w:rPr>
          <w:rFonts w:ascii="arial" w:eastAsia="arial" w:hAnsi="arial" w:cs="arial"/>
          <w:i/>
          <w:color w:val="000000"/>
          <w:sz w:val="20"/>
          <w:lang w:val="en-US" w:eastAsia="en-US" w:bidi="ar-SA"/>
        </w:rPr>
        <w:t>Vernon</w:t>
      </w:r>
      <w:r>
        <w:rPr>
          <w:rFonts w:ascii="arial" w:eastAsia="arial" w:hAnsi="arial" w:cs="arial"/>
          <w:color w:val="000000"/>
          <w:sz w:val="20"/>
          <w:lang w:val="en-US" w:eastAsia="en-US" w:bidi="ar-SA"/>
        </w:rPr>
        <w:t xml:space="preserve"> the Court said the phrase "arising out of" in the context of an insurance contract required a closer causal nexus than a simple "but for" test.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Vernon</w:t>
      </w:r>
      <w:r>
        <w:rPr>
          <w:rFonts w:ascii="arial" w:eastAsia="arial" w:hAnsi="arial" w:cs="arial"/>
          <w:color w:val="000000"/>
          <w:sz w:val="20"/>
          <w:lang w:val="en-US" w:eastAsia="en-US" w:bidi="ar-SA"/>
        </w:rPr>
        <w:t xml:space="preserve"> at para 54 the Court described the word: "operations" as sufficiently broad to include creation of a situation, or circumstance that is connected in some way to the alleged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In this case, Forster was clearly playing an active role in catering the food and beverage services on the evening of the plaintiff's fall. Indeed, it was directly connected to Forster use, supervision, and maintenance of Kamloops's Facilities: the plaintiff was on the Facilities for a purpose connected to Forster's operations of providing food, beverage service and entertainment, and she lost her footing in the very area where patrons were invited to collect food; the area was used and controlled by Forster at the time. Forster's control extended, at least, to the fact it could have: redirected patrons away from the dangerous area, prohibited passage over the area, and warned the plaintiff about the danger.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Although these comments on the insurance agreement are not binding, I would have granted the application if Kamloops had pursued a claim under the insurance policy. However, the application is granted only for the reasons that the indemnity clause operates in Kamloops's favour.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Kamloops's application is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Forster must indemnify Kamloops against the settlement, costs and expenses, including solicitor' fees, court costs and other litigation expenses. Kamloops's entitlement to indemnity for costs shall be assessed as special costs subject to their right to a review of those costs under the </w:t>
      </w:r>
      <w:r>
        <w:rPr>
          <w:rFonts w:ascii="arial" w:eastAsia="arial" w:hAnsi="arial" w:cs="arial"/>
          <w:i/>
          <w:color w:val="000000"/>
          <w:sz w:val="20"/>
          <w:lang w:val="en-US" w:eastAsia="en-US" w:bidi="ar-SA"/>
        </w:rPr>
        <w:t>Legal Profession Act</w:t>
      </w:r>
      <w:r>
        <w:rPr>
          <w:rFonts w:ascii="arial" w:eastAsia="arial" w:hAnsi="arial" w:cs="arial"/>
          <w:color w:val="000000"/>
          <w:sz w:val="20"/>
          <w:lang w:val="en-US" w:eastAsia="en-US" w:bidi="ar-SA"/>
        </w:rPr>
        <w:t xml:space="preserve">: see </w:t>
      </w:r>
      <w:r>
        <w:rPr>
          <w:rFonts w:ascii="arial" w:eastAsia="arial" w:hAnsi="arial" w:cs="arial"/>
          <w:i/>
          <w:color w:val="000000"/>
          <w:sz w:val="20"/>
          <w:lang w:val="en-US" w:eastAsia="en-US" w:bidi="ar-SA"/>
        </w:rPr>
        <w:t>Oppenheim</w:t>
      </w:r>
      <w:r>
        <w:rPr>
          <w:rFonts w:ascii="arial" w:eastAsia="arial" w:hAnsi="arial" w:cs="arial"/>
          <w:color w:val="000000"/>
          <w:sz w:val="20"/>
          <w:lang w:val="en-US" w:eastAsia="en-US" w:bidi="ar-SA"/>
        </w:rPr>
        <w:t xml:space="preserve"> at para. 25.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Kamloops will have its costs of this application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T.C. ARMSTRONG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89" style="position:absolute;z-index:25188556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71"/>
          <w:headerReference w:type="default" r:id="rId972"/>
          <w:footerReference w:type="even" r:id="rId973"/>
          <w:footerReference w:type="default" r:id="rId974"/>
          <w:headerReference w:type="first" r:id="rId975"/>
          <w:footerReference w:type="first" r:id="rId97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77" w:history="1">
        <w:r>
          <w:rPr>
            <w:rFonts w:ascii="arial" w:eastAsia="arial" w:hAnsi="arial" w:cs="arial"/>
            <w:b/>
            <w:bCs/>
            <w:i/>
            <w:color w:val="0077CC"/>
            <w:kern w:val="32"/>
            <w:sz w:val="28"/>
            <w:szCs w:val="32"/>
            <w:u w:val="single"/>
            <w:shd w:val="clear" w:color="auto" w:fill="FFFFFF"/>
            <w:lang w:val="en-US" w:eastAsia="en-US" w:bidi="ar-SA"/>
          </w:rPr>
          <w:t>Harris v. Ladner Centre Holdings Ltd., [2008] B.C.J. No. 2462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J.C. Grauer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October 6-7 and 9-10,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Oral judgment: October 10,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S046961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2462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2008 BCSC 1735</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Anne Harris, Plaintiff, and Ladner Centre Holdings Ltd. and Kronier &amp; Sparrow Ltd. and Great Pacific Industries Inc. and Save-On-Foods Ltd. and Jim Pattison Ltd. all or some operating under the firm name and style of Save-On-Foods Group and Overwaitea Foods Group and Save-On-Foods Group and Overwaitea Foods Group,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(78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0" style="position:absolute;z-index:2516930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2" w:name="Keywords_33"/>
      <w:bookmarkEnd w:id="222"/>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Dangerous things and situations — Action by the plaintiff allowed — The plaintiff, age 84, was injured in the bulk foods department of the defendants' grocery store — While attempting to obtain bulk candies from a bin, the bin toppled onto the plaintiff — She adduced expert evidence to show that an unlatched empty bin was easily capable of tipping — The court found that the defendants were negligent — It was unlikely that a diminutive elderly woman exerted sufficient force to unlatch the bin — No system of inspection specifically ensured that the bins were properly latched.</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Physical and psychological injuries — Physical injuries — Arm injuries — Wrist — Plaintiff awarded non-pecuniary damages of $50,000 — The plaintiff, age 84, suffered a chronic injury to her wrist and reduced range of motion in her shoulder when a bulk foods bin fell on her in the defendants' grocery store — The court found that the injuries were directly caused by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plaintiff was further awarded $17,500 for lost housekeeping capacity, $28,955 for future care costs, $1,422 for a subrogated claim, and $1,199 for special damages.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Damages — Types of damages — For personal injuries — Loss of housekeeping ability — Non-pecuniary loss — Affecting mobility — Plaintiff awarded non-pecuniary damages of $50,000 — The plaintiff, age 84, suffered a chronic injury to her wrist and reduced range of motion in her shoulder when a bulk foods bin fell on her in the defendants' grocery store — The court found that the injuries were directly caused by the defendants'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The plaintiff was further awarded $17,500 for lost housekeeping capacity, $28,955 for future care costs, $1,422 for a subrogated claim, and $1,199 for special damages.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23" w:name="Case Summary_32"/>
            <w:bookmarkEnd w:id="223"/>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Harris, against the defendants, the Save-On-Foods and Overwaitea Foods companies, for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age 84, suffered her injury in the bulk foods department of the defendants' grocery store. She attempted to obtain some bridge mix candies from the upper row of bins when the bin toppled over onto her. As the bin fell, it struck her on the left side of the head, her shoulder, her arm and her wrist. Nobody witnessed the event except the plaintiff. She testified that the bin was above her, with the dispensing spout at eye level. She stated that the bin toppled when she pulled the dispensing lever. An expert in accident reconstruction and forensic engineering testified on behalf of the plaintiff. He testified that each bin in the bulk foods department had a latching mechanism that prevented it from falling. The expert checked all 79 of the defendants' containers and found that 17 had not been locked into place. The expert testified that an unlatched empty bin was easily capable of tipping. The manager of the bulk foods department testified that he moved the bins while dusting each day to ensure that they were latched properly. He testified that bins were also re-latched after being filled up to three times per week. He testified that each bin was checked after the accident and that a latched bin only dislodged if he leaned back using his full weight. He testified that the bin that struck the plaintiff was approximately 25 per cent full. The plaintiff suffered a serious and chronic injury to her wrist and reduced range of motion in her shoulder. She was unable to continue knitting clothes for her grandchildren and was only able to perform the lightest of household chores.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24" w:name="Holdings of Court_29"/>
            <w:bookmarkEnd w:id="224"/>
            <w:r>
              <w:rPr>
                <w:rFonts w:ascii="arial" w:eastAsia="arial" w:hAnsi="arial" w:cs="arial"/>
                <w:color w:val="000000"/>
                <w:sz w:val="20"/>
                <w:lang w:val="en-US" w:eastAsia="en-US" w:bidi="ar-SA"/>
              </w:rPr>
              <w:t>HELD: Action allowed.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 established a prima facie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 She applied relatively little force to the lever of the bin when it fell down on her. The expert established that a bin nearing empty was very unstable if not properly latched. The defendants failed to rebut the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it was unlikely that a diminutive elderly woman had exerted sufficient force to dislodge the bin's latching mechanism. The only rational inference was that the bin was unlatched. No inspection system existed that specifically determined whether the bins were latched, as evidenced by the expert's inspection of all of the department's bins.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directly caused the plaintiff's injuries. She was awarded non-pecuniary damages of $50,000, $17,500 for lost housekeeping capacity, $28,955 for future care costs, $1,422 for a subrogated claim, and $1,199 for special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25" w:name="Legislation Cited_21"/>
      <w:bookmarkEnd w:id="225"/>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1" style="position:absolute;z-index:2517442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Court Order Interest Act, </w:t>
      </w:r>
      <w:r>
        <w:rPr>
          <w:rFonts w:ascii="arial" w:eastAsia="arial" w:hAnsi="arial" w:cs="arial"/>
          <w:i/>
          <w:color w:val="000000"/>
          <w:sz w:val="20"/>
          <w:lang w:val="en-US" w:eastAsia="en-US" w:bidi="ar-SA"/>
        </w:rPr>
        <w:t>RSBC 1996, CHAPTER 79</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Occupiers Liability Act, </w:t>
      </w:r>
      <w:hyperlink r:id="rId978" w:history="1">
        <w:r>
          <w:rPr>
            <w:rFonts w:ascii="arial" w:eastAsia="arial" w:hAnsi="arial" w:cs="arial"/>
            <w:i/>
            <w:color w:val="0077CC"/>
            <w:sz w:val="20"/>
            <w:u w:val="single"/>
            <w:shd w:val="clear" w:color="auto" w:fill="FFFFFF"/>
            <w:lang w:val="en-US" w:eastAsia="en-US" w:bidi="ar-SA"/>
          </w:rPr>
          <w:t>RSBC 1996, CHAPTER 337, s. 3</w:t>
        </w:r>
      </w:hyperlink>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26" w:name="Counsel_33"/>
      <w:bookmarkEnd w:id="226"/>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2" style="position:absolute;z-index:25179545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Murray Lott.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Defendants: Sandra Kovacs.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27" w:name="Judgment_33"/>
      <w:bookmarkEnd w:id="227"/>
      <w:r>
        <w:pict>
          <v:line id="_x0000_s1193" style="position:absolute;z-index:25184665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Oral 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362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28" w:name="J.C. GRAUER J. (orally)"/>
            <w:bookmarkEnd w:id="228"/>
            <w:r>
              <w:rPr>
                <w:rFonts w:ascii="arial" w:eastAsia="arial" w:hAnsi="arial" w:cs="arial"/>
                <w:b/>
                <w:color w:val="000000"/>
                <w:sz w:val="30"/>
                <w:lang w:val="en-US" w:eastAsia="en-US" w:bidi="ar-SA"/>
              </w:rPr>
              <w:t>J.C. GRAUER J. (orally)</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In this action the plaintiff, who was born on April 10, 1920, claims damages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against all except the first two named defendants against whom her claim has been discontinued. I will refer to the remaining defendants compendiously as "Save-on Foods" or as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claim arises out of an incident that occurred on April 20, 2004, when the plaintiff, Mrs. Harris, was shopping at the Save-On Foods store in Ladner, B.C. Mrs. Harris was in the bulk foods department of the store in order to obtain some bridge mix candies from one of the upper row of bins. As she attempted to do so, the bin toppled over onto her. It struck her on the left side of the head, on her left shoulder and on her left lower arm and wrist as it fell. Mrs. Harris had turned 84 shortly before this happened.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Both liability and quantum are in issue. I turn to the issue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only witness as to how the incident occurred was Mrs. Harris. She testified that she was familiar with the bin system at Save-on Foods as she had used it regularly and was a regular consumer of bridge mix. She is a diminutive woman only slightly over 5 feet tall. The bin was above her although the dispensing spout where the product comes out was essentially at her eye level.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Mrs. Harris testified that she held a bag under the spout with her left hand and then reached up above her head with her right hand to pull the lever, which is above the spout. As she started to pull on the lever, before very much force was applied, the entire bin toppled over on top of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called, as an expert witness in accident reconstruction and forensic engineering, Mr. Harvey West, a professional engineer. Mr. West attended at the Ladner Save-on Foods store on December 20, 2007, accompanied by Mrs. Harris, who identified where the incident occurred. Mr. West noted that the upper row of bulk food containers or bins comprised 79 containers each one of which was clear plastic and measured 60 cm high, 14 cm wide and 33 cm deep. Beneath each bin was a clear plastic dispenser.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According to Mr. West, each container consists of two chambers which hold the bulk product. The front chamber is approximately 6 centimetres deep and the full width and height of the bin. It extends outward from and overhangs the shelf and is the part of the container that is visible to the consumer. The larger rear chamber is the one that empties into the dispensing spout first when the customer pulls the lever to obtain the product. The front chamber remains full giving the impression that the entire bin is always full of the product.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bins must of course be removed periodically to be refilled. Mr. West explained that each container has a latching mechanism at the back which locks it into place so that it cannot fall forward. To engage the mechanism, the container must be pushed back until there is an audible click indicating that the mechanism is engaged. It cannot be inadvertently unlatched. While he was at the store Mr. West checked all 79 of the overhead containers. Seventeen of them had not been locked into place, which fact was not evident to anyone attempting to access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According to Mr. West the containers will remain stable even when their locking mechanisms have not been secured so long as they are full. But if a bin is not locked into place, then, as the rear chamber empties with the overhanging front chamber remaining full, it becomes increasingly unstable until it can be quite easily tipped forward regardless of the kind of product it contains.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Mr. West weighed a container filled with bridge mix. It weighed 14.9 kilograms or nearly 33 pounds when full.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Steve Halsey testified on behalf of the defendants. At the relevant time he was the bulk foods manager in the Ladner Save-on Foods store where the incident occurred. He had held that position since late 1998 and was responsible for the running of the bulk foods department.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Halsey advised there are two types of bins in the bulk food department. There is a lower row of scoop bins built into cabinets. Essentially they are drawers that the consumer pulls out. The consumer then scoops the product out of the drawer into a bag. Above the row of scoop bins is a row of gravity-fed bins. The higher up gravity-fed bins include the bridge mix bin so unpleasantly encountered by Mrs.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Halsey explained that, as noted by Mr. West, the gravity-fed bins consist of two chambers. The front chamber has a trapdoor at the bottom. When the product in the rear chamber gets very low the trapdoor will open and feed more product in from the front chamber. Behind the back of each bin is a post with a bolt through it that fastens the post to the shelf upon which these bins sit. There is a black knob on the top of the post and the bin aligns up with that black knob. With a modest push the bin latches onto that knob and is kept in place. One can feel it latch and there is an audible click. If the post should become loose, one has to remove the scoop bin's drawer below the gravity-fed bin and grasp the bolt to tighten it from below. It can be done quickly and easily.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According to Mr. Halsey, the principal customer safety concern in the bulk foods department is the condition of the floor. Dirt and other objects, as well as product from the bins, get on the ground. There is a sweep log in which it is noted when the floor is swept either with a dry sweep or a wet sweep, and the sweeps are carried out every 30 minutes. Mr. Halsey carried out all of the sweep checks during his shift. They form a very important part of his duties.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With respect to the posts to which the gravity-fed bins are latched, Mr. Halsey testified that he dealt with them routinely in two ways. The first way was a daily routine carried out during the first hour of the shift called "getting ready to do business." Mr. Halsey would take a trolley with a shop vac and a long handled duster, and go through the entire department from one end to the other. The area where the scoop bins and gravity-fed bins are located would be the last section he would reach. When he got there he would dust the tops of the gravity-fed bins and then he would move them a little to the left and to the right to dust in the crevices between them. He explained that they could pivot slightly on the latch posts. He would do this every morning. His evidence was that if a bin was not latched he would expect there to be some play at the back that would be obvious to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second way was in filling the bins. Orders would come in on Mondays, Wednesdays and Fridays, and any bins needing filling would then be filled. To do this they would be removed. Mr. Halsey would put his right hand on the spout and his left hand on the top of the bin. He would then give the bin a modest tug which would unlatch it. He would then put the bin on the trolley and fill it up, after which he would replace it and latch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Bridge mix was one of the better sellers, and the bridge mix container would be refilled once or twice a week.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On April 20, 2004, Mr. Halsey was in the back of the store when he received an urgent page to attend in the area of the gravity-fed bins. He got there within about 15 seconds. Mrs. Harris had already been seated by another employee. The bridge mix bin was on the ground and its contents had spilled out onto the floor. Judging from the amounts of the contents on the floor, Mr. Halsey estimated that the container had been approximately one quarter full, that is to say three-quarters empty.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After seeing that Mrs. Harris was being properly looked after, Mr. Halsey and his manager walked through the department. They were very surprised that this had happened. They touched and pulled on every bin and all were locked and secure. The bin that had fallen was washed, dried and refilled, and its post was inspected. The post was secure and the bin audibly latched onto it when they put it back.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order to try to determine how this had happened, Mr. Halsey selected a group of similar bins with a similar volume of product, i.e. about 25% full, that were latched into place. He stood out in front of the bin with his side turned to it and reached his arm out straight to hold onto the spout which is about 5 feet off the ground underneath the bin. He found that if he then leaned in the opposite direction to approximately 20% off vertical he put enough force on the bin to pop it off its post. Mr. Halsey said that he weighed about 185 pounds. He appeared to be about 6 feet tall when he demonstrated this in the witness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With respect to normal use and operation, Mr. Halsey had never seen a gravity-fed bin pop off either before or after this accident. Mr. Halsey did agree on cross-examination that it would be possible that one of these bins would cause injury if it fell on someone from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a case such as this where no one witnessed exactly what caused this bin to fall, we are obliged to deal with circumstantial evidence. It is a situation in which one formerly might have considered the application of the maxim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the thing speaks for itself. In </w:t>
      </w:r>
      <w:r>
        <w:rPr>
          <w:rFonts w:ascii="arial" w:eastAsia="arial" w:hAnsi="arial" w:cs="arial"/>
          <w:b/>
          <w:i/>
          <w:color w:val="000000"/>
          <w:sz w:val="20"/>
          <w:lang w:val="en-US" w:eastAsia="en-US" w:bidi="ar-SA"/>
        </w:rPr>
        <w:t>Fontaine v. British Columbia (Official Administrator)</w:t>
      </w:r>
      <w:r>
        <w:rPr>
          <w:rFonts w:ascii="arial" w:eastAsia="arial" w:hAnsi="arial" w:cs="arial"/>
          <w:color w:val="000000"/>
          <w:sz w:val="20"/>
          <w:lang w:val="en-US" w:eastAsia="en-US" w:bidi="ar-SA"/>
        </w:rPr>
        <w:t xml:space="preserve">, </w:t>
      </w:r>
      <w:hyperlink r:id="rId943" w:history="1">
        <w:r>
          <w:rPr>
            <w:rFonts w:ascii="arial" w:eastAsia="arial" w:hAnsi="arial" w:cs="arial"/>
            <w:i/>
            <w:color w:val="0077CC"/>
            <w:sz w:val="20"/>
            <w:u w:val="single"/>
            <w:shd w:val="clear" w:color="auto" w:fill="FFFFFF"/>
            <w:lang w:val="en-US" w:eastAsia="en-US" w:bidi="ar-SA"/>
          </w:rPr>
          <w:t>[1998] 1 S.C.R. 424</w:t>
        </w:r>
      </w:hyperlink>
      <w:r>
        <w:rPr>
          <w:rFonts w:ascii="arial" w:eastAsia="arial" w:hAnsi="arial" w:cs="arial"/>
          <w:color w:val="000000"/>
          <w:sz w:val="20"/>
          <w:lang w:val="en-US" w:eastAsia="en-US" w:bidi="ar-SA"/>
        </w:rPr>
        <w:t>, however, the Supreme Court of Canada said this at paragraphs 26 and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26 Whatever value </w:t>
      </w:r>
      <w:r>
        <w:rPr>
          <w:rFonts w:ascii="arial" w:eastAsia="arial" w:hAnsi="arial" w:cs="arial"/>
          <w:i/>
          <w:color w:val="000000"/>
          <w:sz w:val="20"/>
          <w:lang w:val="en-US" w:eastAsia="en-US" w:bidi="ar-SA"/>
        </w:rPr>
        <w:t>res ipsa loquitur</w:t>
      </w:r>
      <w:r>
        <w:rPr>
          <w:rFonts w:ascii="arial" w:eastAsia="arial" w:hAnsi="arial" w:cs="arial"/>
          <w:color w:val="000000"/>
          <w:sz w:val="20"/>
          <w:lang w:val="en-US" w:eastAsia="en-US" w:bidi="ar-SA"/>
        </w:rPr>
        <w:t xml:space="preserve"> may have once provided is gone. Various attempts to apply the so-called doctrine have been more confusing than helpful. Its use has been restricted to cases where the facts permitted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there was no other reasonable explanation for the accident. Given its limited use it is somewhat meaningless to refer to that use as a doctrine of law.</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27 It would appear that the law would be better served if the maxim was treated as expired and no longer used as a separate component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actions. After all, it was nothing more than an attempt to deal with circumstantial evidence. That evidence is more sensibly dealt with by the trier of fact, who should weigh the circumstantial evidence with the direct evidence, if any, to determine whether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 Once the plaintiff has done so, the defendant must present evidence negating that of the plaintiff or necessarily the plaintiff will succeed.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plaintiff relies on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 xml:space="preserve"> as well as the general principles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There is no doubt that the defendants were occupiers and that the bulk foods department of the Save-on Foods store in Ladner constituted premises both within the meaning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duties of an occupier are set out in s. 3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An occupier of premises owes a duty to take that care that in all the circumstances of the case is reasonable to see that a person will be reasonably safe in using the premises.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Counsel for the defendants submits, and I accept, that the mere fact that an accident took place on the premises is not a ground for finding liability.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does not create a presumption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nor does it impose a standard of perfection. It does not make occupiers like the defendants the insurers of the safety of their customers. See for instance </w:t>
      </w:r>
      <w:r>
        <w:rPr>
          <w:rFonts w:ascii="arial" w:eastAsia="arial" w:hAnsi="arial" w:cs="arial"/>
          <w:b/>
          <w:i/>
          <w:color w:val="000000"/>
          <w:sz w:val="20"/>
          <w:lang w:val="en-US" w:eastAsia="en-US" w:bidi="ar-SA"/>
        </w:rPr>
        <w:t>Andersen v. Hicks</w:t>
      </w:r>
      <w:r>
        <w:rPr>
          <w:rFonts w:ascii="arial" w:eastAsia="arial" w:hAnsi="arial" w:cs="arial"/>
          <w:color w:val="000000"/>
          <w:sz w:val="20"/>
          <w:lang w:val="en-US" w:eastAsia="en-US" w:bidi="ar-SA"/>
        </w:rPr>
        <w:t xml:space="preserve">, </w:t>
      </w:r>
      <w:hyperlink r:id="rId979" w:history="1">
        <w:r>
          <w:rPr>
            <w:rFonts w:ascii="arial" w:eastAsia="arial" w:hAnsi="arial" w:cs="arial"/>
            <w:i/>
            <w:color w:val="0077CC"/>
            <w:sz w:val="20"/>
            <w:u w:val="single"/>
            <w:shd w:val="clear" w:color="auto" w:fill="FFFFFF"/>
            <w:lang w:val="en-US" w:eastAsia="en-US" w:bidi="ar-SA"/>
          </w:rPr>
          <w:t>[1991] B.C.J. No. 3059</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have carefully considered the evidence, circumstantial, expert and direct. I find that the evidence establishes the following:</w:t>
      </w:r>
      <w:r>
        <w:rPr>
          <w:rFonts w:ascii="arial" w:eastAsia="arial" w:hAnsi="arial" w:cs="arial"/>
          <w:sz w:val="20"/>
          <w:lang w:val="en-US" w:eastAsia="en-US" w:bidi="ar-SA"/>
        </w:rPr>
        <w:cr/>
      </w:r>
    </w:p>
    <w:p>
      <w:pPr>
        <w:numPr>
          <w:numId w:val="5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Mrs. Harris, whose evidence I accept without reservation, reached up and applied relatively little force to the lever of the bin when it toppled down on her.</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that time, as testified by Mr. Halsey, the bin was only about 25% full based on his observation of its contents spilled onto the floor.</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accordance with the opinion evidence of Mr. West, which I accept, a bin that is nearing empty is very unstable if it is not latched in, and can easily topple forward. The photograph used by Mr. West to demonstrate this condition showed a bin with a rear chamber that Mr. Halsey agreed was about 25% full or a little less.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Given that Mr. Halsey was only estimating from the amount of product spilled onto the floor, which would have included the product in the front chamber as well as the rear chamber, I have no hesitation in concluding from Mr. Halsey's description that the bin was sufficiently near empty to have achieved the unstable condition described by Mr. West.</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bin that is latched will not topple forward, and cannot be inadvertently unlatched, no matter how full or empty it is.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post for latching the bin that fell on Mrs. Harris was not loose or otherwise damaged.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these circumstances, I conclude that the plaintiff has established, on a balance of probabilities, a </w:t>
      </w:r>
      <w:r>
        <w:rPr>
          <w:rFonts w:ascii="arial" w:eastAsia="arial" w:hAnsi="arial" w:cs="arial"/>
          <w:i/>
          <w:color w:val="000000"/>
          <w:sz w:val="20"/>
          <w:lang w:val="en-US" w:eastAsia="en-US" w:bidi="ar-SA"/>
        </w:rPr>
        <w:t>prima facie</w:t>
      </w:r>
      <w:r>
        <w:rPr>
          <w:rFonts w:ascii="arial" w:eastAsia="arial" w:hAnsi="arial" w:cs="arial"/>
          <w:color w:val="000000"/>
          <w:sz w:val="20"/>
          <w:lang w:val="en-US" w:eastAsia="en-US" w:bidi="ar-SA"/>
        </w:rPr>
        <w:t xml:space="preserve"> case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Counsel for the defendants, recognizing that the circumstances of this case call for an answer, submitted that the defendants have rebutted any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by providing an explanation of how this accident could have happened in the absence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Ms. Kovacs proffered in this regard Mr. Halsey's test which demonstrated that if he took hold of the spout and applied his body weight by leaning outwards, he could dislodge the bin's latching mechanism.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With respect, the suggestion that Mrs. Harris, a diminutive elder, who reached up to grasp the handle that one is supposed to grasp when using a gravity-fed bin, would have duplicated the force applied by Mr. Halsey reaching straight out, not up, grasping the spout, not the handle, and weighing 185 pounds instead of approximately 130 pounds, simply will not fly. Under no circumstances does the evidence support the proposition that she exerted the kind of force described by Mr. Halsey on the bin. Physically, she did not appear capable of doing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only rational inference is that the bin must have been unlatched when Mrs. Harris reached up to pull on its lever, and I so find. Because it was nearing empty it was unstable and ready to topple forward when relatively minor force was applied. That is consistent with all of the evidence. The accident could not have happened otherwise.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Counsel for the defendant submits in the alternative that even if Mrs. Harris did not apply any weight and the inference arises that the bin was unlocked, liability still cannot attach because the defendants had a reasonable system of maintenance in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I am obliged to reject that submission as well. What was lacking on the evidence was any system of maintenance or inspection designed specifically to determine whether these bins were latched or not. That is demonstrated by the evidence of Mr. Halsey who testified not that he checked each bin every day to ensure that it was latched, but rather that he dusted each bin every day and expected that the process he employed would have indicated if any bin was not latched in place. Obviously it did not do so in this case. A system specifically designed to test whether each bin was latched or not would have disclosed the problem.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evidence of Mr. West fortifies this conclusion. When he inspected the bins at a later date, 17 of the 79 bins were found to be unlatched. The defendants were unable to offer any explanation for this state of affairs. Mr. Halsey had left the Delta store by this time, but there was no evidence that the system of inspection had changed. On the contrary, the discovery evidence was to the effect that there had been no formal change to the system of inspection and maintenance in relation to the bins after Mrs. Harris's injury, although they tried to keep a closer eye on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It is evident to me that the Save-On Foods system of maintenance in the bulk foods department was singularly ineffective in terms of ensuring that the bins were securely latched into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these circumstances, I am unable to accept that the defendants' system, which consisted of a daily dusting of the bins, was sufficient. The whole purpose of having latches was presumably to make the bins safe for use by people standing underneath or in front of them. Given that they were moved once or twice a week for the purposes of being filled, the risk that some might not be properly latched upon replacement was clearly present. Moreover, the changing amounts of product in the bins over the course of each day would have led to a decreasing level of stability in any bin that was unlatched. Notwithstanding this, the defendants had no system of inspection in place designed to determine whether these bins were latched or not. I find that failure to constitute a breach of the defendant's duty of care both at common law and under the </w:t>
      </w:r>
      <w:r>
        <w:rPr>
          <w:rFonts w:ascii="arial" w:eastAsia="arial" w:hAnsi="arial" w:cs="arial"/>
          <w:b/>
          <w:i/>
          <w:color w:val="000000"/>
          <w:sz w:val="20"/>
          <w:lang w:val="en-US" w:eastAsia="en-US" w:bidi="ar-SA"/>
        </w:rPr>
        <w:t>Occupiers Liability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Accordingly I find the defendants liable to Mrs.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Mrs. Harris's family doctor, Dr. Wendy Porten, testified and her report and records were put into evidence. Expert reports were filed on behalf of the plaintiff from Dr. E.A. Condon, an expert in musculoskeletal pain management, and on behalf of the defendants from Dr. M.K. Reebye, an expert in physical medicine and rehabilitation. I also heard evidence from Mrs. Harris, her husband, Mr. Henry Harris, and her daughter, Ms. Penny Lynn.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It was clear to me from listening to and observing Mr. and Mrs. Harris and Ms. Lynn that all three of them tended, if anything, to minimize the problems caused to Mrs. Harris by her injuries. I discerned no hint of exaggeration, self pity or malingering.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It is clear from all of the evidence that Mrs. Harris suffered a serious and chronic injury to her left wrist, described by the hand surgeon to whom she was initially referred, Dr. David Kester, as "injury to the left wrist triangular fibro cartilage complex". Dr. Porten confirmed that a subsequent MRI disclosed that Mrs. Harris had a complete full thickness tear through the body and radial limbs of the triangular fibro cartilage. Corticosteroid injections provided little benefit and Mrs. Harris responded poorly to the physiotherapy and medications that were recommended.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In the months following the accident, Mrs. Harris developed a frozen left shoulder, that is, reduced range of motion and associated severe joint pain due to her limited left wrist mobility. Dr. Condon explained that the loss of wrist extension, flexion, pronation and supination led to an increased need for shoulder abduction and rotation. As a result, left shoulder symptoms became very severe and led to pain radiating from the shoulder girdle muscles down the left arm to the dorsum of the wrist.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Dr. Condon diagnosed left shoulder subacromial bursitis and restrictive capsulitis, which he treated with injections of Kenalog into the subacromial space. These were helpful but the impairment is chronic.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Nerve conduction studies revealed symptomatic left frozen shoulder with evidence of underlying cervical radiculopathy or brachial plexopathy. Dr. Condon concluded that Mrs. Harris will have difficulty with management of activities of daily living and housework for the rest of her life. Dr. Porten also expressed the opinion that Mrs. Harris will have ongoing permanent disabilities not only in her wrists, because of the complete tear, but also in her left shoulder. Mrs. Harris is left-hand dominant, so the handicap resulting from these injuries has been all the more severe. Function in her left arm and shoulder has been minimal. She has had difficulty accessing restful sleep.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Dr. Reebye saw Mrs. Harris on July 26, 2007. He agreed that her left wrist would remain more or less the same over time but expected that her frozen left shoulder should improve significantly. That optimistic opinion has not been borne out by experience over the 15 months since Dr. Reebye saw Mrs. Harris. I prefer the opinions of the treating doctor, Dr. Porten and Dr. Condon, to that of Dr. Reebye.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Mrs. Harris did not testify at great length about the effect of her injuries. I had indicated to counsel at the end of the day before Mrs. Harris was to give evidence that I trusted both of them to be satisfied that it was, in fact, necessary for her to testify. It appears that plaintiff's counsel shortened his examination in chief of the plaintiff as a result of my comment.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Defendants' counsel submitted that as a result, there is an important gap in the evidence. Much of the evidence concerning Mrs. Harris's disabilities comes from the medical opinion evidence and from the observations of Mr. Harris and Ms. Lynn. Counsel for the defendants submitted that I cannot take their evidence into account as this sort of evidence must come from the plaintiff herself. For instance, both Mr. Harris and Ms. Lynn testified that Mrs. Harris is no longer able to knit and crochet, activities which were among her favourites before the accident. Ms. Kovacs suggested that I cannot make that finding in the absence of similar evidence from Mrs.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note that Mr. Harris is with his wife virtually 24/7. He talked about the lovely sweaters she used to knit for him and all of the clothing she would knit for her great grandchildren. She used to do this in the evenings for many hours a week but simply cannot do so any more. He is of course with her every evening. The conclusion that she is no longer able to knit and crochet would be fairly obvious given the nature of her injury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In these circumstances I do not accept Ms. Kovacs' submission. I find that the evidence that Mrs. Harris did give, together with the evidence of Mr. Harris, Ms. Lynn and the expert medical opinion evidence, is more than enough to allow me to make the necessary findings concerning the extent of Mrs. Harris's injuries and their effect on her life.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a result of her injuries Mrs. Harris is now very limited in what she can do. She cannot lift pots from a stove or carry anything of any weight with her left dominant arm. She is frequently in significant pain. She is unable to cook as she used to for Christmas and birthday celebrations for her large and very close-knit family. She is unable to do anything about the lightest of housekeeping chores. She has had to give up knitting and crocheting which were favourite activities of hers. She has had to greatly reduce her bridge games.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Before the injury, Mr. and Mrs. Harris had an active life together. Since the injury Mrs. Harris had to give up many of the physical activities that she enjoyed with her husband including golf, fishing, dancing, going for walks and shopping for any length of time. When Mr. and Mrs. Harris go south on their annual trips to their mobile home in Arizona, they fly now because Mrs. Harris can no longer tolerate the lengthy drive in the family truck. They have been obliged to hire a housekeeper to come in for two hours every two weeks or so to do the heavy housework. Mr. Harris does most of the rest. They gave up the lakeside trailer they had in B.C. where the family enjoyed summers and Mr. and Mrs. Harris enjoyed fishing. The trailer park was about to be developed but Mr. and Mrs. Harris gave up the trailer altogether rather than seek a new spot because Mrs. Harris's injuries meant that they really could not use it anymore.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Mrs. Harris has found it difficult to walk as much as she used to whether outside or in the shopping mall partly due to fatigue and partly due to fear of falling. She has become, in short, protective of her physical state fearing further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The defendants argued that Mrs. Harris had failed to mitigate her damages. In particular the defendants submitted that she failed to follow through properly with physiotherapy programs leading to the development of her frozen shoulder and preventing further recovery of that shoulder. It is clear that no therapy was going to improve her wrist significantly.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The defendants' argument in this regard is based upon the clinical records. No one offered an expert opinion to that effect. Not even Dr. Reebye's report supports the argument. Indeed Dr. Reebye noted in relation to Mrs. Harris's frozen left shoulder that "she has had injections and therapies with limited results." Mrs. Harris herself testified that her physiotherapist showed her exercises to do while she was away in Arizona and that did she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 do accept that physiotherapy and some exercise is going to be important for Mrs. Harris in the future. I am unable to find on the evidence, however, that she failed to mitigate her loss by failing to follow medical advice. I conclude that the frozen shoulder was a direct result of the injury to the wrist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With respect to non-pecuniary damages, I have reviewed the cases cited by counsel, including the following: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Beech v. Taylor</w:t>
      </w:r>
      <w:r>
        <w:rPr>
          <w:rFonts w:ascii="arial" w:eastAsia="arial" w:hAnsi="arial" w:cs="arial"/>
          <w:color w:val="000000"/>
          <w:sz w:val="20"/>
          <w:lang w:val="en-US" w:eastAsia="en-US" w:bidi="ar-SA"/>
        </w:rPr>
        <w:t xml:space="preserve">, </w:t>
      </w:r>
      <w:hyperlink r:id="rId980" w:history="1">
        <w:r>
          <w:rPr>
            <w:rFonts w:ascii="arial" w:eastAsia="arial" w:hAnsi="arial" w:cs="arial"/>
            <w:i/>
            <w:color w:val="0077CC"/>
            <w:sz w:val="20"/>
            <w:u w:val="single"/>
            <w:shd w:val="clear" w:color="auto" w:fill="FFFFFF"/>
            <w:lang w:val="en-US" w:eastAsia="en-US" w:bidi="ar-SA"/>
          </w:rPr>
          <w:t>[1998] B.C.J. No. 403</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Borth v. Lee</w:t>
      </w:r>
      <w:r>
        <w:rPr>
          <w:rFonts w:ascii="arial" w:eastAsia="arial" w:hAnsi="arial" w:cs="arial"/>
          <w:color w:val="000000"/>
          <w:sz w:val="20"/>
          <w:lang w:val="en-US" w:eastAsia="en-US" w:bidi="ar-SA"/>
        </w:rPr>
        <w:t xml:space="preserve">, </w:t>
      </w:r>
      <w:hyperlink r:id="rId981" w:history="1">
        <w:r>
          <w:rPr>
            <w:rFonts w:ascii="arial" w:eastAsia="arial" w:hAnsi="arial" w:cs="arial"/>
            <w:i/>
            <w:color w:val="0077CC"/>
            <w:sz w:val="20"/>
            <w:u w:val="single"/>
            <w:shd w:val="clear" w:color="auto" w:fill="FFFFFF"/>
            <w:lang w:val="en-US" w:eastAsia="en-US" w:bidi="ar-SA"/>
          </w:rPr>
          <w:t>2005 BCSC 1517</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Bush v. Lundstrom</w:t>
      </w:r>
      <w:r>
        <w:rPr>
          <w:rFonts w:ascii="arial" w:eastAsia="arial" w:hAnsi="arial" w:cs="arial"/>
          <w:color w:val="000000"/>
          <w:sz w:val="20"/>
          <w:lang w:val="en-US" w:eastAsia="en-US" w:bidi="ar-SA"/>
        </w:rPr>
        <w:t xml:space="preserve">, </w:t>
      </w:r>
      <w:hyperlink r:id="rId982" w:history="1">
        <w:r>
          <w:rPr>
            <w:rFonts w:ascii="arial" w:eastAsia="arial" w:hAnsi="arial" w:cs="arial"/>
            <w:i/>
            <w:color w:val="0077CC"/>
            <w:sz w:val="20"/>
            <w:u w:val="single"/>
            <w:shd w:val="clear" w:color="auto" w:fill="FFFFFF"/>
            <w:lang w:val="en-US" w:eastAsia="en-US" w:bidi="ar-SA"/>
          </w:rPr>
          <w:t>2001 BCSC 170</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Irvine v. Cara Operations Ltd.</w:t>
      </w:r>
      <w:r>
        <w:rPr>
          <w:rFonts w:ascii="arial" w:eastAsia="arial" w:hAnsi="arial" w:cs="arial"/>
          <w:color w:val="000000"/>
          <w:sz w:val="20"/>
          <w:lang w:val="en-US" w:eastAsia="en-US" w:bidi="ar-SA"/>
        </w:rPr>
        <w:t xml:space="preserve">, </w:t>
      </w:r>
      <w:hyperlink r:id="rId983" w:history="1">
        <w:r>
          <w:rPr>
            <w:rFonts w:ascii="arial" w:eastAsia="arial" w:hAnsi="arial" w:cs="arial"/>
            <w:i/>
            <w:color w:val="0077CC"/>
            <w:sz w:val="20"/>
            <w:u w:val="single"/>
            <w:shd w:val="clear" w:color="auto" w:fill="FFFFFF"/>
            <w:lang w:val="en-US" w:eastAsia="en-US" w:bidi="ar-SA"/>
          </w:rPr>
          <w:t>2002 BCSC 1581</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Perez v. Vancouver (City)</w:t>
      </w:r>
      <w:r>
        <w:rPr>
          <w:rFonts w:ascii="arial" w:eastAsia="arial" w:hAnsi="arial" w:cs="arial"/>
          <w:color w:val="000000"/>
          <w:sz w:val="20"/>
          <w:lang w:val="en-US" w:eastAsia="en-US" w:bidi="ar-SA"/>
        </w:rPr>
        <w:t xml:space="preserve">, </w:t>
      </w:r>
      <w:hyperlink r:id="rId984" w:history="1">
        <w:r>
          <w:rPr>
            <w:rFonts w:ascii="arial" w:eastAsia="arial" w:hAnsi="arial" w:cs="arial"/>
            <w:i/>
            <w:color w:val="0077CC"/>
            <w:sz w:val="20"/>
            <w:u w:val="single"/>
            <w:shd w:val="clear" w:color="auto" w:fill="FFFFFF"/>
            <w:lang w:val="en-US" w:eastAsia="en-US" w:bidi="ar-SA"/>
          </w:rPr>
          <w:t>2002 BCSC 1773</w:t>
        </w:r>
      </w:hyperlink>
    </w:p>
    <w:p>
      <w:pPr>
        <w:spacing w:before="120" w:line="260" w:lineRule="atLeast"/>
        <w:ind w:left="720"/>
        <w:rPr>
          <w:rFonts w:ascii="arial" w:eastAsia="arial" w:hAnsi="arial" w:cs="arial"/>
          <w:sz w:val="20"/>
          <w:lang w:val="en-US" w:eastAsia="en-US" w:bidi="ar-SA"/>
        </w:rPr>
      </w:pPr>
      <w:r>
        <w:rPr>
          <w:rFonts w:ascii="arial" w:eastAsia="arial" w:hAnsi="arial" w:cs="arial"/>
          <w:b/>
          <w:i/>
          <w:color w:val="000000"/>
          <w:sz w:val="20"/>
          <w:lang w:val="en-US" w:eastAsia="en-US" w:bidi="ar-SA"/>
        </w:rPr>
        <w:t>Schipilow v. Minch</w:t>
      </w:r>
      <w:r>
        <w:rPr>
          <w:rFonts w:ascii="arial" w:eastAsia="arial" w:hAnsi="arial" w:cs="arial"/>
          <w:color w:val="000000"/>
          <w:sz w:val="20"/>
          <w:lang w:val="en-US" w:eastAsia="en-US" w:bidi="ar-SA"/>
        </w:rPr>
        <w:t xml:space="preserve">, </w:t>
      </w:r>
      <w:hyperlink r:id="rId985" w:history="1">
        <w:r>
          <w:rPr>
            <w:rFonts w:ascii="arial" w:eastAsia="arial" w:hAnsi="arial" w:cs="arial"/>
            <w:i/>
            <w:color w:val="0077CC"/>
            <w:sz w:val="20"/>
            <w:u w:val="single"/>
            <w:shd w:val="clear" w:color="auto" w:fill="FFFFFF"/>
            <w:lang w:val="en-US" w:eastAsia="en-US" w:bidi="ar-SA"/>
          </w:rPr>
          <w:t>2006 BCSC 1786</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It is not enough, of course, simply to compare injuries or procedures. In assessing non-pecuniary damages one must assess the impact of the injuries on the life of the particular plaintiff. As one would anticipate in a case this, the defendants argued that a worsening of Mrs. Harris's overall function was bound to occur as a result of the aging process so that "her activity and enjoyment of life would have rapidly deteriorated in any event because of her advancing age." I will address this issue further in relation to the plaintiff's claim for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 note that in the </w:t>
      </w:r>
      <w:r>
        <w:rPr>
          <w:rFonts w:ascii="arial" w:eastAsia="arial" w:hAnsi="arial" w:cs="arial"/>
          <w:b/>
          <w:i/>
          <w:color w:val="000000"/>
          <w:sz w:val="20"/>
          <w:lang w:val="en-US" w:eastAsia="en-US" w:bidi="ar-SA"/>
        </w:rPr>
        <w:t>Irvine</w:t>
      </w:r>
      <w:r>
        <w:rPr>
          <w:rFonts w:ascii="arial" w:eastAsia="arial" w:hAnsi="arial" w:cs="arial"/>
          <w:color w:val="000000"/>
          <w:sz w:val="20"/>
          <w:lang w:val="en-US" w:eastAsia="en-US" w:bidi="ar-SA"/>
        </w:rPr>
        <w:t xml:space="preserve"> case the plaintiff was an 84-year-old woman with a very active lifestyle at the time of her injury. While she suffered several fractures and had to undergo surgeries, she recovered well from those injuries other than the ones to her right shoulder and her right wrist. The award in that case was $60,000. In the judgment there was reference to the case of </w:t>
      </w:r>
      <w:r>
        <w:rPr>
          <w:rFonts w:ascii="arial" w:eastAsia="arial" w:hAnsi="arial" w:cs="arial"/>
          <w:b/>
          <w:i/>
          <w:color w:val="000000"/>
          <w:sz w:val="20"/>
          <w:lang w:val="en-US" w:eastAsia="en-US" w:bidi="ar-SA"/>
        </w:rPr>
        <w:t>Ingvaldson v. White</w:t>
      </w:r>
      <w:r>
        <w:rPr>
          <w:rFonts w:ascii="arial" w:eastAsia="arial" w:hAnsi="arial" w:cs="arial"/>
          <w:color w:val="000000"/>
          <w:sz w:val="20"/>
          <w:lang w:val="en-US" w:eastAsia="en-US" w:bidi="ar-SA"/>
        </w:rPr>
        <w:t xml:space="preserve">, </w:t>
      </w:r>
      <w:hyperlink r:id="rId986" w:history="1">
        <w:r>
          <w:rPr>
            <w:rFonts w:ascii="arial" w:eastAsia="arial" w:hAnsi="arial" w:cs="arial"/>
            <w:i/>
            <w:color w:val="0077CC"/>
            <w:sz w:val="20"/>
            <w:u w:val="single"/>
            <w:shd w:val="clear" w:color="auto" w:fill="FFFFFF"/>
            <w:lang w:val="en-US" w:eastAsia="en-US" w:bidi="ar-SA"/>
          </w:rPr>
          <w:t>[2001] B.C.J. No. 944</w:t>
        </w:r>
      </w:hyperlink>
      <w:r>
        <w:rPr>
          <w:rFonts w:ascii="arial" w:eastAsia="arial" w:hAnsi="arial" w:cs="arial"/>
          <w:color w:val="000000"/>
          <w:sz w:val="20"/>
          <w:lang w:val="en-US" w:eastAsia="en-US" w:bidi="ar-SA"/>
        </w:rPr>
        <w:t xml:space="preserve"> (S.C.) where McEwan J. said this: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think, as well, that over the course of time since the first accident some account must be taken of the natural effects of age.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making the last observation, I am mindful of what was said by Mr. Justice Fraser in </w:t>
      </w:r>
      <w:r>
        <w:rPr>
          <w:rFonts w:ascii="arial" w:eastAsia="arial" w:hAnsi="arial" w:cs="arial"/>
          <w:i/>
          <w:color w:val="000000"/>
          <w:sz w:val="20"/>
          <w:lang w:val="en-US" w:eastAsia="en-US" w:bidi="ar-SA"/>
        </w:rPr>
        <w:t>Pingitore v. Luke</w:t>
      </w:r>
      <w:r>
        <w:rPr>
          <w:rFonts w:ascii="arial" w:eastAsia="arial" w:hAnsi="arial" w:cs="arial"/>
          <w:color w:val="000000"/>
          <w:sz w:val="20"/>
          <w:lang w:val="en-US" w:eastAsia="en-US" w:bidi="ar-SA"/>
        </w:rPr>
        <w:t xml:space="preserve">, </w:t>
      </w:r>
      <w:hyperlink r:id="rId987" w:history="1">
        <w:r>
          <w:rPr>
            <w:rFonts w:ascii="arial" w:eastAsia="arial" w:hAnsi="arial" w:cs="arial"/>
            <w:i/>
            <w:color w:val="0077CC"/>
            <w:sz w:val="20"/>
            <w:u w:val="single"/>
            <w:shd w:val="clear" w:color="auto" w:fill="FFFFFF"/>
            <w:lang w:val="en-US" w:eastAsia="en-US" w:bidi="ar-SA"/>
          </w:rPr>
          <w:t>[1994] B.C.J. No. 1866</w:t>
        </w:r>
      </w:hyperlink>
      <w:r>
        <w:rPr>
          <w:rFonts w:ascii="arial" w:eastAsia="arial" w:hAnsi="arial" w:cs="arial"/>
          <w:color w:val="000000"/>
          <w:sz w:val="20"/>
          <w:lang w:val="en-US" w:eastAsia="en-US" w:bidi="ar-SA"/>
        </w:rPr>
        <w:t xml:space="preserve"> (B.C.S.C.), of a 67 year old plaintiff (at para. 36):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What must be looked at is the deprivation of the vigour he had enjoyed up until the accident and which, on the evidence, I think he might have expected to enjoy for some long years. Injury to older people is, from at least one vantage, more profound than injury to the younger. The Court of Appeal of England in </w:t>
      </w:r>
      <w:r>
        <w:rPr>
          <w:rFonts w:ascii="arial" w:eastAsia="arial" w:hAnsi="arial" w:cs="arial"/>
          <w:i/>
          <w:color w:val="000000"/>
          <w:sz w:val="20"/>
          <w:lang w:val="en-US" w:eastAsia="en-US" w:bidi="ar-SA"/>
        </w:rPr>
        <w:t>Frank v. Cox</w:t>
      </w:r>
      <w:r>
        <w:rPr>
          <w:rFonts w:ascii="arial" w:eastAsia="arial" w:hAnsi="arial" w:cs="arial"/>
          <w:color w:val="000000"/>
          <w:sz w:val="20"/>
          <w:lang w:val="en-US" w:eastAsia="en-US" w:bidi="ar-SA"/>
        </w:rPr>
        <w:t xml:space="preserve"> said this:</w:t>
      </w:r>
    </w:p>
    <w:p>
      <w:pPr>
        <w:spacing w:before="120" w:line="260" w:lineRule="atLeast"/>
        <w:ind w:left="1440"/>
        <w:rPr>
          <w:rFonts w:ascii="arial" w:eastAsia="arial" w:hAnsi="arial" w:cs="arial"/>
          <w:sz w:val="20"/>
          <w:lang w:val="en-US" w:eastAsia="en-US" w:bidi="ar-SA"/>
        </w:rPr>
      </w:pPr>
      <w:r>
        <w:rPr>
          <w:rFonts w:ascii="arial" w:eastAsia="arial" w:hAnsi="arial" w:cs="arial"/>
          <w:color w:val="000000"/>
          <w:sz w:val="20"/>
          <w:lang w:val="en-US" w:eastAsia="en-US" w:bidi="ar-SA"/>
        </w:rPr>
        <w:t>I take the view myself that when one has a person in advancing years, in some respects an impairment of movement may perhaps be more serious than it is with a younger person. It is true, as Mr. Chedlow has stressed, that he has not got as many years before him through which he has to live with this discomfort, pain and impairment of movement. But it is important to bear in mind that as one advances in life one's pleasures and activities particularly do become more limited, and any substantial impairment in the limited amount of activity and movement which a person can undertake, in my view, becomes all the more serious on that account.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evidence before me that would allow me to conclude that any of the limitations Mrs. Harris has suffered were going to occur in any event. She was able to demonstrate in the witness box that she has no limitation of movement in her right arm, unlike her dominant left arm. Apart from the injuries that she suffered in this incident, her health has been remarkably good. The only difficulty that I was able to observe that could be attributed to age was a hardness of hearing exacerbated by a poorly functioning hearing aid. In the result, these injuries have prevented Mrs. Harris from reaping the genetic reward of healthy longevity. In that sense, as noted in the passage quoted above, the effect has been considerably worse than might be expected in a younger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With respect to the </w:t>
      </w:r>
      <w:r>
        <w:rPr>
          <w:rFonts w:ascii="arial" w:eastAsia="arial" w:hAnsi="arial" w:cs="arial"/>
          <w:b/>
          <w:i/>
          <w:color w:val="000000"/>
          <w:sz w:val="20"/>
          <w:lang w:val="en-US" w:eastAsia="en-US" w:bidi="ar-SA"/>
        </w:rPr>
        <w:t>Irvine</w:t>
      </w:r>
      <w:r>
        <w:rPr>
          <w:rFonts w:ascii="arial" w:eastAsia="arial" w:hAnsi="arial" w:cs="arial"/>
          <w:color w:val="000000"/>
          <w:sz w:val="20"/>
          <w:lang w:val="en-US" w:eastAsia="en-US" w:bidi="ar-SA"/>
        </w:rPr>
        <w:t xml:space="preserve"> case, counsel for the defendants submitted that the award there is much higher than would be appropriate for Mrs. Harris given that Ms. Irvine suffered a number of fractures and had to undergo surgeries. Anyone who has played or follows sports knows, of course, that ligamentous injuries may in fact be more serious than fractures. I also note the reference by Boyd J. in the </w:t>
      </w:r>
      <w:r>
        <w:rPr>
          <w:rFonts w:ascii="arial" w:eastAsia="arial" w:hAnsi="arial" w:cs="arial"/>
          <w:b/>
          <w:i/>
          <w:color w:val="000000"/>
          <w:sz w:val="20"/>
          <w:lang w:val="en-US" w:eastAsia="en-US" w:bidi="ar-SA"/>
        </w:rPr>
        <w:t>Irvine</w:t>
      </w:r>
      <w:r>
        <w:rPr>
          <w:rFonts w:ascii="arial" w:eastAsia="arial" w:hAnsi="arial" w:cs="arial"/>
          <w:color w:val="000000"/>
          <w:sz w:val="20"/>
          <w:lang w:val="en-US" w:eastAsia="en-US" w:bidi="ar-SA"/>
        </w:rPr>
        <w:t xml:space="preserve"> case to the basis of her award of $60,000: "... the plaintiff's extremely active lifestyle, her lack of any other ongoing medical disabilities pre-accident, and the various residual disabilities resulting from the accident". On those points, Mrs. Harris's situation is very similar.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 all of the circumstances, taking into account the great change these injuries have wrought on Mrs. Harris's life, the daily pain and limitations that she suffers and the chronic nature of her condition, I assess her non-pecuniary damages at $50,000.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turn next to her claim for past loss of housekeeping capacity. This loss has been significant for Mrs. Harris. The fact that some of her housekeeping tasks were taken over by other members of her family does not diminish the loss: </w:t>
      </w:r>
      <w:r>
        <w:rPr>
          <w:rFonts w:ascii="arial" w:eastAsia="arial" w:hAnsi="arial" w:cs="arial"/>
          <w:b/>
          <w:i/>
          <w:color w:val="000000"/>
          <w:sz w:val="20"/>
          <w:lang w:val="en-US" w:eastAsia="en-US" w:bidi="ar-SA"/>
        </w:rPr>
        <w:t>McTavish v. MacGillivray</w:t>
      </w:r>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2000 BCCA 164</w:t>
        </w:r>
      </w:hyperlink>
      <w:r>
        <w:rPr>
          <w:rFonts w:ascii="arial" w:eastAsia="arial" w:hAnsi="arial" w:cs="arial"/>
          <w:color w:val="000000"/>
          <w:sz w:val="20"/>
          <w:lang w:val="en-US" w:eastAsia="en-US" w:bidi="ar-SA"/>
        </w:rPr>
        <w:t xml:space="preserve">, </w:t>
      </w:r>
      <w:hyperlink r:id="rId988" w:history="1">
        <w:r>
          <w:rPr>
            <w:rFonts w:ascii="arial" w:eastAsia="arial" w:hAnsi="arial" w:cs="arial"/>
            <w:i/>
            <w:color w:val="0077CC"/>
            <w:sz w:val="20"/>
            <w:u w:val="single"/>
            <w:shd w:val="clear" w:color="auto" w:fill="FFFFFF"/>
            <w:lang w:val="en-US" w:eastAsia="en-US" w:bidi="ar-SA"/>
          </w:rPr>
          <w:t>74 B.C.L.R. (3d) 281</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Plaintiff's counsel suggested that I assess this loss based on the occupational therapist's recommendation for future housekeeping needs at 10 hours per week at a cost of $22 per hour. That would come to approximately $50,000 over the period from the time of the accident to the time of trial. I am unable to conclude that the evidence justifies an award that high. Given that Mr. Harris was retired, it is likely in my view that he would have taken over at least some of the housekeeping chores in any event. I consider that to be true also of the extended family in relation to the dinners. In addition, the Harrises spent many weeks a year in Arizona where their housekeeping needs were considerably reduced. I am also mindful of the need to avoid duplication between this award and the award of non-pecuniary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Taking into account all of the evidence, I conclude that an award for loss of past housekeeping capacity in the amount of $17,500 is appropriate. I base this, in essence, on the cost of housekeeping services at 4 hours per week, 10 months per year, for $22 per hour. As will be seen, I take a similar approach for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I turn next to consider the plaintiff's claim for future care costs. In so doing, I am mindful of the approach of Boyd J. in the </w:t>
      </w:r>
      <w:r>
        <w:rPr>
          <w:rFonts w:ascii="arial" w:eastAsia="arial" w:hAnsi="arial" w:cs="arial"/>
          <w:b/>
          <w:i/>
          <w:color w:val="000000"/>
          <w:sz w:val="20"/>
          <w:lang w:val="en-US" w:eastAsia="en-US" w:bidi="ar-SA"/>
        </w:rPr>
        <w:t>Irvine</w:t>
      </w:r>
      <w:r>
        <w:rPr>
          <w:rFonts w:ascii="arial" w:eastAsia="arial" w:hAnsi="arial" w:cs="arial"/>
          <w:color w:val="000000"/>
          <w:sz w:val="20"/>
          <w:lang w:val="en-US" w:eastAsia="en-US" w:bidi="ar-SA"/>
        </w:rPr>
        <w:t xml:space="preserve"> case where the plaintiff was 86 years old at the time of judgment. Boyd J. noted that she had no evidence of life expectancy, and considered that the plaintiff would likely move to a communal retirement home within four years where the services being sought would be provided as part of the overall care package. Her Ladyship therefore ordered future care costs for a period of four years.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xml:space="preserve">  A major distinguishing feature between this case and the </w:t>
      </w:r>
      <w:r>
        <w:rPr>
          <w:rFonts w:ascii="arial" w:eastAsia="arial" w:hAnsi="arial" w:cs="arial"/>
          <w:b/>
          <w:i/>
          <w:color w:val="000000"/>
          <w:sz w:val="20"/>
          <w:lang w:val="en-US" w:eastAsia="en-US" w:bidi="ar-SA"/>
        </w:rPr>
        <w:t>Irvine</w:t>
      </w:r>
      <w:r>
        <w:rPr>
          <w:rFonts w:ascii="arial" w:eastAsia="arial" w:hAnsi="arial" w:cs="arial"/>
          <w:color w:val="000000"/>
          <w:sz w:val="20"/>
          <w:lang w:val="en-US" w:eastAsia="en-US" w:bidi="ar-SA"/>
        </w:rPr>
        <w:t xml:space="preserve"> case is that Ms. Irvine had lost her husband some years before and lived alone. Mrs. Harris, on the other hand, has the advantage of the companionship and support of Mr. Harris, who made it clear in his evidence that moving into a retirement home in the foreseeable future is not in the cards.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fact remains at the age of 88, two years older than Ms. Irvine, Mrs. Harris could have anticipated some level of decrease in overall function even in the absence of injury. Thus, even without injury Mrs. Harris could have expected to need some aids and assistance as she 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On the other hand, the fact that she is an elder means that the effect of her injuries is to increase her need for assistance, rather like a thin-skulled plaintiff. It is of course impossible to predict Mrs. Harris's future and I lack the advantage of expert assistance.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In all of the circumstances, I conclude that a six-year period is appropriate for the continuation of most future care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Relying on the expert evidence and report of Cathrine Husken, an occupational therapist, plaintiff's counsel has sought future care costs consisting of one-time costs and future costs of five years and 10 years out. These include a scooter assessment and the cost of the scooter and its accessories. Defendants' counsel argues that on the evidence, any need for a scooter is not due to the shoulder and arm injury suffered by Mrs. Harris.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There is some truth in this, but I find that the need for a scooter has been accelerated by these injuries with the consequent effect on Mrs. Harris's ability to interact with her world. I therefore award a total of $3,000 under that heading.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I agree that Mrs. Harris is entitled to homemaking assistance. Ms. Husken recommended 10 hours a week at $22 an hour. The 10 hours would be made up of four hours cleaning, four hours in meal preparation and two hours of shopping. I do not find that the evidence has established a need for housekeeping services at that level. I award four hours per week at $22 an hour for 10 months a year for six years. This comes to $3,813 per year. In the absence of appropriate present value figures including mortality rates, I must simply do the best that I can - see </w:t>
      </w:r>
      <w:r>
        <w:rPr>
          <w:rFonts w:ascii="arial" w:eastAsia="arial" w:hAnsi="arial" w:cs="arial"/>
          <w:b/>
          <w:i/>
          <w:color w:val="000000"/>
          <w:sz w:val="20"/>
          <w:lang w:val="en-US" w:eastAsia="en-US" w:bidi="ar-SA"/>
        </w:rPr>
        <w:t>Naidu v. Mann</w:t>
      </w:r>
      <w:r>
        <w:rPr>
          <w:rFonts w:ascii="arial" w:eastAsia="arial" w:hAnsi="arial" w:cs="arial"/>
          <w:color w:val="000000"/>
          <w:sz w:val="20"/>
          <w:lang w:val="en-US" w:eastAsia="en-US" w:bidi="ar-SA"/>
        </w:rPr>
        <w:t xml:space="preserve">, </w:t>
      </w:r>
      <w:hyperlink r:id="rId989" w:history="1">
        <w:r>
          <w:rPr>
            <w:rFonts w:ascii="arial" w:eastAsia="arial" w:hAnsi="arial" w:cs="arial"/>
            <w:i/>
            <w:color w:val="0077CC"/>
            <w:sz w:val="20"/>
            <w:u w:val="single"/>
            <w:shd w:val="clear" w:color="auto" w:fill="FFFFFF"/>
            <w:lang w:val="en-US" w:eastAsia="en-US" w:bidi="ar-SA"/>
          </w:rPr>
          <w:t>2007 BCSC 1313</w:t>
        </w:r>
      </w:hyperlink>
      <w:r>
        <w:rPr>
          <w:rFonts w:ascii="arial" w:eastAsia="arial" w:hAnsi="arial" w:cs="arial"/>
          <w:color w:val="000000"/>
          <w:sz w:val="20"/>
          <w:lang w:val="en-US" w:eastAsia="en-US" w:bidi="ar-SA"/>
        </w:rPr>
        <w:t xml:space="preserve">. Having regard to Appendix E in the </w:t>
      </w:r>
      <w:r>
        <w:rPr>
          <w:rFonts w:ascii="arial" w:eastAsia="arial" w:hAnsi="arial" w:cs="arial"/>
          <w:b/>
          <w:i/>
          <w:color w:val="000000"/>
          <w:sz w:val="20"/>
          <w:lang w:val="en-US" w:eastAsia="en-US" w:bidi="ar-SA"/>
        </w:rPr>
        <w:t>Civil Jury Instructions</w:t>
      </w:r>
      <w:r>
        <w:rPr>
          <w:rFonts w:ascii="arial" w:eastAsia="arial" w:hAnsi="arial" w:cs="arial"/>
          <w:color w:val="000000"/>
          <w:sz w:val="20"/>
          <w:lang w:val="en-US" w:eastAsia="en-US" w:bidi="ar-SA"/>
        </w:rPr>
        <w:t>, employing a 3.5% discount rate, I find the appropriate present value to be $19,300. This will include any necessary seasonal cleaning.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I accept that Mrs. Harris should have some case management services to assist her as an elder in navigating through the complexities of our health care system in relation to the physiotherapy and other services she will need. I award $1,300 for this purpose. I find that the other counselling services are not justified.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On the evidence, physiotherapy services are also warranted, as is some assistance with an exercise program. Taking all of the factors into account including the past use of services, I would allow two years of services at a present value of $3,800.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A plan has been put forward for the cost of catering services that would allow Mrs. Harris to have a birthday party for her husband in their home every year. In past years she would have the extended family over for this event every year as well as for other events. The other events have been taken over by other family members but this is one event that, for obvious reasons, Mrs. Harris would prefer to continue herself. That is not unreasonable, but I find that it would be excessive to have the birthday party catered. I allow an additional three hours of housekeeping help at $22 per hour over the next six years yielding a present value of $330.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Kitchen aids are allowed at a total cost of $350 inclusive of taxes. Non-prescription medication, Tylenol is allowed at $175 per year over six years yielding an approximate present value of $885. I find that a claim for the cost of driver rehabilitation services is not supported by the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claim for future care costs then is allowed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4078"/>
        <w:gridCol w:w="209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99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Allowance for scooter</w:t>
            </w:r>
          </w:p>
        </w:tc>
        <w:tc>
          <w:tcPr>
            <w:tcW w:w="204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$3,000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1"/>
        <w:gridCol w:w="271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Housekeeping</w:t>
            </w:r>
          </w:p>
        </w:tc>
        <w:tc>
          <w:tcPr>
            <w:tcW w:w="266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$19,300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51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Case management</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$1,300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5019"/>
        <w:gridCol w:w="1150"/>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91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Physiotherapy and exercise services</w:t>
            </w:r>
          </w:p>
        </w:tc>
        <w:tc>
          <w:tcPr>
            <w:tcW w:w="112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$3,800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4392"/>
        <w:gridCol w:w="1778"/>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4301"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Assistance with birthday</w:t>
            </w:r>
          </w:p>
        </w:tc>
        <w:tc>
          <w:tcPr>
            <w:tcW w:w="1741"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$330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555"/>
        <w:gridCol w:w="2614"/>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4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Kitchen aids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$350</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823"/>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Tylenol</w:t>
            </w:r>
          </w:p>
        </w:tc>
        <w:tc>
          <w:tcPr>
            <w:tcW w:w="2765"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$885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928"/>
        <w:gridCol w:w="3241"/>
        <w:gridCol w:w="3660"/>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86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17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$28,955</w:t>
            </w:r>
          </w:p>
        </w:tc>
        <w:tc>
          <w:tcPr>
            <w:tcW w:w="358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This leaves special damages. There is a subrogated claim from the Ministry of Health in the amount of $1,422.67 which is not disputed and is allowed. The claim for the homemaking assistance for which the Harrises paid is subsumed in the award for loss of past housekeeping capacity. In accordance with Exhibit 6, this leaves a claim of $1,199.58 which I understand is not contested. It is accordingly allowed.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In summary, the plaintiff's damages are assessed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6"/>
        <w:gridCol w:w="3660"/>
        <w:gridCol w:w="2301"/>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58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Non-pecuniary damages</w:t>
            </w:r>
          </w:p>
        </w:tc>
        <w:tc>
          <w:tcPr>
            <w:tcW w:w="2253"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$50,000.00</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Past loss of housekeeping capacity $17,500.00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450"/>
        <w:gridCol w:w="2510"/>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Future care costs</w:t>
            </w:r>
          </w:p>
        </w:tc>
        <w:tc>
          <w:tcPr>
            <w:tcW w:w="2458" w:type="dxa"/>
            <w:tcBorders>
              <w:bottom w:val="nil"/>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$28,955.00</w:t>
            </w:r>
          </w:p>
        </w:tc>
        <w:tc>
          <w:tcPr>
            <w:tcW w:w="3789" w:type="dxa"/>
            <w:tcBorders>
              <w:bottom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37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Subrogated claim</w:t>
            </w:r>
          </w:p>
        </w:tc>
        <w:tc>
          <w:tcPr>
            <w:tcW w:w="2458"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$1,422.67</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3346"/>
        <w:gridCol w:w="2614"/>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327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Special damages</w:t>
            </w:r>
          </w:p>
        </w:tc>
        <w:tc>
          <w:tcPr>
            <w:tcW w:w="2560"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$1,199.58</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2614"/>
        <w:gridCol w:w="3346"/>
        <w:gridCol w:w="3869"/>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256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Total</w:t>
            </w:r>
          </w:p>
        </w:tc>
        <w:tc>
          <w:tcPr>
            <w:tcW w:w="3277"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$99,077.25</w:t>
            </w:r>
          </w:p>
        </w:tc>
        <w:tc>
          <w:tcPr>
            <w:tcW w:w="3789"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The plaintiff is entitled to interest on the appropriate items in accordance with the </w:t>
      </w:r>
      <w:r>
        <w:rPr>
          <w:rFonts w:ascii="arial" w:eastAsia="arial" w:hAnsi="arial" w:cs="arial"/>
          <w:b/>
          <w:i/>
          <w:color w:val="000000"/>
          <w:sz w:val="20"/>
          <w:lang w:val="en-US" w:eastAsia="en-US" w:bidi="ar-SA"/>
        </w:rPr>
        <w:t>Court Order Interest</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79</w:t>
      </w:r>
      <w:r>
        <w:rPr>
          <w:rFonts w:ascii="arial" w:eastAsia="arial" w:hAnsi="arial" w:cs="arial"/>
          <w:color w:val="000000"/>
          <w:sz w:val="20"/>
          <w:lang w:val="en-US" w:eastAsia="en-US" w:bidi="ar-SA"/>
        </w:rPr>
        <w:t xml:space="preserve"> and to her costs at Scale B.</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J.C. GRAUER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4" style="position:absolute;z-index:25188659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990"/>
          <w:headerReference w:type="default" r:id="rId991"/>
          <w:footerReference w:type="even" r:id="rId992"/>
          <w:footerReference w:type="default" r:id="rId993"/>
          <w:headerReference w:type="first" r:id="rId994"/>
          <w:footerReference w:type="first" r:id="rId99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996" w:history="1">
        <w:r>
          <w:rPr>
            <w:rFonts w:ascii="arial" w:eastAsia="arial" w:hAnsi="arial" w:cs="arial"/>
            <w:b/>
            <w:bCs/>
            <w:i/>
            <w:color w:val="0077CC"/>
            <w:kern w:val="32"/>
            <w:sz w:val="28"/>
            <w:szCs w:val="32"/>
            <w:u w:val="single"/>
            <w:shd w:val="clear" w:color="auto" w:fill="FFFFFF"/>
            <w:lang w:val="en-US" w:eastAsia="en-US" w:bidi="ar-SA"/>
          </w:rPr>
          <w:t>Hughes v. Baldwin, [2003] B.C.J. No. 2816</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Allan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18 and 19,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15,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L032176</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2816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1891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40 B.L.R. (3d) 293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127 A.C.W.S. (3d) 1002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B.C.T.C. 1891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Roger Hughes, appellant, and Nigel Baldwin, respondent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195" style="position:absolute;z-index:2516940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29" w:name="Keywords_34"/>
      <w:bookmarkEnd w:id="229"/>
      <w:r>
        <w:rPr>
          <w:rFonts w:ascii="arial" w:eastAsia="arial" w:hAnsi="arial" w:cs="arial"/>
          <w:b/>
          <w:color w:val="000000"/>
          <w:sz w:val="20"/>
          <w:lang w:val="en-US" w:eastAsia="en-US" w:bidi="ar-SA"/>
        </w:rPr>
        <w:t>Partnership — Relations between partners — Right to indemnity — Liability — For acts of partner.</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0" w:name="Case Summary_33"/>
            <w:bookmarkEnd w:id="23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Appeal by Hughes from the award of the arbitrator, who found that Hughes was not entitled to indemnification from Baldwin. Hughes and Baldwin were partners in an architectural firm through their own individual corporate entities. They divided the profits and losses of the partnership. The partnership entered into a contract to develop a residential condominium project which Baldwin alone worked on through his individual corporation. The partnership was subsequently dissolved. Four years after the dissolution, the owners of the condominium project brought an action against the partnership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design of the project. The insurers of Baldwin and Hughes settled with the owners on the condition that the issue of their contribution be determined by arbitration. The arbitrator found that Hughes did not have any right to indemnification from Baldwin and they were equally liable to the owners.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1" w:name="Holdings of Court_30"/>
            <w:bookmarkEnd w:id="231"/>
            <w:r>
              <w:rPr>
                <w:rFonts w:ascii="arial" w:eastAsia="arial" w:hAnsi="arial" w:cs="arial"/>
                <w:color w:val="000000"/>
                <w:sz w:val="20"/>
                <w:lang w:val="en-US" w:eastAsia="en-US" w:bidi="ar-SA"/>
              </w:rPr>
              <w:t>HELD: Appeal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Hughes was not entitled to indemnification from Hughes. He obtained the benefits of partnership and was required to also bear the burdens. There were no unique circumstances that would justify imputing an indemnification term into the partnership agreement.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did not apply.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2" w:name="Legislation Cited_22"/>
      <w:bookmarkEnd w:id="23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196" style="position:absolute;z-index:2517452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Commercial Arbitration Act, </w:t>
      </w:r>
      <w:hyperlink r:id="rId997" w:history="1">
        <w:r>
          <w:rPr>
            <w:rFonts w:ascii="arial" w:eastAsia="arial" w:hAnsi="arial" w:cs="arial"/>
            <w:i/>
            <w:color w:val="0077CC"/>
            <w:sz w:val="20"/>
            <w:u w:val="single"/>
            <w:shd w:val="clear" w:color="auto" w:fill="FFFFFF"/>
            <w:lang w:val="en-US" w:eastAsia="en-US" w:bidi="ar-SA"/>
          </w:rPr>
          <w:t>R.S.B.C.  1996, c.  55, s. 31</w:t>
        </w:r>
      </w:hyperlink>
      <w:r>
        <w:rPr>
          <w:rFonts w:ascii="arial" w:eastAsia="arial" w:hAnsi="arial" w:cs="arial"/>
          <w:color w:val="000000"/>
          <w:sz w:val="20"/>
          <w:lang w:val="en-US" w:eastAsia="en-US" w:bidi="ar-SA"/>
        </w:rPr>
        <w:t>, 31(4).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98"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Partnership Act, </w:t>
      </w:r>
      <w:hyperlink r:id="rId999" w:history="1">
        <w:r>
          <w:rPr>
            <w:rFonts w:ascii="arial" w:eastAsia="arial" w:hAnsi="arial" w:cs="arial"/>
            <w:i/>
            <w:color w:val="0077CC"/>
            <w:sz w:val="20"/>
            <w:u w:val="single"/>
            <w:shd w:val="clear" w:color="auto" w:fill="FFFFFF"/>
            <w:lang w:val="en-US" w:eastAsia="en-US" w:bidi="ar-SA"/>
          </w:rPr>
          <w:t>R.S.B.C.  1996, c.  348, ss.  7</w:t>
        </w:r>
      </w:hyperlink>
      <w:r>
        <w:rPr>
          <w:rFonts w:ascii="arial" w:eastAsia="arial" w:hAnsi="arial" w:cs="arial"/>
          <w:color w:val="000000"/>
          <w:sz w:val="20"/>
          <w:lang w:val="en-US" w:eastAsia="en-US" w:bidi="ar-SA"/>
        </w:rPr>
        <w:t>, 12, 14, 27.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33" w:name="Counsel_34"/>
      <w:bookmarkEnd w:id="23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197" style="position:absolute;z-index:25179648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William G. Hopkins and K. Bridge, for the appellant. Kerry A. Short, for the respondent.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34" w:name="Judgment_34"/>
      <w:bookmarkEnd w:id="234"/>
      <w:r>
        <w:pict>
          <v:line id="_x0000_s1198" style="position:absolute;z-index:25184768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6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35" w:name="ALLAN J."/>
            <w:bookmarkEnd w:id="235"/>
            <w:r>
              <w:rPr>
                <w:rFonts w:ascii="arial" w:eastAsia="arial" w:hAnsi="arial" w:cs="arial"/>
                <w:b/>
                <w:color w:val="000000"/>
                <w:sz w:val="30"/>
                <w:lang w:val="en-US" w:eastAsia="en-US" w:bidi="ar-SA"/>
              </w:rPr>
              <w:t>ALLAN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appellant Hughes appeals from an arbitration award issued by George Macintosh, Q.C., on June 12, 2003 (the "Award") pursuant to section 31 of the Commercial Arbitration Act, </w:t>
      </w:r>
      <w:r>
        <w:rPr>
          <w:rFonts w:ascii="arial" w:eastAsia="arial" w:hAnsi="arial" w:cs="arial"/>
          <w:i/>
          <w:color w:val="000000"/>
          <w:sz w:val="20"/>
          <w:lang w:val="en-US" w:eastAsia="en-US" w:bidi="ar-SA"/>
        </w:rPr>
        <w:t>R.S.B.C. 1996, c. 55</w:t>
      </w:r>
      <w:r>
        <w:rPr>
          <w:rFonts w:ascii="arial" w:eastAsia="arial" w:hAnsi="arial" w:cs="arial"/>
          <w:color w:val="000000"/>
          <w:sz w:val="20"/>
          <w:lang w:val="en-US" w:eastAsia="en-US" w:bidi="ar-SA"/>
        </w:rPr>
        <w:t>. Leave to appeal was granted by this Court on August 22, 2003. Section 31(4) of the Commercial Arbitration Act authorizes the Court hearing the appeal to confirm, amend or set aside the award, or remit the award to the arbitrator together with the Court's opinion on the question of law that was the subject of the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Counsel agree that the appeal must be on a question of law and that the standard of review of an arbitrator's decision is "correctness".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issue on this appeal is whether a non-negligent partner is entitled to indemnification from a negligent partner where the former's vicarious liability to a third party arises solely from the latter's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parties agreed to arbitration on the basis of the following agreed statement of facts:</w:t>
      </w:r>
      <w:r>
        <w:rPr>
          <w:rFonts w:ascii="arial" w:eastAsia="arial" w:hAnsi="arial" w:cs="arial"/>
          <w:sz w:val="20"/>
          <w:lang w:val="en-US" w:eastAsia="en-US" w:bidi="ar-SA"/>
        </w:rPr>
        <w:cr/>
      </w:r>
    </w:p>
    <w:p>
      <w:pPr>
        <w:numPr>
          <w:numId w:val="5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1981, the Appellant, Roger Hughes ("Hughes") and the Respondent, Nigel Baldwin ("Baldwin") entered into a written agreement pursuant to which they agreed to form a partnership under the firm name and style of Roger Hughes Architects.</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February 1988, Hughes and Baldwin agreed to form professional corporations and to continue their practice as a partnership of professional corporations under the name Hughes Baldwin Architects ("HBA").</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21, 1988, Hughes incorporated Roger Hughes Inc. The name of the corporation was changed to Roger Hughes Architects Inc. ("RHAI") on October 18, 1996.</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March 22, 1988, Baldwin incorporated Nigel Baldwin Inc. The name of the corporation was changed to Nigel Baldwin Architects Ltd. ("NBAL") on April 10, 1995.</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May 20, 1988, Roger Hughes Inc. and Nigel Baldwin Inc. filed a declaration of partnership with Corporate and Central Registry in relation to HBA.</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Although no new written partnership agreement was ever signed by RHAI and NBAL in relation to HBA, Hughes and Baldwin continued to carry on their architectural practice as a partnership through professional corporations as though the 1981 agreement still applied.</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1981 to 1995 the business of HBA was providing professional services in the field of architecture. Design and field review services are within HBA's ordinary course of business. At all times each partner of HBA had authority to act for HBA with respect to the business of the partnership.</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1981 to 1995 the profits and losses of HBA were divided between the partners. Projects were not accounted for separately and profits or losses from individual projects were not assigned differently between the partner in charge of a particular project and the other project.</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July 1993 HBA entered into a contract with a developer for the design and field review services for a residential condominium project in south Vancouver commonly known as Tugboat Landing, Phase I (the "Project").</w:t>
      </w:r>
    </w:p>
    <w:p>
      <w:pPr>
        <w:numPr>
          <w:numId w:val="1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period from March 1993 to September 1994 architectural design and architectural field reviews were performed by HBA in relation to the Project.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Baldwin or NBAL prepared, signed and sealed the working drawings and specifications issued by HBA in connection with the Project which is the subject matter of the claims by The Owners, Strata Plan LMS 1220 (the "Owners") as described in paragraph 16 herein. Baldwin or NBAL performed the on-site architectural inspections and signed certificates which were given to the City of Vancouver in connection with the Project.</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Neither Hughes nor RHAI were involved in the design, supervision or certification of the Project.</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HBA was dissolved pursuant to an oral agreement on April 30, 1995.</w:t>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RHAI and NBAL filed a declaration of dissolution of HBA with Corporate and Central Registry on July 6, 1995.</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dissolution of HBA, RHAI and NBAL divided the records pertaining to all projects undertaken by the partnership in accordance with a list of projects dated 7/24/95. NBAL took all records relating to the Project and the three remaining phases of Tugboat Landing.</w:t>
      </w:r>
    </w:p>
    <w:p>
      <w:pPr>
        <w:numPr>
          <w:numId w:val="20"/>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November 10, 1999, the Owners commenced an action against North Fraser Holdings Ltd. and others including HBA, RHAI, NBAL, Baldwin and Hughes claiming damages for the cost of repairing deficiencies arising from negligent design and construction.</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RHAI would not have faced any potential liability to the Owners but for the fact that it was a partner with NBAL in HBA when the Project was designed and constructed.</w:t>
      </w:r>
    </w:p>
    <w:p>
      <w:pPr>
        <w:numPr>
          <w:numId w:val="22"/>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Owners' claims were settled on February 21, 2003, with RHAI's and NBAL's insurers agreeing to contribute equally to the contribution that was made on behalf of HBA in relation to the settlement, on the basis that the question of whether RHAI is entitled to be indemnified by NBAL in respect of the amount contributed to the settlement by or on behalf of RHAI would be determined later by agreement or, if necessary, by arbitration.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grounds of appeal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grounds of appeal are (1) that the arbitrator erred in law in failing to find that the appellant has a common law and equitable right to indemnification; (2) that the arbitrator erred in law in failing to find that an implied contract of indemnification applies in the present case; and (3) that the arbitrator erred in law in not applying the principles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hyperlink r:id="rId998" w:history="1">
        <w:r>
          <w:rPr>
            <w:rFonts w:ascii="arial" w:eastAsia="arial" w:hAnsi="arial" w:cs="arial"/>
            <w:i/>
            <w:color w:val="0077CC"/>
            <w:sz w:val="20"/>
            <w:u w:val="single"/>
            <w:shd w:val="clear" w:color="auto" w:fill="FFFFFF"/>
            <w:lang w:val="en-US" w:eastAsia="en-US" w:bidi="ar-SA"/>
          </w:rPr>
          <w:t>R.S.B.C. 1996, c. 333, s. 4</w:t>
        </w:r>
      </w:hyperlink>
      <w:r>
        <w:rPr>
          <w:rFonts w:ascii="arial" w:eastAsia="arial" w:hAnsi="arial" w:cs="arial"/>
          <w:color w:val="000000"/>
          <w:sz w:val="20"/>
          <w:lang w:val="en-US" w:eastAsia="en-US" w:bidi="ar-SA"/>
        </w:rPr>
        <w:t xml:space="preserve"> in favour of the appellant's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Does the appellant have a right to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This analysis must begin with a consideration of the relevant sections of the Partnership Act, </w:t>
      </w:r>
      <w:r>
        <w:rPr>
          <w:rFonts w:ascii="arial" w:eastAsia="arial" w:hAnsi="arial" w:cs="arial"/>
          <w:i/>
          <w:color w:val="000000"/>
          <w:sz w:val="20"/>
          <w:lang w:val="en-US" w:eastAsia="en-US" w:bidi="ar-SA"/>
        </w:rPr>
        <w:t>R.S.B.C. 1996, c. 348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Section 7 describes the principles of agency in a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7</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partner is an agent of the firm and the other partners for the purpose of the business of the partnership.</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3"/>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acts of every partner who does any act for carrying on in the usual way business of the kind carried on by the firm of which he or she is a member bind the firm and his or her partners, unless</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partner so acting has in fact no authority to act for the firm in the particular matter, and</w:t>
      </w:r>
    </w:p>
    <w:p>
      <w:pPr>
        <w:numPr>
          <w:numId w:val="2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with whom he or she is dealing either knows that the partner has no authority, or does not know or believe him or her to be a partner.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Section 12 sets out the liability of the firm where the wrongful act or omission of a partner acting in the ordinary course of business causes damage to third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12</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If, by any wrongful act or omission of any partner </w:t>
            </w:r>
            <w:r>
              <w:rPr>
                <w:rFonts w:ascii="arial" w:eastAsia="arial" w:hAnsi="arial" w:cs="arial"/>
                <w:color w:val="000000"/>
                <w:sz w:val="18"/>
                <w:u w:val="single"/>
                <w:lang w:val="en-US" w:eastAsia="en-US" w:bidi="ar-SA"/>
              </w:rPr>
              <w:t>acting in the ordinary course of the business of the firm</w:t>
            </w:r>
            <w:r>
              <w:rPr>
                <w:rFonts w:ascii="arial" w:eastAsia="arial" w:hAnsi="arial" w:cs="arial"/>
                <w:color w:val="000000"/>
                <w:sz w:val="18"/>
                <w:lang w:val="en-US" w:eastAsia="en-US" w:bidi="ar-SA"/>
              </w:rPr>
              <w:t xml:space="preserve"> or with the authority of his or her partners, loss or injury is caused to any person who is not a partner in the firm or any penalty is incurred, the firm is liable for that loss, injury or penalty to the same extent as the partner so acting or omitting to act.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Section 14 establishes the joint and several liability of partners when a firm is liable under section 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14</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A partner is jointly and severally liable with his or her partners for everything for which the firm, while he or she is a partner in it, becomes liable under ... section 12 ...</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Section 27 establishes rules for determining the rights and duties of partners in relation to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
        <w:gridCol w:w="419"/>
        <w:gridCol w:w="8051"/>
        <w:gridCol w:w="1045"/>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2"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27</w:t>
            </w:r>
          </w:p>
        </w:tc>
        <w:tc>
          <w:tcPr>
            <w:tcW w:w="410"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u w:val="single"/>
                <w:lang w:val="en-US" w:eastAsia="en-US" w:bidi="ar-SA"/>
              </w:rPr>
              <w:t>Subject to any agreement express or implied between the partners,</w:t>
            </w:r>
            <w:r>
              <w:rPr>
                <w:rFonts w:ascii="arial" w:eastAsia="arial" w:hAnsi="arial" w:cs="arial"/>
                <w:color w:val="000000"/>
                <w:sz w:val="18"/>
                <w:lang w:val="en-US" w:eastAsia="en-US" w:bidi="ar-SA"/>
              </w:rPr>
              <w:t xml:space="preserve"> the interests of partners in the partnership property and their rights and duties in relation to the partnership must be determined by the following rules:</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 the partners are entitled to share equally in the capital and profits of the business and must contribute equally towards the losses, whether of capital or otherwise, sustained by the firm;</w:t>
      </w:r>
    </w:p>
    <w:p>
      <w:pPr>
        <w:numPr>
          <w:numId w:val="2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firm must indemnify every partner in respect of payments made and personal liabilities incurred by him or her</w:t>
      </w:r>
    </w:p>
    <w:p>
      <w:pPr>
        <w:numPr>
          <w:numId w:val="26"/>
        </w:numPr>
        <w:tabs>
          <w:tab w:val="clear" w:pos="1840"/>
          <w:tab w:val="num" w:pos="2200"/>
        </w:tabs>
        <w:spacing w:before="120" w:line="260" w:lineRule="atLeast"/>
        <w:ind w:left="2200"/>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in the ordinary and proper conduct of the business of the firm</w:t>
      </w:r>
      <w:r>
        <w:rPr>
          <w:rFonts w:ascii="arial" w:eastAsia="arial" w:hAnsi="arial" w:cs="arial"/>
          <w:color w:val="000000"/>
          <w:sz w:val="20"/>
          <w:lang w:val="en-US" w:eastAsia="en-US" w:bidi="ar-SA"/>
        </w:rPr>
        <w:t>, or</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or about anything necessarily done for the preservation of the business or property of the firm;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respondent concedes that the appellant would be entitled to be indemnified by the firm for any amount paid over his relative interest in the firm. However, because Hughes and Baldwin were the only partners and their interests were equal, that issue does not arise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In their submissions, counsel agreed that there was no Canadian or Commonwealth case directly on point on the issue of whether a non-negligent partner is entitled to indemnification from a negligent partner where the former's vicarious liability to a third party arises solely from the latter's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raised on the appeal. Following the hearing of the appeal, it came to my attention that a pair of cases decided in 1991 and 1992 by this Court address the issue of indemnification between partners under the Partnership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MacDonald v. Schmidt (No.1), </w:t>
      </w:r>
      <w:hyperlink r:id="rId1000" w:history="1">
        <w:r>
          <w:rPr>
            <w:rFonts w:ascii="arial" w:eastAsia="arial" w:hAnsi="arial" w:cs="arial"/>
            <w:i/>
            <w:color w:val="0077CC"/>
            <w:sz w:val="20"/>
            <w:u w:val="single"/>
            <w:shd w:val="clear" w:color="auto" w:fill="FFFFFF"/>
            <w:lang w:val="en-US" w:eastAsia="en-US" w:bidi="ar-SA"/>
          </w:rPr>
          <w:t>[1991] B.C.J. No. 3377</w:t>
        </w:r>
      </w:hyperlink>
      <w:r>
        <w:rPr>
          <w:rFonts w:ascii="arial" w:eastAsia="arial" w:hAnsi="arial" w:cs="arial"/>
          <w:color w:val="000000"/>
          <w:sz w:val="20"/>
          <w:lang w:val="en-US" w:eastAsia="en-US" w:bidi="ar-SA"/>
        </w:rPr>
        <w:t xml:space="preserve"> (S.C.), Mr. Justice Holmes held a chartered accountant 25% liable for negligent misrepresentation (the plaintiffs were 75% contributorily negligent). The partnership was found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work was done in the ordinary course of business for a partnership client.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In MacDonald v. Schmidt (No.2), </w:t>
      </w:r>
      <w:hyperlink r:id="rId1001" w:history="1">
        <w:r>
          <w:rPr>
            <w:rFonts w:ascii="arial" w:eastAsia="arial" w:hAnsi="arial" w:cs="arial"/>
            <w:i/>
            <w:color w:val="0077CC"/>
            <w:sz w:val="20"/>
            <w:u w:val="single"/>
            <w:shd w:val="clear" w:color="auto" w:fill="FFFFFF"/>
            <w:lang w:val="en-US" w:eastAsia="en-US" w:bidi="ar-SA"/>
          </w:rPr>
          <w:t>[1992] B.C.J. No. 230</w:t>
        </w:r>
      </w:hyperlink>
      <w:r>
        <w:rPr>
          <w:rFonts w:ascii="arial" w:eastAsia="arial" w:hAnsi="arial" w:cs="arial"/>
          <w:color w:val="000000"/>
          <w:sz w:val="20"/>
          <w:lang w:val="en-US" w:eastAsia="en-US" w:bidi="ar-SA"/>
        </w:rPr>
        <w:t xml:space="preserve"> (S.C.), the other partners sought indemnity against the negligent accountant. The case was argued in the context of agency principles arising from section 7 of the Partnership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Holmes J. found that the agency relationship in section 7 of the Partnership Act governs affairs between the partnership and a third party, but not as between the partners inter se. He held: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Responsibility for damages occasioned through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a partner acting within the course of the business of the partnership parallel the principle that partners who share in the profits of the firm are also obliged to share in its losses. Work performed in the ordinary course of the partnership business bestows both a benefit and a burden on individual partners. All partners of the [partnership firm] should bear their share of the losses as governed by their partnership agreement. The applicants claim for indemnity for the vicarious liability they incurred by reason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accountant]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By memorandum dated December 1, 2003, I invited counsel to file written submissions with respect to the applicability of the latter case to the appeal. Counsel filed their submissions on December 10, 2003.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respondent submitted that the principles in MacDonald were applicable and determinative of the issue on appeal. The appellant submitted that the MacDonald decisions were not binding authorities on the issues raised on the appeal. Mr. Hopkins argued that Holmes J. did not consider the relevant case law and statutory provisions or the arguments raised by the appellant in the present case. The submissions in MacDonald were based on the principle of agency, which is not raised by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With respect to the issue of whether this Court is bound by the decisions in MacDonald, Mr. Hopkins submits that, based on the principles of Re Hansard Spruce Mills, </w:t>
      </w:r>
      <w:hyperlink r:id="rId1002" w:history="1">
        <w:r>
          <w:rPr>
            <w:rFonts w:ascii="arial" w:eastAsia="arial" w:hAnsi="arial" w:cs="arial"/>
            <w:i/>
            <w:color w:val="0077CC"/>
            <w:sz w:val="20"/>
            <w:u w:val="single"/>
            <w:shd w:val="clear" w:color="auto" w:fill="FFFFFF"/>
            <w:lang w:val="en-US" w:eastAsia="en-US" w:bidi="ar-SA"/>
          </w:rPr>
          <w:t>[1954] 4 D.L.R. 590</w:t>
        </w:r>
      </w:hyperlink>
      <w:r>
        <w:rPr>
          <w:rFonts w:ascii="arial" w:eastAsia="arial" w:hAnsi="arial" w:cs="arial"/>
          <w:color w:val="000000"/>
          <w:sz w:val="20"/>
          <w:lang w:val="en-US" w:eastAsia="en-US" w:bidi="ar-SA"/>
        </w:rPr>
        <w:t>, 13 W.W.R. 285 (B.C.S.C.), those decisions are not binding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Hansard, Mr. Justice Wilson, as he then was, at 592, described the circumstances under which this Court could properly decide not to follow a previous judgment of the Court:</w:t>
      </w:r>
      <w:r>
        <w:rPr>
          <w:rFonts w:ascii="arial" w:eastAsia="arial" w:hAnsi="arial" w:cs="arial"/>
          <w:sz w:val="20"/>
          <w:lang w:val="en-US" w:eastAsia="en-US" w:bidi="ar-SA"/>
        </w:rPr>
        <w:cr/>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Subsequent decisions have affected the validity of the impugned judgment;</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it is demonstrated that some binding authority in case law, or some relevant statute was not considered;</w:t>
      </w:r>
    </w:p>
    <w:p>
      <w:pPr>
        <w:numPr>
          <w:numId w:val="28"/>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judgment was unconsidered, a nisi prius judgment given in circumstances familiar to all trial Judges, where the exigencies of the trial require an immediate decision without opportunity to fully consult authority.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none of these situations exist I think a trial Judge should follow the decisions of his brother Judges.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Hopkins submits that MacDonald is inconsistent with authority relied upon by the appellant that was not considered by Holmes J. With the exception of certain American authorities, I do not agree that there are other decisions, binding or not, in conflict with MacDonald. Further, that judgment was carefully considered.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Certainly, many of the facts and the arguments made in MacDonald differed from those raised on this appeal. I do not consider the fact that the issue in MacDonald was negligent misrepresentation rather than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to be significant. It is true that Holmes J. was only asked to consider section 7 of the Partnership Act and determine liability on the principles of agency. However, in my view, Holmes J. concluded, on the basis of the principles that underlie the Partnership Act, that where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occurs in the ordinary course of the partnership business, an innocent partner is not entitled to indemnification from a negligent partner; those who reap the benefits of partnership must also bear its burdens. Nevertheless, I will consider the submissions made by the appellant.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Section 27 of the Partnership Act provides that partners must share equally in the profits and contribute equally to the losses of their business but provides a default position in the event of an express or implied agreement between the partners. It is common ground that there is no express agreement of indemnification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The appellant submits that an "implied" contract of indemnification arose between Baldwin and Hughes. He relies on the case of McFee v. Joss </w:t>
      </w:r>
      <w:hyperlink r:id="rId1003" w:history="1">
        <w:r>
          <w:rPr>
            <w:rFonts w:ascii="arial" w:eastAsia="arial" w:hAnsi="arial" w:cs="arial"/>
            <w:i/>
            <w:color w:val="0077CC"/>
            <w:sz w:val="20"/>
            <w:u w:val="single"/>
            <w:shd w:val="clear" w:color="auto" w:fill="FFFFFF"/>
            <w:lang w:val="en-US" w:eastAsia="en-US" w:bidi="ar-SA"/>
          </w:rPr>
          <w:t>(1925), 56 O.L.R. 578</w:t>
        </w:r>
      </w:hyperlink>
      <w:r>
        <w:rPr>
          <w:rFonts w:ascii="arial" w:eastAsia="arial" w:hAnsi="arial" w:cs="arial"/>
          <w:color w:val="000000"/>
          <w:sz w:val="20"/>
          <w:lang w:val="en-US" w:eastAsia="en-US" w:bidi="ar-SA"/>
        </w:rPr>
        <w:t xml:space="preserve">, </w:t>
      </w:r>
      <w:hyperlink r:id="rId1003" w:history="1">
        <w:r>
          <w:rPr>
            <w:rFonts w:ascii="arial" w:eastAsia="arial" w:hAnsi="arial" w:cs="arial"/>
            <w:i/>
            <w:color w:val="0077CC"/>
            <w:sz w:val="20"/>
            <w:u w:val="single"/>
            <w:shd w:val="clear" w:color="auto" w:fill="FFFFFF"/>
            <w:lang w:val="en-US" w:eastAsia="en-US" w:bidi="ar-SA"/>
          </w:rPr>
          <w:t>[1925] O.J. No. 202</w:t>
        </w:r>
      </w:hyperlink>
      <w:r>
        <w:rPr>
          <w:rFonts w:ascii="arial" w:eastAsia="arial" w:hAnsi="arial" w:cs="arial"/>
          <w:color w:val="000000"/>
          <w:sz w:val="20"/>
          <w:lang w:val="en-US" w:eastAsia="en-US" w:bidi="ar-SA"/>
        </w:rPr>
        <w:t xml:space="preserve"> (C.A.) for that proposition. In that case, the defendant, for the purpose of his father's business, hired the plaintiff's car. While driving it upon a highway in the ordinary course of business, he ran into a car owned and driven by a third party. By operation of the relevant statute, the plaintiff was liable to pay damages to the third party. The plaintiff then claimed indemnity from the defendant son and father. The Court held that the defendants were liable to indemnify the plaintiff. The ratio is succinctly stated by Mr. Justice Ferguson for a unanimous five-member panel at [paragraph] 24: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...[A]n implied contract of indemnity arises in favour of a person who, without fault on his part, is exposed to liability and compelled to pay damages on account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tortious act of another, provided the parties were not joint tort-feasors in such a sense as to prevent recovery... [S]uch right of indemnity exists independently of the statute [the then Motor Vehicle Act which deemed a master-servant relationship between owners and drivers], and whether or not contractual relations exist between the parties, and whether or not the negligent person owed the other a special or particular duty not to be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appellant also cites McFee as authority for the proposition that the principle of indemnity is not limited to a statutory relationship. That submission was raised before the Arbitrator and rejected. Mr. McIntosh held that the principles in McFee did not apply to determining the responsibilities as between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The appellant cites two further cases, Allen v. Nolet </w:t>
      </w:r>
      <w:hyperlink r:id="rId1004" w:history="1">
        <w:r>
          <w:rPr>
            <w:rFonts w:ascii="arial" w:eastAsia="arial" w:hAnsi="arial" w:cs="arial"/>
            <w:i/>
            <w:color w:val="0077CC"/>
            <w:sz w:val="20"/>
            <w:u w:val="single"/>
            <w:shd w:val="clear" w:color="auto" w:fill="FFFFFF"/>
            <w:lang w:val="en-US" w:eastAsia="en-US" w:bidi="ar-SA"/>
          </w:rPr>
          <w:t>(1967), 61 D.L.R. (2d) 743</w:t>
        </w:r>
      </w:hyperlink>
      <w:r>
        <w:rPr>
          <w:rFonts w:ascii="arial" w:eastAsia="arial" w:hAnsi="arial" w:cs="arial"/>
          <w:color w:val="000000"/>
          <w:sz w:val="20"/>
          <w:lang w:val="en-US" w:eastAsia="en-US" w:bidi="ar-SA"/>
        </w:rPr>
        <w:t xml:space="preserve">, </w:t>
      </w:r>
      <w:hyperlink r:id="rId1004" w:history="1">
        <w:r>
          <w:rPr>
            <w:rFonts w:ascii="arial" w:eastAsia="arial" w:hAnsi="arial" w:cs="arial"/>
            <w:i/>
            <w:color w:val="0077CC"/>
            <w:sz w:val="20"/>
            <w:u w:val="single"/>
            <w:shd w:val="clear" w:color="auto" w:fill="FFFFFF"/>
            <w:lang w:val="en-US" w:eastAsia="en-US" w:bidi="ar-SA"/>
          </w:rPr>
          <w:t>60 W.W.R. 247</w:t>
        </w:r>
      </w:hyperlink>
      <w:r>
        <w:rPr>
          <w:rFonts w:ascii="arial" w:eastAsia="arial" w:hAnsi="arial" w:cs="arial"/>
          <w:color w:val="000000"/>
          <w:sz w:val="20"/>
          <w:lang w:val="en-US" w:eastAsia="en-US" w:bidi="ar-SA"/>
        </w:rPr>
        <w:t xml:space="preserve"> (B.C.C.A.) and Sainas v. Sainas </w:t>
      </w:r>
      <w:hyperlink r:id="rId1005" w:history="1">
        <w:r>
          <w:rPr>
            <w:rFonts w:ascii="arial" w:eastAsia="arial" w:hAnsi="arial" w:cs="arial"/>
            <w:i/>
            <w:color w:val="0077CC"/>
            <w:sz w:val="20"/>
            <w:u w:val="single"/>
            <w:shd w:val="clear" w:color="auto" w:fill="FFFFFF"/>
            <w:lang w:val="en-US" w:eastAsia="en-US" w:bidi="ar-SA"/>
          </w:rPr>
          <w:t>(1968), 66 D.L.R. (2d) 753</w:t>
        </w:r>
      </w:hyperlink>
      <w:r>
        <w:rPr>
          <w:rFonts w:ascii="arial" w:eastAsia="arial" w:hAnsi="arial" w:cs="arial"/>
          <w:color w:val="000000"/>
          <w:sz w:val="20"/>
          <w:lang w:val="en-US" w:eastAsia="en-US" w:bidi="ar-SA"/>
        </w:rPr>
        <w:t xml:space="preserve"> (B.C.S.C.), which found a deemed master-servant relationship between owners and authorized drivers, resulting in a relationship of statutory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my opinion, the appellant erroneously presumes an analogy between partnerships and owner-driver relationships. There is no Canadian or Commonwealth authority for implying a contract of indemnification into a partnership relationship, the fundamental characteristic of which is mutual agency: see Cox v. Hickman (1860), 8 H.L. Cas. 268. Actions taken by one partner in the ordinary course of business are imputably taken by all other partners, who must share in the profits and losses alike.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Further, there are no unique or unusual circumstances in this case that would justify imputing an indemnification term. Accordingly, reading such a term into this relationship would be tantamount to reading such a term into every partnership agreement. To do so would defeat the obvious purpose of section 27 which governs the rights and duties of partners in relation to their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Rossmo v. Vancouver Police Board, </w:t>
      </w:r>
      <w:hyperlink r:id="rId1006" w:history="1">
        <w:r>
          <w:rPr>
            <w:rFonts w:ascii="arial" w:eastAsia="arial" w:hAnsi="arial" w:cs="arial"/>
            <w:i/>
            <w:color w:val="0077CC"/>
            <w:sz w:val="20"/>
            <w:u w:val="single"/>
            <w:shd w:val="clear" w:color="auto" w:fill="FFFFFF"/>
            <w:lang w:val="en-US" w:eastAsia="en-US" w:bidi="ar-SA"/>
          </w:rPr>
          <w:t>[2003] B.C.J. No. 2761</w:t>
        </w:r>
      </w:hyperlink>
      <w:r>
        <w:rPr>
          <w:rFonts w:ascii="arial" w:eastAsia="arial" w:hAnsi="arial" w:cs="arial"/>
          <w:color w:val="000000"/>
          <w:sz w:val="20"/>
          <w:lang w:val="en-US" w:eastAsia="en-US" w:bidi="ar-SA"/>
        </w:rPr>
        <w:t xml:space="preserve">, </w:t>
      </w:r>
      <w:hyperlink r:id="rId1006" w:history="1">
        <w:r>
          <w:rPr>
            <w:rFonts w:ascii="arial" w:eastAsia="arial" w:hAnsi="arial" w:cs="arial"/>
            <w:i/>
            <w:color w:val="0077CC"/>
            <w:sz w:val="20"/>
            <w:u w:val="single"/>
            <w:shd w:val="clear" w:color="auto" w:fill="FFFFFF"/>
            <w:lang w:val="en-US" w:eastAsia="en-US" w:bidi="ar-SA"/>
          </w:rPr>
          <w:t>2003 BCCA 677</w:t>
        </w:r>
      </w:hyperlink>
      <w:r>
        <w:rPr>
          <w:rFonts w:ascii="arial" w:eastAsia="arial" w:hAnsi="arial" w:cs="arial"/>
          <w:color w:val="000000"/>
          <w:sz w:val="20"/>
          <w:lang w:val="en-US" w:eastAsia="en-US" w:bidi="ar-SA"/>
        </w:rPr>
        <w:t xml:space="preserve">, the Court of Appeal recently considered the principles relating to implied terms. Mr. Justice Donald for the Court adopted the statement of Mr. Justice Lambert in London Drugs Ltd. v. Kuehne and Nagel International Ltd. </w:t>
      </w:r>
      <w:hyperlink r:id="rId1007" w:history="1">
        <w:r>
          <w:rPr>
            <w:rFonts w:ascii="arial" w:eastAsia="arial" w:hAnsi="arial" w:cs="arial"/>
            <w:i/>
            <w:color w:val="0077CC"/>
            <w:sz w:val="20"/>
            <w:u w:val="single"/>
            <w:shd w:val="clear" w:color="auto" w:fill="FFFFFF"/>
            <w:lang w:val="en-US" w:eastAsia="en-US" w:bidi="ar-SA"/>
          </w:rPr>
          <w:t>(1990), 45 B.C.L.R. (2d) 1</w:t>
        </w:r>
      </w:hyperlink>
      <w:r>
        <w:rPr>
          <w:rFonts w:ascii="arial" w:eastAsia="arial" w:hAnsi="arial" w:cs="arial"/>
          <w:color w:val="000000"/>
          <w:sz w:val="20"/>
          <w:lang w:val="en-US" w:eastAsia="en-US" w:bidi="ar-SA"/>
        </w:rPr>
        <w:t xml:space="preserve"> at 64: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a useful restatement of the relevant principles in the reasons of Lord Simon of Glaisdale, for the Privy Council, in B.P. Refinery (Westernport) Pty Ltd. v. Shire of Hastings (1977), 16 A.L.R. 363 (P.C.) at p. 376:</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Their Lordships do not think it necessary to review exhaustively the authorities on the implication of a term in a contract which the parties have not thought fit to express. In their view, for a term to be implied, the following conditions (which may overlap) must be satisfied: (1) it must be reasonable and equitable; (2) it must be necessary to give business efficacy to the contract so that no term will be implied if the contract is effective without it; (3) it must be so obvious that "it goes without saying"; (4) it must be capable of clear expression; (5) it must not contradict any express term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Indemnification clauses in partnership agreements are not uncommon and it is, in my view, reasonable to draw from the omission of such a clause in this case, the conclusion that these parties deliberately chose not to include one. In the complete absence of any indication of the parties' intention to provide for indemnification between the parties inter se, it would be inappropriate for the Court to imply such a term.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American jurisprudence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appellant cites numerous American authorities for the following proposition that is incorporated into the Corpus Juris Secundum, Vol. 68, p. 286, [paragraph] 84 (1998):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A partnership, liable to a third person for injuries, has a right of indemnity against the partner whose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caused the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does not appear that that principle has been adopted in all American jurisdictions. However, in view of the foregoing analysis, I do not consider it necessary to consider the American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Does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support the Appellant's argument for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appellant also submits that the arbitrator failed to consider the applicability of section 4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supra. That section provides: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836"/>
        <w:gridCol w:w="836"/>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4</w:t>
            </w:r>
          </w:p>
        </w:tc>
        <w:tc>
          <w:tcPr>
            <w:tcW w:w="819"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If damage or loss has been caused by the fault of 2 or more persons, the court must determine the degree to which each person was at fault.</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numPr>
          <w:numId w:val="2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Except as provided in section 5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spouse in cause of action that arose before April 17, 1985] </w:t>
      </w:r>
      <w:r>
        <w:rPr>
          <w:rFonts w:ascii="arial" w:eastAsia="arial" w:hAnsi="arial" w:cs="arial"/>
          <w:color w:val="000000"/>
          <w:sz w:val="20"/>
          <w:u w:val="single"/>
          <w:lang w:val="en-US" w:eastAsia="en-US" w:bidi="ar-SA"/>
        </w:rPr>
        <w:t>if 2 or more persons are found at fault</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they are jointly and severally liable to the person suffering the damage or loss, and</w:t>
      </w:r>
    </w:p>
    <w:p>
      <w:pPr>
        <w:numPr>
          <w:numId w:val="3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between themselves, </w:t>
      </w:r>
      <w:r>
        <w:rPr>
          <w:rFonts w:ascii="arial" w:eastAsia="arial" w:hAnsi="arial" w:cs="arial"/>
          <w:color w:val="000000"/>
          <w:sz w:val="20"/>
          <w:u w:val="single"/>
          <w:lang w:val="en-US" w:eastAsia="en-US" w:bidi="ar-SA"/>
        </w:rPr>
        <w:t>in the absence of a contract express or implied</w:t>
      </w:r>
      <w:r>
        <w:rPr>
          <w:rFonts w:ascii="arial" w:eastAsia="arial" w:hAnsi="arial" w:cs="arial"/>
          <w:color w:val="000000"/>
          <w:sz w:val="20"/>
          <w:lang w:val="en-US" w:eastAsia="en-US" w:bidi="ar-SA"/>
        </w:rPr>
        <w:t xml:space="preserve">, they are liable to </w:t>
      </w:r>
      <w:r>
        <w:rPr>
          <w:rFonts w:ascii="arial" w:eastAsia="arial" w:hAnsi="arial" w:cs="arial"/>
          <w:color w:val="000000"/>
          <w:sz w:val="20"/>
          <w:u w:val="single"/>
          <w:lang w:val="en-US" w:eastAsia="en-US" w:bidi="ar-SA"/>
        </w:rPr>
        <w:t>contribute to and indemnify each other</w:t>
      </w:r>
      <w:r>
        <w:rPr>
          <w:rFonts w:ascii="arial" w:eastAsia="arial" w:hAnsi="arial" w:cs="arial"/>
          <w:color w:val="000000"/>
          <w:sz w:val="20"/>
          <w:lang w:val="en-US" w:eastAsia="en-US" w:bidi="ar-SA"/>
        </w:rPr>
        <w:t xml:space="preserve"> in the degree to which they are respectively found to have been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9410"/>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9216"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[Emphasis added]</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appellant argues that section 4 provides a clear right of indemnity, based on respective degrees of fault, where two or more persons (be they partners or otherwise) face liability to a third party. Mr. Hopkins also submits that, for that right of indemnification to take effect, the Legislature has set the applicable level of fault as one of ordinary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He points out that it would be perverse if, being completely blameless, the innocent partner would be entitled to no indemnification, yet if he were 1% to blame, he would be entitled to 99% indemnification.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In my view, the arbitrator correctly rejected Hughes' submission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applies. Section 4 of that Act establishes the law with respect to the joint and several liability of two or more defendants who have caused loss or damage to a blameless plaintiff. It does not apply to a situation where a defendant, who is vicariously liable to a negligent party, is not himself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Again, the obvious recourse for partners who wish to avail themselves of indemnity in the event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one or more of the partners is to incorporate an indemnity clause in their partnership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 a partnership analogous to an employer-employee relationship?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appellant asserts that an employee's obligations to indemnify an employer for vicarious liability should also apply to partnership situations. The respondent replies that a partnership is distinguishable from an employer-employee relationship; a partnership is a business relationship governed by the Partnership Act. Further, a partner, unlike an employee, has an ownership interest in the business and an entitlement to his or her share of the profits. I agree with the arbitrator's conclusion at [paragraph] 36 that "it is within the law of partnership itself and not that of employer-employee relations where the answer to this issue must be found."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The Partnership Act itself draws a distinction between partners and employees. Section 4 provides: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determining whether a partnership does or does not exist, regard must be had to the following rules: ...</w:t>
      </w:r>
    </w:p>
    <w:p>
      <w:pPr>
        <w:numPr>
          <w:numId w:val="31"/>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receipt by a person of a share of the profits of a business is proof in the absence of evidence to the contrary that he or she is a partner in the business, but the receipt of a share, or of a payment contingent on or varying with the profits of a business, does not of itself make him or her a partner in the business, and in particular ...</w:t>
      </w:r>
    </w:p>
    <w:p>
      <w:pPr>
        <w:numPr>
          <w:numId w:val="3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contract for the remuneration of an employee or agent of a person engaged in a business by a share of the profits of the business does not of itself make the employee or agent a partner in the business or liable as a partner,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Thus, there is an important distinction to be made between a relationship in which an employee receives a salary and a partnership in which the partners' remuneration varies with the profits and losses of the partnership.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enacting the Partnership Act, the Legislature could have incorporated the common law principles of employer-employee indemnity. Instead, section 27 incorporates mandatory joint and several liability, subject to any express or implied agreement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The appellant cites Dubai Aluminium Company Ltd. v. Salaam, [2002] H.L.J. No. 48, [2002] 3 W.L.R. 1913 (H.L.) for the proposition that the principles of vicarious liability underlying partnership and employment are indistinguishable, and thus the obligation of an employee to indemnify his or her employer for vicarious liability applies equally to partners who cause other partners vicarious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At [paragraph] 106, the Court in Dubai held that the criterion for vicarious liability is identical for partners and employers: the wrongful act or omission must be performed in the ordinary course of business. However, the Court addressed only the vicarious liability of innocent partners for the acts of negligent partners, as against third parties. The case did not discuss the subject of indemnity between innocent and negligent partners.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appeal is dismissed and the Award of the arbitrator is confirmed.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ALLAN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199" style="position:absolute;z-index:25188761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08"/>
          <w:headerReference w:type="default" r:id="rId1009"/>
          <w:footerReference w:type="even" r:id="rId1010"/>
          <w:footerReference w:type="default" r:id="rId1011"/>
          <w:headerReference w:type="first" r:id="rId1012"/>
          <w:footerReference w:type="first" r:id="rId101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14" w:history="1">
        <w:r>
          <w:rPr>
            <w:rFonts w:ascii="arial" w:eastAsia="arial" w:hAnsi="arial" w:cs="arial"/>
            <w:b/>
            <w:bCs/>
            <w:i/>
            <w:color w:val="0077CC"/>
            <w:kern w:val="32"/>
            <w:sz w:val="28"/>
            <w:szCs w:val="32"/>
            <w:u w:val="single"/>
            <w:shd w:val="clear" w:color="auto" w:fill="FFFFFF"/>
            <w:lang w:val="en-US" w:eastAsia="en-US" w:bidi="ar-SA"/>
          </w:rPr>
          <w:t>Lam v. University of British Columbia, [2009] B.C.J. No. 281</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G.B. Butler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August 25-27,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19, 2009.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S035269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[2009] B.C.J. No. 281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2009 BCSC 196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Howard Lam, Plaintiff, and University of British Columbia, Defendant, and Arpel Industries Ltd., carrying on business as Arpel Security Systems, Arpel Security Systems Ltd., Arpel Security and Monitoring Ltd., Enerand Holdings Ltd., carrying on business as Caltech Tech Services, Peter Moore, carrying on business as Moore Security Systems, Thermo Forma Inc., Vancouver Coastal Health Authority operating, as Vancouver General Hospital and UBC Hospital, Mallinckrodt, Inc. and Sanyo Electric Co., Ltd.,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0" style="position:absolute;z-index:2516951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36" w:name="Keywords_35"/>
      <w:bookmarkEnd w:id="236"/>
      <w:r>
        <w:rPr>
          <w:rFonts w:ascii="arial" w:eastAsia="arial" w:hAnsi="arial" w:cs="arial"/>
          <w:b/>
          <w:color w:val="000000"/>
          <w:sz w:val="20"/>
          <w:lang w:val="en-US" w:eastAsia="en-US" w:bidi="ar-SA"/>
        </w:rPr>
        <w:t>Civil Litigation — Civil procedure — Parties — Class or representative actions — Certification — Application by plaintiff to certify proceeding as class action dismissed — Action was not suitable for certification as class proceeding — Issues which could be certified as common issues would not appreciably advance proceedings — Given importance of individual damage and liability issues, class action was not preferable procedure for determination of any common issues — Proposed litigation plan lacked detailed and put forward inefficient scheme for dealing with issues raised by case.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37" w:name="Case Summary_34"/>
            <w:bookmarkEnd w:id="237"/>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plaintiff to certify the proceeding as a class action dismissed. The plaintiff brought an action against the University of British Columbia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Electricity to a freezer operated by the UBC Andrology lab was interrupted when a circuit breaker tripped. The freezer was a storage unit for sperm samples belong to the plaintiff and other men who were undergoing chemotherapy and other medical treatments. The freezer's alarm system failed to function and the freezer was without power for some time, resulting in a drastic rise in temperature and the destruction of the sperm samples. UBC issued third party noticed to the parties involved in the freezer's manufacture, distribution and installation and argued that the evidence relating to the liability of the third parties was critical to determining whether it met the appropriate standard of care for a sperm storage facility operator. All clients who used the storage facilities of the lab were asked to sign an agreement which limited the liability of the lab. The standard practice of the lab was to have clients sign the agreement before they would store their sperm and to keep the signature page of the signed agreement on file. UBC was unable to provide a signature page for approximately 25 clients including the plaintiff.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38" w:name="Holdings of Court_31"/>
            <w:bookmarkEnd w:id="238"/>
            <w:r>
              <w:rPr>
                <w:rFonts w:ascii="arial" w:eastAsia="arial" w:hAnsi="arial" w:cs="arial"/>
                <w:color w:val="000000"/>
                <w:sz w:val="20"/>
                <w:lang w:val="en-US" w:eastAsia="en-US" w:bidi="ar-SA"/>
              </w:rPr>
              <w:t>HELD: Application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action was not suitable for certification as a class proceeding. Issues which could be certified as common issues would not appreciably advance the proceedings. Given the importance of the individual damage and liability issues, a class action was not the preferable procedure for determination of any common issues. The proposed litigation plan lacked detailed and put forward an inefficient scheme for dealing with the issues raised by the case.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39" w:name="Legislation Cited_23"/>
      <w:bookmarkEnd w:id="239"/>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1" style="position:absolute;z-index:2517463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015" w:history="1">
        <w:r>
          <w:rPr>
            <w:rFonts w:ascii="arial" w:eastAsia="arial" w:hAnsi="arial" w:cs="arial"/>
            <w:i/>
            <w:color w:val="0077CC"/>
            <w:sz w:val="20"/>
            <w:u w:val="single"/>
            <w:shd w:val="clear" w:color="auto" w:fill="FFFFFF"/>
            <w:lang w:val="en-US" w:eastAsia="en-US" w:bidi="ar-SA"/>
          </w:rPr>
          <w:t>RSBC 1996, CHAPTER 50, s. 4</w:t>
        </w:r>
      </w:hyperlink>
      <w:r>
        <w:rPr>
          <w:rFonts w:ascii="arial" w:eastAsia="arial" w:hAnsi="arial" w:cs="arial"/>
          <w:color w:val="000000"/>
          <w:sz w:val="20"/>
          <w:lang w:val="en-US" w:eastAsia="en-US" w:bidi="ar-SA"/>
        </w:rPr>
        <w:t>(1), s. 4(2), s. 4(2)(a), s. 4(2)(b), s. 4(2)(c), s. 4(2)(d), s. 4(2)(e)(ii), s. 7</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0" w:name="Counsel_35"/>
      <w:bookmarkEnd w:id="240"/>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2" style="position:absolute;z-index:25179750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Sandy J. Kovacs.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George K. Macintosh, Q.C. and Robert B. Kennedy.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Parties, Arpel Industries Ltd., carrying on business as Arpel Security Systems, Arpel Security Systems Ltd. and Arpel Security and Monitoring Ltd.: William G. Neen.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Enerand Holdings Ltd., carrying on business as Caltech Tech Services: Ward K. Branch.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Peter Moore, carrying on business as Moore Security Systems: Michael Jackson.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Vancouver Coastal Health Authority operating as Vancouver General Hospital and UBC Hospital: John Dives.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Mallinckrodt, Inc.: William A. Ferguson.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Sanyo Electric Co., Ltd.: Bradley W. Dixon.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1" w:name="Judgment_35"/>
      <w:bookmarkEnd w:id="241"/>
      <w:r>
        <w:pict>
          <v:line id="_x0000_s1203" style="position:absolute;z-index:251848704"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corrigendum was released by the Court March 6, 2009; the corrections have been made to the text and the corrigendum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2" w:name="G.B. BUTLER J._0"/>
            <w:bookmarkEnd w:id="242"/>
            <w:r>
              <w:rPr>
                <w:rFonts w:ascii="arial" w:eastAsia="arial" w:hAnsi="arial" w:cs="arial"/>
                <w:b/>
                <w:color w:val="000000"/>
                <w:sz w:val="30"/>
                <w:lang w:val="en-US" w:eastAsia="en-US" w:bidi="ar-SA"/>
              </w:rPr>
              <w:t>G.B. BUTLER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May 24, 2002, the supply of electricity to a Forma Scientific Inc. freezer operated by the University of British Columbia Andrology Lab (the "Lab") was interrupted when a circuit breaker tripped. The freezer was a cryopreservation unit for storing cells at a temperature below -130 degrees Celsius. The freezer contained sperm samples belonging to Howard Lam, the plaintiff, and other men who were undergoing chemotherapy or other medical treatments that could adversely affect their reproductive capacity. The freezer's security alarm system failed to function. The freezer was without electrical power for some time. The resulting drastic rise in temperature associated with the power failure rendered the sperm immotile and may have destroyed their genetic material. Mr. Lam is seeking an order certifying this proceeding as a class action, pursuant to the </w:t>
      </w:r>
      <w:r>
        <w:rPr>
          <w:rFonts w:ascii="arial" w:eastAsia="arial" w:hAnsi="arial" w:cs="arial"/>
          <w:b/>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xml:space="preserve">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on his own behalf and on behalf of all others who had sperm samples stored in the freezer.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claims against the University of British Columbia ("UBC") are brought in contract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UBC's defence to the contract claim is based on the limitation of liability provisions, the exclusion clause, contained in the Sperm Bank Facility Agreement (the "Agreement") entered into with the Lab's clients. In response to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UBC also relies on the exclusion clause in the Agreement; it further says it was not negligent. It says it met the applicable standard of care for an operator of a sperm storage facility. UBC has issued third party notices to parties involved in the freezer's manufacture and distribution, its installation at the Vancouver General Hospital ("VGH") in 2001, and its security alarm system installation. UBC says that the evidence relating to the liability of the third parties is critical to determining whether UBC met the appropriate standard of care for a sperm storage facility operator.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UBC opposes the certification on the basis that the threshold issue, enforceability of the exclusion clause in the Agreement, is not a common issue because the effect of that contract provision may differ depending upon the interaction between each client and UBC's employees. The parties agree that the assessment of damages is an individual issue for each claimant. UBC says that where both liability and damages will be determined based on individual issues, a class proceeding is not the preferable procedure for a fair and efficient resolution of the common issues. UBC also says that the proposed litigation plan is unworkable because it proposes consideration of the standard of care issue without the participation of the third parties. It argues that the third parties need to be present at any determination of that issue. It also says that the nature of the third party claims is such that some procedure other than a class proceeding is preferable.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 have concluded that this action is not suitable for certification as a class proceeding. Those issues which could be certified as common issues would not appreciably advance the proceedings. Further, given the importance of the individual damage and liability issues, a class action is not the preferable procedure for determination of any common issues that arise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Andrology is the study of male reproductive health and dysfunction. The Lab was established in 1981. The clinical work of the Lab has always included sperm storage for men undergoing potentially sterilizing medical treatments. Sperm storage was not carried on as a commercial venture, but rather, as a service to those individuals.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Freezer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freezer was purchased by UBC in July 1987. It was initially used for kidney research, but in 1993, it was transferred to the Lab at the Koerner Pavilion at UBC Hospital. The freezer remained in the UBC Hospital until it was moved on February 22, 2001, to the Lab's new location at VGH.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freezer had a nameplate installed by the manufacturer or distributor that provided some technical information, as well as the name and model of the freezer. The nameplate indicated that the freezer drew 9 amperes. The freezer was hard-wired by the VGH maintenance employees and connected to a 15 ampere circuit breaker, which was appropriate for the amperage shown on the nameplate. It was subsequently learned that the freezer drew 12.5 to 13 amperes, which meant that it needed a 20 ampere circuit breaker. Documentation for the freezer also indicated that it required a 20 ampere circuit breaker; there is an issue, however, as to whether that documentation was in UBC's possession. The freezer also had a plug attached to it that would indicate the need for a 20 ampere circuit breaker.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It is evident that there are numerous issues that will need to be explored between UBC and the third parties regarding responsibility for the installation of the undersized circuit breaker.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Moore Security Systems ("Moore Security") was retained in January 2002 to install and monitor the security alarm system for the freezer. Moore Security's alarm system was intended to create an alarm in the event of a power interruption to the freezer or in the event of an increase in the freezer's internal temperature. Caltech Tech Services was retained by Moore Security to assist with the alarm system installation and to provide technical advice to Moore Security regarding the freezer system. The alarm system was not connected to an internal "Performance Monitor System" in the freezer, nor was a relay included in the Moore Security alarm system. As a result of these or other shortcomings in the system, no alarm was sounded when the power supply to the freezer was interrupted.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Clients who used the storage facilities of the Lab were charged a nominal fee and asked to sign the Agreement. The Lab's administrative assistants and technicians were instructed to ensure that each client signed the Agreement before the Lab would store their sperm. The majority of clients did sign the Agreement. The standard practice of the Lab was to give the signed Agreement to the client and retain a copy of only the signature page in the client's file. UBC has been unable to produce signature pages of the Agreement for approximately 25 of the 161 clients who had sperm stored in the freezer.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Over the years, there were some differences in the form of the Agreement. However, UBC says the provision purporting to limit liability set out in each Agreement did not change. It reads as follows at Article 7:</w:t>
      </w:r>
      <w:r>
        <w:rPr>
          <w:rFonts w:ascii="arial" w:eastAsia="arial" w:hAnsi="arial" w:cs="arial"/>
          <w:sz w:val="20"/>
          <w:lang w:val="en-US" w:eastAsia="en-US" w:bidi="ar-SA"/>
        </w:rPr>
        <w:cr/>
      </w:r>
    </w:p>
    <w:p>
      <w:pPr>
        <w:numPr>
          <w:numId w:val="51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LIMITATION OF OUR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By signing this Agreement you agree that neither we nor our successors or assigns nor any of our governors, directors, officers, employees or agents will be liable to you or anyone else for any destruction of, damage or alteration to or misuse of your Specimen for any reason whatsoever, including:</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improper testing of your Specimen;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freezing of your Specimen;</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maintenance and/or storage of your Specimen in a frozen state, or</w:t>
      </w:r>
    </w:p>
    <w:p>
      <w:pPr>
        <w:numPr>
          <w:numId w:val="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improper withdrawal and/or delivery of your Specimen.</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This exclusion of our liability extends to any damage, misuse or impropriety caused by or resulting from any malfunction of our freezing equipment (whether for causes within our control or not) or from any failure of utilities, strike, cessation of services or other labour disturbances or any failure or similar occurrence in our or any other laboratory or from any fire, earthquake or other acts of nature beyond our control, or caused by or resulting from any act, omission or negligent conduct on the part of us or our successors or assigns or any of our governors, directors, officers, employees or agents.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UBC says that the terms and conditions of the Agreement were brought to the attention of all Lab clients. Each client was asked to read and sign the Agreement. Other provisions in the Agreement were intended to draw attention to the legal significance of Article 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Lam is one of the 25 clients who does not have a signature page in his client file. UBC will argue that the terms of the Agreement and the conditions under which UBC was prepared to store the sperm were brought to the attention of those individuals before they agreed to store their sperm at the Lab. It will also argue that those individuals agreed to those terms and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There are two different forms of the Agreement, each with a different entity named as the service provider and contracting party. The two parties named are:</w:t>
      </w:r>
      <w:r>
        <w:rPr>
          <w:rFonts w:ascii="arial" w:eastAsia="arial" w:hAnsi="arial" w:cs="arial"/>
          <w:sz w:val="20"/>
          <w:lang w:val="en-US" w:eastAsia="en-US" w:bidi="ar-SA"/>
        </w:rPr>
        <w:cr/>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Department of Gynecology of the University of British Columbia Health Sciences Centre Hospital;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Department of Gynaecology of the Vancouveer (sic) Hospital and Health Sciences Centre.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Lam notes that these contracting parties are separate legal entities from UBC. Mr. Lam will argue that UBC cannot claim the benefit of the contract provisions. In its statement of defence, UBC admitted that it entered into the Agreement. Shortly before the certification hearing, it filed an amended statement of defence to allege that the UBC Hospital was the contracting party with Mr. Lam and that UBC is a successor and assign of UBC Hospital. Mr. Lam argued that UBC must seek leave to withdraw the admission made in its original statement of defence. This issue was not argued before me; the certification hearing proceeded on the basis of the original statement of defence. However, it is evident there is an issue as to which party or parties may be entitled to rely upon the exclusion clause in the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Here, Mr. Lam initially proposed a determination of the "appropriate range of damages" as one of the common issues for certification. At the certification hearing, that issue was withdrawn as a proposed common issue. There are numerous considerations that will have to be taken into account in any damage assessment. Consequently, that determination will be an individual issue for each claimant. These factors include the following:</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claimants may have chosen not to have children;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claimants may have recovered from the treatment and can now produce viable sperm;</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claimants may have partners who are infertile; and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some of the sperm samples may yet be capable of being used for reproductive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questions Mr. Lam now proposes as common issues are:</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UBC owe a duty of care to class members?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What was the standard of care for an operator of a sperm storage facility?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Did UBC breach the standard of care?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exclusion clause in the Agreement unenforceable by being contrary to public policy?</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exclusion clause in the Agreement unenforceable by reason of being unconscionable?</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exclusion clause in the Agreement enforceable against a class member who did not sign the Agreement?</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exclusion clause in the Agreement enforceable given that it does not name the defendant as a party that can benefit from the exclusion clause?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Sections 4(1), 4(2), and 7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state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4(1) The court must certify a proceeding as a class proceeding on an application under section 2 or 3 if all of the following requirements are met:</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pleadings disclose a cause of action;</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an identifiable class of 2 or more persons;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claims of the class members raise common issues, whether or not those common issues predominate over issues affecting only individual members;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class proceeding would be the preferable procedure for the fair and efficient resolution of the common issues;</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is a representative plaintiff who</w:t>
      </w:r>
    </w:p>
    <w:p>
      <w:pPr>
        <w:numPr>
          <w:numId w:val="7"/>
        </w:numPr>
        <w:tabs>
          <w:tab w:val="num" w:pos="1840"/>
          <w:tab w:val="clear" w:pos="220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would fairly and adequately represent the interests of the class,</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has produced a plan for the proceeding that sets out a workable method of advancing the proceeding on behalf of the class and of notifying class members of the proceeding, and</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not have, on the common issues, an interest that is in conflict with the interests of other class members.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4(2) In determining whether a class proceeding would be the preferable procedure for the fair and efficient resolution of the common issues, the court must consider all relevant matters including the following:</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questions of fact or law common to the members of the class predominate over any questions affecting only individual members;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a significant number of the members of the class have a valid interest in individually controlling the prosecution of separate actions;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class proceeding would involve claims that are or have been the subject of any other proceedings;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other means of resolving the claims are less practical or less efficient;</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the administration of the class proceeding would create greater difficulties than those likely to be experienced if relief were sought by other means.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1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court must not refuse to certify a proceeding as a class proceeding merely because of one or more of the following:</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includes a claim for damages that would require individual assessment after determination of the common issues;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relief claimed relates to separate contracts involving different class members;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different remedies are sought for different class members;</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number of class members or the identity of each class member is not known;</w:t>
      </w:r>
    </w:p>
    <w:p>
      <w:pPr>
        <w:numPr>
          <w:numId w:val="1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class includes a subclass whose members have claims that raise common issues not shared by all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Before an action can be certified as a class proceeding, the five requirements in s. 4(1) must be met. If they are, then the action must be certified. Here, UBC bases its opposition to certification on ss. 4(1)(c) and (d), whether common issues are raised and whether a class action is the preferable procedure for a fair and efficient resolution of the common issues. It also says that the plaintiff has not put forward a litigation plan that sets out a workable method of advancing the proceeding on behalf of the class, pursuant to s. 4(1)(e)(ii).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 agree that the statement of claim discloses a cause of action (s. 4(1)(a)), that there is an identifiable class of two or more persons (s. 4(1)(b)), and that the requirements of ss. 4(1)(e)(i) and (iii) have been met. Accordingly, my analysis will be restricted to the statutory requirements in ss. 4(1)(c), (d), and (e)(ii) that UBC says have not been met by Mr. Lam. My decision to deny certification is based on three issues, each of which is considered below:</w:t>
      </w:r>
      <w:r>
        <w:rPr>
          <w:rFonts w:ascii="arial" w:eastAsia="arial" w:hAnsi="arial" w:cs="arial"/>
          <w:sz w:val="20"/>
          <w:lang w:val="en-US" w:eastAsia="en-US" w:bidi="ar-SA"/>
        </w:rPr>
        <w:cr/>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common issues raised by the claims of the class members?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Is a class action the preferable procedure for the fair and efficient resolution of the common issues?</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proposed litigation plan set out a workable method of advancing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Mr. Lam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Mr. Lam's argument focused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questions that he says are ideally suited for determination as common issues. In product liability cases, British Columbia courts have frequently certified as common issues the fundamental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questions of whether the defendant owed a duty of care and whether the standard of care was met: </w:t>
      </w:r>
      <w:r>
        <w:rPr>
          <w:rFonts w:ascii="arial" w:eastAsia="arial" w:hAnsi="arial" w:cs="arial"/>
          <w:b/>
          <w:i/>
          <w:color w:val="000000"/>
          <w:sz w:val="20"/>
          <w:lang w:val="en-US" w:eastAsia="en-US" w:bidi="ar-SA"/>
        </w:rPr>
        <w:t>Bouchanskaia v. Bayer Inc.</w:t>
      </w:r>
      <w:r>
        <w:rPr>
          <w:rFonts w:ascii="arial" w:eastAsia="arial" w:hAnsi="arial" w:cs="arial"/>
          <w:color w:val="000000"/>
          <w:sz w:val="20"/>
          <w:lang w:val="en-US" w:eastAsia="en-US" w:bidi="ar-SA"/>
        </w:rPr>
        <w:t xml:space="preserve">, </w:t>
      </w:r>
      <w:hyperlink r:id="rId401" w:history="1">
        <w:r>
          <w:rPr>
            <w:rFonts w:ascii="arial" w:eastAsia="arial" w:hAnsi="arial" w:cs="arial"/>
            <w:i/>
            <w:color w:val="0077CC"/>
            <w:sz w:val="20"/>
            <w:u w:val="single"/>
            <w:shd w:val="clear" w:color="auto" w:fill="FFFFFF"/>
            <w:lang w:val="en-US" w:eastAsia="en-US" w:bidi="ar-SA"/>
          </w:rPr>
          <w:t>2003 BCSC 1306</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Campbell v. Flexwatt Corp.</w:t>
      </w:r>
      <w:r>
        <w:rPr>
          <w:rFonts w:ascii="arial" w:eastAsia="arial" w:hAnsi="arial" w:cs="arial"/>
          <w:color w:val="000000"/>
          <w:sz w:val="20"/>
          <w:lang w:val="en-US" w:eastAsia="en-US" w:bidi="ar-SA"/>
        </w:rPr>
        <w:t xml:space="preserve"> (1997), </w:t>
      </w:r>
      <w:hyperlink r:id="rId1016" w:history="1">
        <w:r>
          <w:rPr>
            <w:rFonts w:ascii="arial" w:eastAsia="arial" w:hAnsi="arial" w:cs="arial"/>
            <w:i/>
            <w:color w:val="0077CC"/>
            <w:sz w:val="20"/>
            <w:u w:val="single"/>
            <w:shd w:val="clear" w:color="auto" w:fill="FFFFFF"/>
            <w:lang w:val="en-US" w:eastAsia="en-US" w:bidi="ar-SA"/>
          </w:rPr>
          <w:t>[1998] 6 W.W.R. 275</w:t>
        </w:r>
      </w:hyperlink>
      <w:r>
        <w:rPr>
          <w:rFonts w:ascii="arial" w:eastAsia="arial" w:hAnsi="arial" w:cs="arial"/>
          <w:color w:val="000000"/>
          <w:sz w:val="20"/>
          <w:lang w:val="en-US" w:eastAsia="en-US" w:bidi="ar-SA"/>
        </w:rPr>
        <w:t xml:space="preserve">, </w:t>
      </w:r>
      <w:hyperlink r:id="rId1016" w:history="1">
        <w:r>
          <w:rPr>
            <w:rFonts w:ascii="arial" w:eastAsia="arial" w:hAnsi="arial" w:cs="arial"/>
            <w:i/>
            <w:color w:val="0077CC"/>
            <w:sz w:val="20"/>
            <w:u w:val="single"/>
            <w:shd w:val="clear" w:color="auto" w:fill="FFFFFF"/>
            <w:lang w:val="en-US" w:eastAsia="en-US" w:bidi="ar-SA"/>
          </w:rPr>
          <w:t>44 B.C.L.R. (3d) 343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Campbell</w:t>
      </w:r>
      <w:r>
        <w:rPr>
          <w:rFonts w:ascii="arial" w:eastAsia="arial" w:hAnsi="arial" w:cs="arial"/>
          <w:color w:val="000000"/>
          <w:sz w:val="20"/>
          <w:lang w:val="en-US" w:eastAsia="en-US" w:bidi="ar-SA"/>
        </w:rPr>
        <w:t xml:space="preserve"> ]; and </w:t>
      </w:r>
      <w:r>
        <w:rPr>
          <w:rFonts w:ascii="arial" w:eastAsia="arial" w:hAnsi="arial" w:cs="arial"/>
          <w:b/>
          <w:i/>
          <w:color w:val="000000"/>
          <w:sz w:val="20"/>
          <w:lang w:val="en-US" w:eastAsia="en-US" w:bidi="ar-SA"/>
        </w:rPr>
        <w:t>Chace v. Crane Canada Inc.</w:t>
      </w:r>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(1997), 44 B.C.L.R. (3d) 264</w:t>
        </w:r>
      </w:hyperlink>
      <w:r>
        <w:rPr>
          <w:rFonts w:ascii="arial" w:eastAsia="arial" w:hAnsi="arial" w:cs="arial"/>
          <w:color w:val="000000"/>
          <w:sz w:val="20"/>
          <w:lang w:val="en-US" w:eastAsia="en-US" w:bidi="ar-SA"/>
        </w:rPr>
        <w:t xml:space="preserve">, </w:t>
      </w:r>
      <w:hyperlink r:id="rId1017" w:history="1">
        <w:r>
          <w:rPr>
            <w:rFonts w:ascii="arial" w:eastAsia="arial" w:hAnsi="arial" w:cs="arial"/>
            <w:i/>
            <w:color w:val="0077CC"/>
            <w:sz w:val="20"/>
            <w:u w:val="single"/>
            <w:shd w:val="clear" w:color="auto" w:fill="FFFFFF"/>
            <w:lang w:val="en-US" w:eastAsia="en-US" w:bidi="ar-SA"/>
          </w:rPr>
          <w:t>101 B.C.A.C. 32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Here, Mr. Lam alleges UBC breached the standard of care for a sperm bank operator in numerous ways. Consideration of these alleged breaches requires examination of factual issues, including the questions referred to above regarding the use of the undersized 15 ampere circuit breaker. Other alleged breaches of the standard of care include:</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an electric freezer to store the sperm, rather than liquid nitrogen dewars;</w:t>
      </w:r>
    </w:p>
    <w:p>
      <w:pPr>
        <w:numPr>
          <w:numId w:val="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have an uninterrupted or back up power supply;</w:t>
      </w:r>
    </w:p>
    <w:p>
      <w:pPr>
        <w:numPr>
          <w:numId w:val="2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use of a single freezer to store all of an individual's sperm instead of dividing samples and storing them in two or more freezers; and</w:t>
      </w:r>
    </w:p>
    <w:p>
      <w:pPr>
        <w:numPr>
          <w:numId w:val="2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failure to have a protocol in place for regular monitoring of the freezer's function in addition to the alarm system.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Mr. Lam says that the proposed common issues would permit a full examination of the questions raised about the appropriate standard of care and whether it was breached. He says there is little doubt that these questions are indeed common, as they must be determined for all claimants.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response to UBC's reliance on the exclusion clause in the Agreement as a defence to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Lam says that a common issue does not need to resolve liability; it simply must move the litigation forward. As noted by Cumming J.A. in </w:t>
      </w:r>
      <w:r>
        <w:rPr>
          <w:rFonts w:ascii="arial" w:eastAsia="arial" w:hAnsi="arial" w:cs="arial"/>
          <w:b/>
          <w:i/>
          <w:color w:val="000000"/>
          <w:sz w:val="20"/>
          <w:lang w:val="en-US" w:eastAsia="en-US" w:bidi="ar-SA"/>
        </w:rPr>
        <w:t>Campbell</w:t>
      </w:r>
      <w:r>
        <w:rPr>
          <w:rFonts w:ascii="arial" w:eastAsia="arial" w:hAnsi="arial" w:cs="arial"/>
          <w:color w:val="000000"/>
          <w:sz w:val="20"/>
          <w:lang w:val="en-US" w:eastAsia="en-US" w:bidi="ar-SA"/>
        </w:rPr>
        <w:t xml:space="preserve"> at paras. 52-53: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This question of commonality of issues lies at the heart of a class proceeding, for the intent of a class proceeding is to allow liability issues to be determined for the entire class based on a determination of liability of the defendants to the proposed representative plaintiffs.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examining the existence of common issues it is important to understand that the common issues do not have to be issues which are determinative of liability; they need only be issues of fact or law that move the litigation forward. The resolution of a common issue does not have to be, in and of itself, sufficient to support relief. To require every common issue to be determinative of liability for every plaintiff and every defendant would make class proceedings with more than one defendant virtually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Mr. Lam emphasized in argument that the three proposed common questions dealing with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enough on their own to satisfy the requirement for certification in this case. He argues that a determination of these issues would move the litigation forward in a real way. He says that it does not matter that the defence arising from the exclusion clause would not be dealt with in considering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Initially, Mr. Lam proposed common issues designed to consider the extent of UBC's contractual obligation to preserve the sperm and whether that obligation was breached. At the certification hearing he withdrew those questions but proposed that Questions 4 to 7, noted above, be certified as common issues. Mr. Lam's proposed common issues thus attempt to pose some, but not all, of the questions that might be raised regarding the exclusion clause. He specifically does not pose the ultimate question as a common issue - whether the exclusion clause can be relied upon by UBC to defeat the claims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Mr. Lam argues that Questions 4 and 5, which raise questions of public policy and unconscionability, are significant common issues because UBC is offering a medical service. He says the decision in </w:t>
      </w:r>
      <w:r>
        <w:rPr>
          <w:rFonts w:ascii="arial" w:eastAsia="arial" w:hAnsi="arial" w:cs="arial"/>
          <w:b/>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2001 BCSC 162</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85 B.C.L.R. (3d) 114</w:t>
        </w:r>
      </w:hyperlink>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Hobbs</w:t>
      </w:r>
      <w:r>
        <w:rPr>
          <w:rFonts w:ascii="arial" w:eastAsia="arial" w:hAnsi="arial" w:cs="arial"/>
          <w:color w:val="000000"/>
          <w:sz w:val="20"/>
          <w:lang w:val="en-US" w:eastAsia="en-US" w:bidi="ar-SA"/>
        </w:rPr>
        <w:t>], provides support for considering these as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Lam says that Question 6 is a valid common issue for all of those claimants for whom UBC does not have a signed Agreement. He says that Question 7 is common to all of those who did sign the Agreement, and also to those who did not if the answer to Question 6 is affirmative.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In considering commonality, Mr. Lam says that the fact that there will be contentious individual issues regarding both damages and enforceability of the Agreement should not prevent certification. He emphasizes that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is not directed solely at resolving common issues, but also at simplification and effective management of litigation where there are numerous plaintiffs. He argues that the flexibility provided by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will be lost if the action is not certified.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1. Are there common issues raised by the claims of the class members?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There is no question that the first three common issues proposed by Mr. Lam, Questions 1, 2 and 3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are common issues for all members of the proposed class. As UBC has conceded, Question 1, whether a duty of care was owed, is not difficult to answer in this case. Questions 2 and 3, however, are contentious questions, the resolution of which would advance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xml:space="preserve">  UBC and some of the third parties have stressed that a court should avoid framing commonality in overly broad terms. As the Supreme Court of Canada warned in </w:t>
      </w:r>
      <w:r>
        <w:rPr>
          <w:rFonts w:ascii="arial" w:eastAsia="arial" w:hAnsi="arial" w:cs="arial"/>
          <w:b/>
          <w:i/>
          <w:color w:val="000000"/>
          <w:sz w:val="20"/>
          <w:lang w:val="en-US" w:eastAsia="en-US" w:bidi="ar-SA"/>
        </w:rPr>
        <w:t>Rumley v. British Columbia</w:t>
      </w:r>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2001 SCC 69</w:t>
        </w:r>
      </w:hyperlink>
      <w:r>
        <w:rPr>
          <w:rFonts w:ascii="arial" w:eastAsia="arial" w:hAnsi="arial" w:cs="arial"/>
          <w:color w:val="000000"/>
          <w:sz w:val="20"/>
          <w:lang w:val="en-US" w:eastAsia="en-US" w:bidi="ar-SA"/>
        </w:rPr>
        <w:t xml:space="preserve">, </w:t>
      </w:r>
      <w:hyperlink r:id="rId353" w:history="1">
        <w:r>
          <w:rPr>
            <w:rFonts w:ascii="arial" w:eastAsia="arial" w:hAnsi="arial" w:cs="arial"/>
            <w:i/>
            <w:color w:val="0077CC"/>
            <w:sz w:val="20"/>
            <w:u w:val="single"/>
            <w:shd w:val="clear" w:color="auto" w:fill="FFFFFF"/>
            <w:lang w:val="en-US" w:eastAsia="en-US" w:bidi="ar-SA"/>
          </w:rPr>
          <w:t>[2001] 3 S.C.R. 184</w:t>
        </w:r>
      </w:hyperlink>
      <w:r>
        <w:rPr>
          <w:rFonts w:ascii="arial" w:eastAsia="arial" w:hAnsi="arial" w:cs="arial"/>
          <w:color w:val="000000"/>
          <w:sz w:val="20"/>
          <w:lang w:val="en-US" w:eastAsia="en-US" w:bidi="ar-SA"/>
        </w:rPr>
        <w:t>, it does not serve the ends of fairness or efficiency to certify an action on common issues that are stated in the most general terms. A common issue should be one that avoids duplication of fact finding or legal 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Here,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while stated in general terms, would avoid duplication of fact finding and legal analysis in the determination of the standard of care and whether it was breached. Accordingly, the statement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as common issues satisfies the requirement of s. 4(1)(c)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other four proposed common issues, Questions 4, 5, 6 and 7 (the "Contract Issues"), raise questions relating to the claim in contract. I have concluded that none of the Contract Issues are common. Questions 4 and 5 ask whether or not the exclusion clause is unenforceable, either as being contrary to public policy or unconscionable. The commonality of those two questions can be considered together. Questions 6 and 7 must be considered separately.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Before considering these questions, it is worthwhile to set out principles relevant to all of the proposed Contract Issues. It is possible for standard form contracts to raise common issues for determination in class proceedings. However, this is only the case where there is no need to resort to evidence of matters outside of the language of the contract, or, alternatively, where it can be seen that the external context is common across members of the proposed class: </w:t>
      </w:r>
      <w:r>
        <w:rPr>
          <w:rFonts w:ascii="arial" w:eastAsia="arial" w:hAnsi="arial" w:cs="arial"/>
          <w:b/>
          <w:i/>
          <w:color w:val="000000"/>
          <w:sz w:val="20"/>
          <w:lang w:val="en-US" w:eastAsia="en-US" w:bidi="ar-SA"/>
        </w:rPr>
        <w:t>De Wolf v. Bell ExpressVu Inc.</w:t>
      </w:r>
      <w:r>
        <w:rPr>
          <w:rFonts w:ascii="arial" w:eastAsia="arial" w:hAnsi="arial" w:cs="arial"/>
          <w:color w:val="000000"/>
          <w:sz w:val="20"/>
          <w:lang w:val="en-US" w:eastAsia="en-US" w:bidi="ar-SA"/>
        </w:rPr>
        <w:t xml:space="preserve">, </w:t>
      </w:r>
      <w:hyperlink r:id="rId1019" w:history="1">
        <w:r>
          <w:rPr>
            <w:rFonts w:ascii="arial" w:eastAsia="arial" w:hAnsi="arial" w:cs="arial"/>
            <w:i/>
            <w:color w:val="0077CC"/>
            <w:sz w:val="20"/>
            <w:u w:val="single"/>
            <w:shd w:val="clear" w:color="auto" w:fill="FFFFFF"/>
            <w:lang w:val="en-US" w:eastAsia="en-US" w:bidi="ar-SA"/>
          </w:rPr>
          <w:t>[2008] O.J. No. 592</w:t>
        </w:r>
      </w:hyperlink>
      <w:r>
        <w:rPr>
          <w:rFonts w:ascii="arial" w:eastAsia="arial" w:hAnsi="arial" w:cs="arial"/>
          <w:color w:val="000000"/>
          <w:sz w:val="20"/>
          <w:lang w:val="en-US" w:eastAsia="en-US" w:bidi="ar-SA"/>
        </w:rPr>
        <w:t>, 2008 CarswellOnt. 818 (S.C.J.) at paras. 30-33. Where the real questions raised by the interpretation of the standard contract require an examination of the factual matrices that are different for each individual, it is not possible to state or resolve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This issue arose in </w:t>
      </w:r>
      <w:r>
        <w:rPr>
          <w:rFonts w:ascii="arial" w:eastAsia="arial" w:hAnsi="arial" w:cs="arial"/>
          <w:b/>
          <w:i/>
          <w:color w:val="000000"/>
          <w:sz w:val="20"/>
          <w:lang w:val="en-US" w:eastAsia="en-US" w:bidi="ar-SA"/>
        </w:rPr>
        <w:t>Koo v. Canadian Airlines International Ltd.</w:t>
      </w:r>
      <w:r>
        <w:rPr>
          <w:rFonts w:ascii="arial" w:eastAsia="arial" w:hAnsi="arial" w:cs="arial"/>
          <w:color w:val="000000"/>
          <w:sz w:val="20"/>
          <w:lang w:val="en-US" w:eastAsia="en-US" w:bidi="ar-SA"/>
        </w:rPr>
        <w:t xml:space="preserve">, </w:t>
      </w:r>
      <w:hyperlink r:id="rId1020" w:history="1">
        <w:r>
          <w:rPr>
            <w:rFonts w:ascii="arial" w:eastAsia="arial" w:hAnsi="arial" w:cs="arial"/>
            <w:i/>
            <w:color w:val="0077CC"/>
            <w:sz w:val="20"/>
            <w:u w:val="single"/>
            <w:shd w:val="clear" w:color="auto" w:fill="FFFFFF"/>
            <w:lang w:val="en-US" w:eastAsia="en-US" w:bidi="ar-SA"/>
          </w:rPr>
          <w:t>2000 BCSC 281</w:t>
        </w:r>
      </w:hyperlink>
      <w:r>
        <w:rPr>
          <w:rFonts w:ascii="arial" w:eastAsia="arial" w:hAnsi="arial" w:cs="arial"/>
          <w:color w:val="000000"/>
          <w:sz w:val="20"/>
          <w:lang w:val="en-US" w:eastAsia="en-US" w:bidi="ar-SA"/>
        </w:rPr>
        <w:t>, where the representative plaintiffs claimed on behalf of airline passengers for breach of contract in circumstances where it was alleged that flights were deliberately oversold. One of the issues raised was whether the Tariffs, the conditions of carriage filed by the defendant airline with the Canadian Transportation Agency, could be relied upon to defeat or limit the passengers' claims. The court accepted that the issue invited "an inquiry into the question of whether a particular passenger is bound by terms that were not adequately brought to his or her attention." (para. 57). The court concluded that the contract issue was an individual issue that involved consideration of the circumstances of each ticket purchase.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Where the question before the court involves the enforceability of an exclusion clause, it is very likely that the issues raised will require examination of individual circumstances. This is because the interpretation of a waiver or exclusion clause cannot be divorced from the evidence pertaining to the individual parties: </w:t>
      </w:r>
      <w:r>
        <w:rPr>
          <w:rFonts w:ascii="arial" w:eastAsia="arial" w:hAnsi="arial" w:cs="arial"/>
          <w:b/>
          <w:i/>
          <w:color w:val="000000"/>
          <w:sz w:val="20"/>
          <w:lang w:val="en-US" w:eastAsia="en-US" w:bidi="ar-SA"/>
        </w:rPr>
        <w:t>Goodspeed v. Tyax Mountain Lake Resort Ltd.</w:t>
      </w:r>
      <w:r>
        <w:rPr>
          <w:rFonts w:ascii="arial" w:eastAsia="arial" w:hAnsi="arial" w:cs="arial"/>
          <w:color w:val="000000"/>
          <w:sz w:val="20"/>
          <w:lang w:val="en-US" w:eastAsia="en-US" w:bidi="ar-SA"/>
        </w:rPr>
        <w:t xml:space="preserve">, </w:t>
      </w:r>
      <w:hyperlink r:id="rId1021" w:history="1">
        <w:r>
          <w:rPr>
            <w:rFonts w:ascii="arial" w:eastAsia="arial" w:hAnsi="arial" w:cs="arial"/>
            <w:i/>
            <w:color w:val="0077CC"/>
            <w:sz w:val="20"/>
            <w:u w:val="single"/>
            <w:shd w:val="clear" w:color="auto" w:fill="FFFFFF"/>
            <w:lang w:val="en-US" w:eastAsia="en-US" w:bidi="ar-SA"/>
          </w:rPr>
          <w:t>2005 BCSC 1577</w:t>
        </w:r>
      </w:hyperlink>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Ochoa v. Canadian Mountain Holidays Inc.</w:t>
      </w:r>
      <w:r>
        <w:rPr>
          <w:rFonts w:ascii="arial" w:eastAsia="arial" w:hAnsi="arial" w:cs="arial"/>
          <w:color w:val="000000"/>
          <w:sz w:val="20"/>
          <w:lang w:val="en-US" w:eastAsia="en-US" w:bidi="ar-SA"/>
        </w:rPr>
        <w:t xml:space="preserve">, </w:t>
      </w:r>
      <w:hyperlink r:id="rId1022" w:history="1">
        <w:r>
          <w:rPr>
            <w:rFonts w:ascii="arial" w:eastAsia="arial" w:hAnsi="arial" w:cs="arial"/>
            <w:i/>
            <w:color w:val="0077CC"/>
            <w:sz w:val="20"/>
            <w:u w:val="single"/>
            <w:shd w:val="clear" w:color="auto" w:fill="FFFFFF"/>
            <w:lang w:val="en-US" w:eastAsia="en-US" w:bidi="ar-SA"/>
          </w:rPr>
          <w:t>[1996] B.C.J. No. 2026</w:t>
        </w:r>
      </w:hyperlink>
      <w:r>
        <w:rPr>
          <w:rFonts w:ascii="arial" w:eastAsia="arial" w:hAnsi="arial" w:cs="arial"/>
          <w:color w:val="000000"/>
          <w:sz w:val="20"/>
          <w:lang w:val="en-US" w:eastAsia="en-US" w:bidi="ar-SA"/>
        </w:rPr>
        <w:t xml:space="preserve"> at para. 136, 1996 CarswellBC 2034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difficulty with all of the Contract Issues proposed by Mr. Lam is that they cannot be divorced from the particular circumstances of each claimant. In that respect, the issues in this case are similar to those considered by the court in </w:t>
      </w:r>
      <w:r>
        <w:rPr>
          <w:rFonts w:ascii="arial" w:eastAsia="arial" w:hAnsi="arial" w:cs="arial"/>
          <w:b/>
          <w:i/>
          <w:color w:val="000000"/>
          <w:sz w:val="20"/>
          <w:lang w:val="en-US" w:eastAsia="en-US" w:bidi="ar-SA"/>
        </w:rPr>
        <w:t>Koo</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Mr. Lam has argued that there are reasons of public policy or unconscionability that would preclude UBC from having the benefit of the exclusion clause. He says that the basis for the inquiry into these common issues is the onerous nature of the wording of the exclusion clause and the issue of whether, as a matter of public policy, UBC can exclude itself from liability when it is offering services of a medical nature. In support of this argument, he relies upon </w:t>
      </w:r>
      <w:r>
        <w:rPr>
          <w:rFonts w:ascii="arial" w:eastAsia="arial" w:hAnsi="arial" w:cs="arial"/>
          <w:b/>
          <w:i/>
          <w:color w:val="000000"/>
          <w:sz w:val="20"/>
          <w:lang w:val="en-US" w:eastAsia="en-US" w:bidi="ar-SA"/>
        </w:rPr>
        <w:t>Hobbs</w:t>
      </w:r>
      <w:r>
        <w:rPr>
          <w:rFonts w:ascii="arial" w:eastAsia="arial" w:hAnsi="arial" w:cs="arial"/>
          <w:color w:val="000000"/>
          <w:sz w:val="20"/>
          <w:lang w:val="en-US" w:eastAsia="en-US" w:bidi="ar-SA"/>
        </w:rPr>
        <w:t xml:space="preserve"> and </w:t>
      </w:r>
      <w:r>
        <w:rPr>
          <w:rFonts w:ascii="arial" w:eastAsia="arial" w:hAnsi="arial" w:cs="arial"/>
          <w:b/>
          <w:i/>
          <w:color w:val="000000"/>
          <w:sz w:val="20"/>
          <w:lang w:val="en-US" w:eastAsia="en-US" w:bidi="ar-SA"/>
        </w:rPr>
        <w:t>Tercon Contractors Ltd. v. British Columbia (Ministry of Transportation and Highways)</w:t>
      </w:r>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2006 BCSC 499</w:t>
        </w:r>
      </w:hyperlink>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53 B.C.L.R. (4th) 138</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Exclusion clauses are not generally contrary to public policy. However, it is possible that individual contractual circumstances might raise issues of public policy or unconscionability. However, such issues can only be raised by considering the particular circumstances of the plaintiff. The arguments that could be raised by members of the class would be based on the reasonable expectations of the individuals and their sophistication, English competency and mental state at the time of depositing sperm with the Lab. In other words, these proposed issues can only be considered by examining, on an individual basis, the factual matrix that may be relevant to the formation of the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Mr. Lam's reliance on the two decisions referenced above is misplaced. Both cases were overturned on appeal. Indeed, </w:t>
      </w:r>
      <w:r>
        <w:rPr>
          <w:rFonts w:ascii="arial" w:eastAsia="arial" w:hAnsi="arial" w:cs="arial"/>
          <w:b/>
          <w:i/>
          <w:color w:val="000000"/>
          <w:sz w:val="20"/>
          <w:lang w:val="en-US" w:eastAsia="en-US" w:bidi="ar-SA"/>
        </w:rPr>
        <w:t>Hobbs</w:t>
      </w:r>
      <w:r>
        <w:rPr>
          <w:rFonts w:ascii="arial" w:eastAsia="arial" w:hAnsi="arial" w:cs="arial"/>
          <w:color w:val="000000"/>
          <w:sz w:val="20"/>
          <w:lang w:val="en-US" w:eastAsia="en-US" w:bidi="ar-SA"/>
        </w:rPr>
        <w:t xml:space="preserve"> was considered on two occasions by the Court of Appeal at </w:t>
      </w:r>
      <w:r>
        <w:rPr>
          <w:rFonts w:ascii="arial" w:eastAsia="arial" w:hAnsi="arial" w:cs="arial"/>
          <w:b/>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2002 BCCA 381</w:t>
        </w:r>
      </w:hyperlink>
      <w:r>
        <w:rPr>
          <w:rFonts w:ascii="arial" w:eastAsia="arial" w:hAnsi="arial" w:cs="arial"/>
          <w:color w:val="000000"/>
          <w:sz w:val="20"/>
          <w:lang w:val="en-US" w:eastAsia="en-US" w:bidi="ar-SA"/>
        </w:rPr>
        <w:t xml:space="preserve">, </w:t>
      </w:r>
      <w:hyperlink r:id="rId1024" w:history="1">
        <w:r>
          <w:rPr>
            <w:rFonts w:ascii="arial" w:eastAsia="arial" w:hAnsi="arial" w:cs="arial"/>
            <w:i/>
            <w:color w:val="0077CC"/>
            <w:sz w:val="20"/>
            <w:u w:val="single"/>
            <w:shd w:val="clear" w:color="auto" w:fill="FFFFFF"/>
            <w:lang w:val="en-US" w:eastAsia="en-US" w:bidi="ar-SA"/>
          </w:rPr>
          <w:t>172 B.C.A.C. 282</w:t>
        </w:r>
      </w:hyperlink>
      <w:r>
        <w:rPr>
          <w:rFonts w:ascii="arial" w:eastAsia="arial" w:hAnsi="arial" w:cs="arial"/>
          <w:color w:val="000000"/>
          <w:sz w:val="20"/>
          <w:lang w:val="en-US" w:eastAsia="en-US" w:bidi="ar-SA"/>
        </w:rPr>
        <w:t xml:space="preserve">, rev'g </w:t>
      </w:r>
      <w:hyperlink r:id="rId1018" w:history="1">
        <w:r>
          <w:rPr>
            <w:rFonts w:ascii="arial" w:eastAsia="arial" w:hAnsi="arial" w:cs="arial"/>
            <w:i/>
            <w:color w:val="0077CC"/>
            <w:sz w:val="20"/>
            <w:u w:val="single"/>
            <w:shd w:val="clear" w:color="auto" w:fill="FFFFFF"/>
            <w:lang w:val="en-US" w:eastAsia="en-US" w:bidi="ar-SA"/>
          </w:rPr>
          <w:t>2001 BCSC 162</w:t>
        </w:r>
      </w:hyperlink>
      <w:r>
        <w:rPr>
          <w:rFonts w:ascii="arial" w:eastAsia="arial" w:hAnsi="arial" w:cs="arial"/>
          <w:color w:val="000000"/>
          <w:sz w:val="20"/>
          <w:lang w:val="en-US" w:eastAsia="en-US" w:bidi="ar-SA"/>
        </w:rPr>
        <w:t xml:space="preserve">, </w:t>
      </w:r>
      <w:hyperlink r:id="rId1018" w:history="1">
        <w:r>
          <w:rPr>
            <w:rFonts w:ascii="arial" w:eastAsia="arial" w:hAnsi="arial" w:cs="arial"/>
            <w:i/>
            <w:color w:val="0077CC"/>
            <w:sz w:val="20"/>
            <w:u w:val="single"/>
            <w:shd w:val="clear" w:color="auto" w:fill="FFFFFF"/>
            <w:lang w:val="en-US" w:eastAsia="en-US" w:bidi="ar-SA"/>
          </w:rPr>
          <w:t>85 B.C.L.R. (3d) 114</w:t>
        </w:r>
      </w:hyperlink>
      <w:r>
        <w:rPr>
          <w:rFonts w:ascii="arial" w:eastAsia="arial" w:hAnsi="arial" w:cs="arial"/>
          <w:color w:val="000000"/>
          <w:sz w:val="20"/>
          <w:lang w:val="en-US" w:eastAsia="en-US" w:bidi="ar-SA"/>
        </w:rPr>
        <w:t xml:space="preserve">, and at </w:t>
      </w:r>
      <w:r>
        <w:rPr>
          <w:rFonts w:ascii="arial" w:eastAsia="arial" w:hAnsi="arial" w:cs="arial"/>
          <w:b/>
          <w:i/>
          <w:color w:val="000000"/>
          <w:sz w:val="20"/>
          <w:lang w:val="en-US" w:eastAsia="en-US" w:bidi="ar-SA"/>
        </w:rPr>
        <w:t>Hobbs v. Robertson</w:t>
      </w:r>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2006 BCCA 65</w:t>
        </w:r>
      </w:hyperlink>
      <w:r>
        <w:rPr>
          <w:rFonts w:ascii="arial" w:eastAsia="arial" w:hAnsi="arial" w:cs="arial"/>
          <w:color w:val="000000"/>
          <w:sz w:val="20"/>
          <w:lang w:val="en-US" w:eastAsia="en-US" w:bidi="ar-SA"/>
        </w:rPr>
        <w:t xml:space="preserve">, </w:t>
      </w:r>
      <w:hyperlink r:id="rId1025" w:history="1">
        <w:r>
          <w:rPr>
            <w:rFonts w:ascii="arial" w:eastAsia="arial" w:hAnsi="arial" w:cs="arial"/>
            <w:i/>
            <w:color w:val="0077CC"/>
            <w:sz w:val="20"/>
            <w:u w:val="single"/>
            <w:shd w:val="clear" w:color="auto" w:fill="FFFFFF"/>
            <w:lang w:val="en-US" w:eastAsia="en-US" w:bidi="ar-SA"/>
          </w:rPr>
          <w:t>265 D.L.R. (4th) 537</w:t>
        </w:r>
      </w:hyperlink>
      <w:r>
        <w:rPr>
          <w:rFonts w:ascii="arial" w:eastAsia="arial" w:hAnsi="arial" w:cs="arial"/>
          <w:color w:val="000000"/>
          <w:sz w:val="20"/>
          <w:lang w:val="en-US" w:eastAsia="en-US" w:bidi="ar-SA"/>
        </w:rPr>
        <w:t xml:space="preserve">, rev'g </w:t>
      </w:r>
      <w:hyperlink r:id="rId1026" w:history="1">
        <w:r>
          <w:rPr>
            <w:rFonts w:ascii="arial" w:eastAsia="arial" w:hAnsi="arial" w:cs="arial"/>
            <w:i/>
            <w:color w:val="0077CC"/>
            <w:sz w:val="20"/>
            <w:u w:val="single"/>
            <w:shd w:val="clear" w:color="auto" w:fill="FFFFFF"/>
            <w:lang w:val="en-US" w:eastAsia="en-US" w:bidi="ar-SA"/>
          </w:rPr>
          <w:t>2004 BCSC 1088</w:t>
        </w:r>
      </w:hyperlink>
      <w:r>
        <w:rPr>
          <w:rFonts w:ascii="arial" w:eastAsia="arial" w:hAnsi="arial" w:cs="arial"/>
          <w:color w:val="000000"/>
          <w:sz w:val="20"/>
          <w:lang w:val="en-US" w:eastAsia="en-US" w:bidi="ar-SA"/>
        </w:rPr>
        <w:t>. In both instances, the Court of Appeal overturned decisions of this court due to the failure of the court to ensure that the record before it properly reflected the factual circumstances pertaining to the plaintiff. In other words, the issue as to whether or not the exclusion clause was unenforceable by reason of public policy depended upon an examination of the individual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Tercon Contractors Ltd. v. British Columbia (Transportation and Highways)</w:t>
      </w:r>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2007 BCCA 592</w:t>
        </w:r>
      </w:hyperlink>
      <w:r>
        <w:rPr>
          <w:rFonts w:ascii="arial" w:eastAsia="arial" w:hAnsi="arial" w:cs="arial"/>
          <w:color w:val="000000"/>
          <w:sz w:val="20"/>
          <w:lang w:val="en-US" w:eastAsia="en-US" w:bidi="ar-SA"/>
        </w:rPr>
        <w:t xml:space="preserve">, </w:t>
      </w:r>
      <w:hyperlink r:id="rId1027" w:history="1">
        <w:r>
          <w:rPr>
            <w:rFonts w:ascii="arial" w:eastAsia="arial" w:hAnsi="arial" w:cs="arial"/>
            <w:i/>
            <w:color w:val="0077CC"/>
            <w:sz w:val="20"/>
            <w:u w:val="single"/>
            <w:shd w:val="clear" w:color="auto" w:fill="FFFFFF"/>
            <w:lang w:val="en-US" w:eastAsia="en-US" w:bidi="ar-SA"/>
          </w:rPr>
          <w:t>73 B.C.L.R. (4th) 201</w:t>
        </w:r>
      </w:hyperlink>
      <w:r>
        <w:rPr>
          <w:rFonts w:ascii="arial" w:eastAsia="arial" w:hAnsi="arial" w:cs="arial"/>
          <w:color w:val="000000"/>
          <w:sz w:val="20"/>
          <w:lang w:val="en-US" w:eastAsia="en-US" w:bidi="ar-SA"/>
        </w:rPr>
        <w:t xml:space="preserve">, rev'g </w:t>
      </w:r>
      <w:hyperlink r:id="rId1023" w:history="1">
        <w:r>
          <w:rPr>
            <w:rFonts w:ascii="arial" w:eastAsia="arial" w:hAnsi="arial" w:cs="arial"/>
            <w:i/>
            <w:color w:val="0077CC"/>
            <w:sz w:val="20"/>
            <w:u w:val="single"/>
            <w:shd w:val="clear" w:color="auto" w:fill="FFFFFF"/>
            <w:lang w:val="en-US" w:eastAsia="en-US" w:bidi="ar-SA"/>
          </w:rPr>
          <w:t>2006 BCSC 499</w:t>
        </w:r>
      </w:hyperlink>
      <w:r>
        <w:rPr>
          <w:rFonts w:ascii="arial" w:eastAsia="arial" w:hAnsi="arial" w:cs="arial"/>
          <w:color w:val="000000"/>
          <w:sz w:val="20"/>
          <w:lang w:val="en-US" w:eastAsia="en-US" w:bidi="ar-SA"/>
        </w:rPr>
        <w:t xml:space="preserve">, </w:t>
      </w:r>
      <w:hyperlink r:id="rId1023" w:history="1">
        <w:r>
          <w:rPr>
            <w:rFonts w:ascii="arial" w:eastAsia="arial" w:hAnsi="arial" w:cs="arial"/>
            <w:i/>
            <w:color w:val="0077CC"/>
            <w:sz w:val="20"/>
            <w:u w:val="single"/>
            <w:shd w:val="clear" w:color="auto" w:fill="FFFFFF"/>
            <w:lang w:val="en-US" w:eastAsia="en-US" w:bidi="ar-SA"/>
          </w:rPr>
          <w:t>53 B.C.L.R. (4th) 138</w:t>
        </w:r>
      </w:hyperlink>
      <w:r>
        <w:rPr>
          <w:rFonts w:ascii="arial" w:eastAsia="arial" w:hAnsi="arial" w:cs="arial"/>
          <w:color w:val="000000"/>
          <w:sz w:val="20"/>
          <w:lang w:val="en-US" w:eastAsia="en-US" w:bidi="ar-SA"/>
        </w:rPr>
        <w:t xml:space="preserve">, leave to appeal to S.C.C. granted, </w:t>
      </w:r>
      <w:hyperlink r:id="rId1028" w:history="1">
        <w:r>
          <w:rPr>
            <w:rFonts w:ascii="arial" w:eastAsia="arial" w:hAnsi="arial" w:cs="arial"/>
            <w:i/>
            <w:color w:val="0077CC"/>
            <w:sz w:val="20"/>
            <w:u w:val="single"/>
            <w:shd w:val="clear" w:color="auto" w:fill="FFFFFF"/>
            <w:lang w:val="en-US" w:eastAsia="en-US" w:bidi="ar-SA"/>
          </w:rPr>
          <w:t>[2008] S.C.C.A. No. 42</w:t>
        </w:r>
      </w:hyperlink>
      <w:r>
        <w:rPr>
          <w:rFonts w:ascii="arial" w:eastAsia="arial" w:hAnsi="arial" w:cs="arial"/>
          <w:color w:val="000000"/>
          <w:sz w:val="20"/>
          <w:lang w:val="en-US" w:eastAsia="en-US" w:bidi="ar-SA"/>
        </w:rPr>
        <w:t xml:space="preserve"> (10 July 2008), 32460, the Court of Appeal overturned the finding that an exclusion clause was unconscionable. Both the lower court and the Court of Appeal undertook consideration of issues individual to the parties. Similarly, in this case, the court would need to consider the circumstances unique to the individual claimants to answer the questions of public policy and unconscionability.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Question 6 asks whether the exclusion clause is enforceable against someone who did not sign the Agreement. There is no doubt that this will raise individual issues. The response of UBC to the assertion of a claimant that he did not enter into an agreement will be to attempt to prove through evidence of the interactions between the claimant and UBC staff that the claimant waived his right to bring an action against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Question 7 also requires a consideration of individual circumstances. This is evident in other cases where defendants have attempted to rely upon an exclusion clause when they were not specifically named in the contract under consideration. For example, in </w:t>
      </w:r>
      <w:r>
        <w:rPr>
          <w:rFonts w:ascii="arial" w:eastAsia="arial" w:hAnsi="arial" w:cs="arial"/>
          <w:b/>
          <w:i/>
          <w:color w:val="000000"/>
          <w:sz w:val="20"/>
          <w:lang w:val="en-US" w:eastAsia="en-US" w:bidi="ar-SA"/>
        </w:rPr>
        <w:t>Stein v. Exec-U-Fit Personal Fitness Training Centres Inc.</w:t>
      </w:r>
      <w:r>
        <w:rPr>
          <w:rFonts w:ascii="arial" w:eastAsia="arial" w:hAnsi="arial" w:cs="arial"/>
          <w:color w:val="000000"/>
          <w:sz w:val="20"/>
          <w:lang w:val="en-US" w:eastAsia="en-US" w:bidi="ar-SA"/>
        </w:rPr>
        <w:t xml:space="preserve">, </w:t>
      </w:r>
      <w:hyperlink r:id="rId1029" w:history="1">
        <w:r>
          <w:rPr>
            <w:rFonts w:ascii="arial" w:eastAsia="arial" w:hAnsi="arial" w:cs="arial"/>
            <w:i/>
            <w:color w:val="0077CC"/>
            <w:sz w:val="20"/>
            <w:u w:val="single"/>
            <w:shd w:val="clear" w:color="auto" w:fill="FFFFFF"/>
            <w:lang w:val="en-US" w:eastAsia="en-US" w:bidi="ar-SA"/>
          </w:rPr>
          <w:t>[2007] O.J. No. 1827</w:t>
        </w:r>
      </w:hyperlink>
      <w:r>
        <w:rPr>
          <w:rFonts w:ascii="arial" w:eastAsia="arial" w:hAnsi="arial" w:cs="arial"/>
          <w:color w:val="000000"/>
          <w:sz w:val="20"/>
          <w:lang w:val="en-US" w:eastAsia="en-US" w:bidi="ar-SA"/>
        </w:rPr>
        <w:t>, 2007 CarswellOnt 2967 (S.C.J.), the plaintiff was injured in a rock climbing incident. The court considered whether two individuals who were not named in the exclusion clause could rely upon it. The exclusion clause referred to "participants". The plaintiff stated in an affidavit being utilized for summary judgment that it did not occur to her that the release applied to two individuals. The court decided that the case could not be heard on a motion for summary judgment and stated as follows at para. 17: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If accepted, this expectation of the plaintiff, in conjunction with her status as a beginner to the activity, the distinct contractual relationship between Ms. Stein and Exec-U-Fit and Ms. Lewis and the wording of the release may result in a finding that Mr. Shannon is not protected by the release. The issue of whether the release protects Tim Shannon against the claim by Ms. Stein is, in my view, dependant on findings of fact with respect to the reasonable expectations of the parties in all of the circumstances. It cannot be resolved on a motion for summary judgment.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arriving at that decision, the court referred to two decisions of this court, </w:t>
      </w:r>
      <w:r>
        <w:rPr>
          <w:rFonts w:ascii="arial" w:eastAsia="arial" w:hAnsi="arial" w:cs="arial"/>
          <w:b/>
          <w:i/>
          <w:color w:val="000000"/>
          <w:sz w:val="20"/>
          <w:lang w:val="en-US" w:eastAsia="en-US" w:bidi="ar-SA"/>
        </w:rPr>
        <w:t>Quick v. Jericho Tennis Club</w:t>
      </w:r>
      <w:r>
        <w:rPr>
          <w:rFonts w:ascii="arial" w:eastAsia="arial" w:hAnsi="arial" w:cs="arial"/>
          <w:color w:val="000000"/>
          <w:sz w:val="20"/>
          <w:lang w:val="en-US" w:eastAsia="en-US" w:bidi="ar-SA"/>
        </w:rPr>
        <w:t xml:space="preserve"> </w:t>
      </w:r>
      <w:hyperlink r:id="rId1030" w:history="1">
        <w:r>
          <w:rPr>
            <w:rFonts w:ascii="arial" w:eastAsia="arial" w:hAnsi="arial" w:cs="arial"/>
            <w:i/>
            <w:color w:val="0077CC"/>
            <w:sz w:val="20"/>
            <w:u w:val="single"/>
            <w:shd w:val="clear" w:color="auto" w:fill="FFFFFF"/>
            <w:lang w:val="en-US" w:eastAsia="en-US" w:bidi="ar-SA"/>
          </w:rPr>
          <w:t>(1998), 40 B.L.R. (2d) 315</w:t>
        </w:r>
      </w:hyperlink>
      <w:r>
        <w:rPr>
          <w:rFonts w:ascii="arial" w:eastAsia="arial" w:hAnsi="arial" w:cs="arial"/>
          <w:color w:val="000000"/>
          <w:sz w:val="20"/>
          <w:lang w:val="en-US" w:eastAsia="en-US" w:bidi="ar-SA"/>
        </w:rPr>
        <w:t xml:space="preserve"> (B.C.S.C.) and </w:t>
      </w:r>
      <w:r>
        <w:rPr>
          <w:rFonts w:ascii="arial" w:eastAsia="arial" w:hAnsi="arial" w:cs="arial"/>
          <w:b/>
          <w:i/>
          <w:color w:val="000000"/>
          <w:sz w:val="20"/>
          <w:lang w:val="en-US" w:eastAsia="en-US" w:bidi="ar-SA"/>
        </w:rPr>
        <w:t>Lafontaine (Guardian ad litem of) v. Prince George Auto Racing Association</w:t>
      </w:r>
      <w:r>
        <w:rPr>
          <w:rFonts w:ascii="arial" w:eastAsia="arial" w:hAnsi="arial" w:cs="arial"/>
          <w:color w:val="000000"/>
          <w:sz w:val="20"/>
          <w:lang w:val="en-US" w:eastAsia="en-US" w:bidi="ar-SA"/>
        </w:rPr>
        <w:t xml:space="preserve">, </w:t>
      </w:r>
      <w:hyperlink r:id="rId1031" w:history="1">
        <w:r>
          <w:rPr>
            <w:rFonts w:ascii="arial" w:eastAsia="arial" w:hAnsi="arial" w:cs="arial"/>
            <w:i/>
            <w:color w:val="0077CC"/>
            <w:sz w:val="20"/>
            <w:u w:val="single"/>
            <w:shd w:val="clear" w:color="auto" w:fill="FFFFFF"/>
            <w:lang w:val="en-US" w:eastAsia="en-US" w:bidi="ar-SA"/>
          </w:rPr>
          <w:t>[1994] B.C.J. No. 176</w:t>
        </w:r>
      </w:hyperlink>
      <w:r>
        <w:rPr>
          <w:rFonts w:ascii="arial" w:eastAsia="arial" w:hAnsi="arial" w:cs="arial"/>
          <w:color w:val="000000"/>
          <w:sz w:val="20"/>
          <w:lang w:val="en-US" w:eastAsia="en-US" w:bidi="ar-SA"/>
        </w:rPr>
        <w:t>, 1994 CarswellBC 2387 (S.C.). In both of those cases the court considered the individuals' circumstances, including the plaintiffs' reasonable expectations.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In summary, Mr. Lam has established that the claims raise common issues. However, those common issues are limited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The question as to whether the exclusion clause applies to limit any claim must be determined on an individual basis. For each claimant, that may involve consideration of the issues raised by proposed Questions 4 to 7, all of which require consideration of individual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2. Is a class action the preferable procedure for the fair and efficient resolution of the common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real issue raised by this certification application is whether, in accordance with s. 4(1)(d)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xml:space="preserve">, a class proceeding is the preferable procedure for the fair and efficient resolution of the common issues. The proper approach to this question was considered by McLachlin C.J. in </w:t>
      </w:r>
      <w:r>
        <w:rPr>
          <w:rFonts w:ascii="arial" w:eastAsia="arial" w:hAnsi="arial" w:cs="arial"/>
          <w:b/>
          <w:i/>
          <w:color w:val="000000"/>
          <w:sz w:val="20"/>
          <w:lang w:val="en-US" w:eastAsia="en-US" w:bidi="ar-SA"/>
        </w:rPr>
        <w:t>Hollick v. Toronto (City)</w:t>
      </w:r>
      <w:r>
        <w:rPr>
          <w:rFonts w:ascii="arial" w:eastAsia="arial" w:hAnsi="arial" w:cs="arial"/>
          <w:color w:val="000000"/>
          <w:sz w:val="20"/>
          <w:lang w:val="en-US" w:eastAsia="en-US" w:bidi="ar-SA"/>
        </w:rPr>
        <w:t xml:space="preserve">, </w:t>
      </w:r>
      <w:hyperlink r:id="rId300" w:history="1">
        <w:r>
          <w:rPr>
            <w:rFonts w:ascii="arial" w:eastAsia="arial" w:hAnsi="arial" w:cs="arial"/>
            <w:i/>
            <w:color w:val="0077CC"/>
            <w:sz w:val="20"/>
            <w:u w:val="single"/>
            <w:shd w:val="clear" w:color="auto" w:fill="FFFFFF"/>
            <w:lang w:val="en-US" w:eastAsia="en-US" w:bidi="ar-SA"/>
          </w:rPr>
          <w:t>2001 SCC 68</w:t>
        </w:r>
      </w:hyperlink>
      <w:r>
        <w:rPr>
          <w:rFonts w:ascii="arial" w:eastAsia="arial" w:hAnsi="arial" w:cs="arial"/>
          <w:color w:val="000000"/>
          <w:sz w:val="20"/>
          <w:lang w:val="en-US" w:eastAsia="en-US" w:bidi="ar-SA"/>
        </w:rPr>
        <w:t xml:space="preserve"> at para. 29, </w:t>
      </w:r>
      <w:hyperlink r:id="rId300" w:history="1">
        <w:r>
          <w:rPr>
            <w:rFonts w:ascii="arial" w:eastAsia="arial" w:hAnsi="arial" w:cs="arial"/>
            <w:i/>
            <w:color w:val="0077CC"/>
            <w:sz w:val="20"/>
            <w:u w:val="single"/>
            <w:shd w:val="clear" w:color="auto" w:fill="FFFFFF"/>
            <w:lang w:val="en-US" w:eastAsia="en-US" w:bidi="ar-SA"/>
          </w:rPr>
          <w:t>[2001] 3 S.C.R. 158</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Act itself, of course, requires only that a class action be the preferable procedure for "the resolution of the </w:t>
      </w:r>
      <w:r>
        <w:rPr>
          <w:rFonts w:ascii="arial" w:eastAsia="arial" w:hAnsi="arial" w:cs="arial"/>
          <w:color w:val="000000"/>
          <w:sz w:val="20"/>
          <w:u w:val="single"/>
          <w:lang w:val="en-US" w:eastAsia="en-US" w:bidi="ar-SA"/>
        </w:rPr>
        <w:t>common issues</w:t>
      </w:r>
      <w:r>
        <w:rPr>
          <w:rFonts w:ascii="arial" w:eastAsia="arial" w:hAnsi="arial" w:cs="arial"/>
          <w:color w:val="000000"/>
          <w:sz w:val="20"/>
          <w:lang w:val="en-US" w:eastAsia="en-US" w:bidi="ar-SA"/>
        </w:rPr>
        <w:t>" (emphasis added), and not that a class action be the preferable procedure for the resolution of the class members' claims. I would not place undue weight, however, on the fact that the Act uses the phrase "resolution of the common issues" rather than "resolution of class members' claims". As one commentator writes: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The [American] class action [rule] requires that the class action be the superior method to resolve the "controversy." The B.C. and Ontario Acts require that the class proceeding be the preferable procedure for the resolution of the "common issues" (as opposed to the entire controversy). [This] distinctio[n] can be seen as creating a lower threshold for certification in Ontario and B.C. than in the U.S. However, it is still important in B.C. and Ontario to assess the litigation as a whole, including the individual hearing stage, in order to determine whether the class action is the preferable means of resolving the common issues. In the abstract, common issues are always best resolved in a common proceeding. However, it is important to adopt a practical cost-benefit approach to this procedural issue, and to consider the impact of a class proceeding on class members, the defendants, and the court.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See Branch,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at para. 4.690. I would endorse that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This is a case where the determination can only be made by assessing the litigation as a whole, including the individual hearing stage. As McLachlin C.J. also indicated in </w:t>
      </w:r>
      <w:r>
        <w:rPr>
          <w:rFonts w:ascii="arial" w:eastAsia="arial" w:hAnsi="arial" w:cs="arial"/>
          <w:b/>
          <w:i/>
          <w:color w:val="000000"/>
          <w:sz w:val="20"/>
          <w:lang w:val="en-US" w:eastAsia="en-US" w:bidi="ar-SA"/>
        </w:rPr>
        <w:t>Hollick</w:t>
      </w:r>
      <w:r>
        <w:rPr>
          <w:rFonts w:ascii="arial" w:eastAsia="arial" w:hAnsi="arial" w:cs="arial"/>
          <w:color w:val="000000"/>
          <w:sz w:val="20"/>
          <w:lang w:val="en-US" w:eastAsia="en-US" w:bidi="ar-SA"/>
        </w:rPr>
        <w:t xml:space="preserve"> at para. 28, the term "preferable" is meant to capture two ideas: whether the class proceeding is a fair, efficient and manageable method of advancing a claim, and whether it would be preferable to other procedures such as joinder, test cases, consolidation, etc.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question of predominance of individual issues is significant in this case. There is little question that the individual issues predominate over the common issues. Mr. Lam has conceded that the question of damages is an individual issue for each claimant. The question of liability for each class member is also an individual issue because the application of the exclusion clause must be considered in relation to the claims in both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contract.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Given the importance of the questions concerning the exclusion clause to the claim of each and every class member, those questions logically predicate examination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regarding standard of care and the breach thereof. While it would be possible to have a litigation plan that considered the common issues first, it is difficult to see how that exercise would "move the litigation forward". There would still have to be substantial individual trials both on liability and damages. As Donald J.A. observed in </w:t>
      </w:r>
      <w:r>
        <w:rPr>
          <w:rFonts w:ascii="arial" w:eastAsia="arial" w:hAnsi="arial" w:cs="arial"/>
          <w:b/>
          <w:i/>
          <w:color w:val="000000"/>
          <w:sz w:val="20"/>
          <w:lang w:val="en-US" w:eastAsia="en-US" w:bidi="ar-SA"/>
        </w:rPr>
        <w:t>Tiemstra v. Insurance Corp. of British Columbia</w:t>
      </w:r>
      <w:r>
        <w:rPr>
          <w:rFonts w:ascii="arial" w:eastAsia="arial" w:hAnsi="arial" w:cs="arial"/>
          <w:color w:val="000000"/>
          <w:sz w:val="20"/>
          <w:lang w:val="en-US" w:eastAsia="en-US" w:bidi="ar-SA"/>
        </w:rPr>
        <w:t xml:space="preserve"> </w:t>
      </w:r>
      <w:hyperlink r:id="rId1032" w:history="1">
        <w:r>
          <w:rPr>
            <w:rFonts w:ascii="arial" w:eastAsia="arial" w:hAnsi="arial" w:cs="arial"/>
            <w:i/>
            <w:color w:val="0077CC"/>
            <w:sz w:val="20"/>
            <w:u w:val="single"/>
            <w:shd w:val="clear" w:color="auto" w:fill="FFFFFF"/>
            <w:lang w:val="en-US" w:eastAsia="en-US" w:bidi="ar-SA"/>
          </w:rPr>
          <w:t>(1997), 149 D.L.R. (4th) 419</w:t>
        </w:r>
      </w:hyperlink>
      <w:r>
        <w:rPr>
          <w:rFonts w:ascii="arial" w:eastAsia="arial" w:hAnsi="arial" w:cs="arial"/>
          <w:color w:val="000000"/>
          <w:sz w:val="20"/>
          <w:lang w:val="en-US" w:eastAsia="en-US" w:bidi="ar-SA"/>
        </w:rPr>
        <w:t xml:space="preserve"> at para. 17, </w:t>
      </w:r>
      <w:hyperlink r:id="rId1032" w:history="1">
        <w:r>
          <w:rPr>
            <w:rFonts w:ascii="arial" w:eastAsia="arial" w:hAnsi="arial" w:cs="arial"/>
            <w:i/>
            <w:color w:val="0077CC"/>
            <w:sz w:val="20"/>
            <w:u w:val="single"/>
            <w:shd w:val="clear" w:color="auto" w:fill="FFFFFF"/>
            <w:lang w:val="en-US" w:eastAsia="en-US" w:bidi="ar-SA"/>
          </w:rPr>
          <w:t>38 B.C.L.R. (3d) 377</w:t>
        </w:r>
      </w:hyperlink>
      <w:r>
        <w:rPr>
          <w:rFonts w:ascii="arial" w:eastAsia="arial" w:hAnsi="arial" w:cs="arial"/>
          <w:color w:val="000000"/>
          <w:sz w:val="20"/>
          <w:lang w:val="en-US" w:eastAsia="en-US" w:bidi="ar-SA"/>
        </w:rPr>
        <w:t xml:space="preserve"> (C.A.), "[a] class action which will break down into substantial individual trials in any event does not promote judicial economy or improve access to justice, and is not the preferable procedure."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Here, that is exactly what would happen. A trial of the common issues would accomplish very little. At the conclusion of the common issue trial, there would still have to be a process to consider the exclusion clause issues for each claimant. As I have suggested below, it would be preferable to attempt to consider those issues in test cases. It is only by tackling those issues that the litigation will be able to move forward in a real way. Such a process will also permit the litigation to move forward efficiently and without the complexity of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caution given by Newbury J.A. in </w:t>
      </w:r>
      <w:r>
        <w:rPr>
          <w:rFonts w:ascii="arial" w:eastAsia="arial" w:hAnsi="arial" w:cs="arial"/>
          <w:b/>
          <w:i/>
          <w:color w:val="000000"/>
          <w:sz w:val="20"/>
          <w:lang w:val="en-US" w:eastAsia="en-US" w:bidi="ar-SA"/>
        </w:rPr>
        <w:t>Parsons v. Coast Capital Savings Credit Union</w:t>
      </w:r>
      <w:r>
        <w:rPr>
          <w:rFonts w:ascii="arial" w:eastAsia="arial" w:hAnsi="arial" w:cs="arial"/>
          <w:color w:val="000000"/>
          <w:sz w:val="20"/>
          <w:lang w:val="en-US" w:eastAsia="en-US" w:bidi="ar-SA"/>
        </w:rPr>
        <w:t xml:space="preserve">, </w:t>
      </w:r>
      <w:hyperlink r:id="rId1033" w:history="1">
        <w:r>
          <w:rPr>
            <w:rFonts w:ascii="arial" w:eastAsia="arial" w:hAnsi="arial" w:cs="arial"/>
            <w:i/>
            <w:color w:val="0077CC"/>
            <w:sz w:val="20"/>
            <w:u w:val="single"/>
            <w:shd w:val="clear" w:color="auto" w:fill="FFFFFF"/>
            <w:lang w:val="en-US" w:eastAsia="en-US" w:bidi="ar-SA"/>
          </w:rPr>
          <w:t>2007 BCCA 247</w:t>
        </w:r>
      </w:hyperlink>
      <w:r>
        <w:rPr>
          <w:rFonts w:ascii="arial" w:eastAsia="arial" w:hAnsi="arial" w:cs="arial"/>
          <w:color w:val="000000"/>
          <w:sz w:val="20"/>
          <w:lang w:val="en-US" w:eastAsia="en-US" w:bidi="ar-SA"/>
        </w:rPr>
        <w:t xml:space="preserve"> at para. 38, </w:t>
      </w:r>
      <w:hyperlink r:id="rId1033" w:history="1">
        <w:r>
          <w:rPr>
            <w:rFonts w:ascii="arial" w:eastAsia="arial" w:hAnsi="arial" w:cs="arial"/>
            <w:i/>
            <w:color w:val="0077CC"/>
            <w:sz w:val="20"/>
            <w:u w:val="single"/>
            <w:shd w:val="clear" w:color="auto" w:fill="FFFFFF"/>
            <w:lang w:val="en-US" w:eastAsia="en-US" w:bidi="ar-SA"/>
          </w:rPr>
          <w:t>69 B.C.L.R. (4th) 204</w:t>
        </w:r>
      </w:hyperlink>
      <w:r>
        <w:rPr>
          <w:rFonts w:ascii="arial" w:eastAsia="arial" w:hAnsi="arial" w:cs="arial"/>
          <w:color w:val="000000"/>
          <w:sz w:val="20"/>
          <w:lang w:val="en-US" w:eastAsia="en-US" w:bidi="ar-SA"/>
        </w:rPr>
        <w:t>, is particularly relevant to the present case: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relevance of individual circumstances to the plaintiff's proof of the claims or to defences asserted by [the defendant] should not in my view be brushed aside merely in order to fit the action into the mould of a class proceeding. Whilst the "flexibility" of the Act is an important feature and in some instances decertification or the creation of sub-classes may be useful procedural tools, the objectives of this remedial legislation will not be well served if the court at the certification stage routinely delays addressing structural difficulties that will inevitably arise, in the hope they can be dealt with "when the time comes" in the midst of a complex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The exclusion clause issues in this case should not be brushed aside by trying to fit these cases into the class action mould. Here, litigating the proposed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in a common issues trial would begin the litigation in the wrong place. It would ignore the threshold questions regarding the exclusion clause. The result would be greater complexity and more expense for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The preferability analysis requires consideration of the extent to which the proposed proceeding will achieve the goals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judicial economy, improved access to the courts, and deterrence. I have considered each of these in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As I have indicated above, a class proceeding would not promote judicial economy. Starting the proceeding with a consideration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would require a lengthy common issues trial that would require the participation of the third parties to be effective. Once concluded, the proceeding would break down into individual trials to consider the exclusion clause defence. For those claimants who were successful, there would then have to be individual damage assessments through discoveries and trial. If UBC was successful in the individual trials, the original common issues trial would have been for naught. This is the risk in ignoring the threshold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If the class members, or some of them, were successful in the individual trials or test cases considering the exclusion clause, there would then have to be some way to resolve which of the parties, as between UBC and the third parties, were at fault. However, a single trial would resolve those issues for the benefit of the claimants who succeeded on the exclusion clause trials. At this stage, UBC and the third parties would know how many claims survived the exclusion clause defence and the likelihood of settlement would be increased. If the trial to determine fault must proceed, it would likely proceed more efficiently than would a common issues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trial. With either method of proceeding, there would still be a risk of individual trials of the damage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view improved access to the courts as a neutral factor in the circumstances of this case. The potential class members are a known group of approximately 165 men. There are no notice issues arising in this case. An action in which 50 of the proposed class members are named as plaintiffs has already been commenced in this court (the Breisnes action, Action No. S046754). That action would be ideal for advancing one or more test cases. The parties would be able to take advantage of case management to streamline the procedure. The plaintiffs have the ability to share litigation costs. Mr. Lam says that the range of damages for the plaintiffs is $20,000 to $100,000 per claim. By aggregating the claims in an action, such as the Breisnes action, the claimants can effectively access the courts at a reasonable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Deterrence is not a significant concern in this case. There is no question of future or general application that needs to be addressed. The case involves the failure of a single piece of equipment in unique circumstances. To the extent that deterrence is a goal, it can be achieved in the context of continuation of the Breisnes action or the present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considering preferability, it should be apparent that I have considered the matters set out in s. 4(2) of the </w:t>
      </w:r>
      <w:r>
        <w:rPr>
          <w:rFonts w:ascii="arial" w:eastAsia="arial" w:hAnsi="arial" w:cs="arial"/>
          <w:b/>
          <w:i/>
          <w:color w:val="000000"/>
          <w:sz w:val="20"/>
          <w:lang w:val="en-US" w:eastAsia="en-US" w:bidi="ar-SA"/>
        </w:rPr>
        <w:t>Act</w:t>
      </w:r>
      <w:r>
        <w:rPr>
          <w:rFonts w:ascii="arial" w:eastAsia="arial" w:hAnsi="arial" w:cs="arial"/>
          <w:color w:val="000000"/>
          <w:sz w:val="20"/>
          <w:lang w:val="en-US" w:eastAsia="en-US" w:bidi="ar-SA"/>
        </w:rPr>
        <w:t>. The most important in this case are the factors set out in ss. 4(2)(a), (b) and (d):</w:t>
      </w:r>
      <w:r>
        <w:rPr>
          <w:rFonts w:ascii="arial" w:eastAsia="arial" w:hAnsi="arial" w:cs="arial"/>
          <w:sz w:val="20"/>
          <w:lang w:val="en-US" w:eastAsia="en-US" w:bidi="ar-SA"/>
        </w:rPr>
        <w:cr/>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Whether questions of fact or law common to the members of the class predominate over any questions affecting only individual members.</w:t>
      </w:r>
      <w:r>
        <w:rPr>
          <w:rFonts w:ascii="arial" w:eastAsia="arial" w:hAnsi="arial" w:cs="arial"/>
          <w:color w:val="000000"/>
          <w:sz w:val="20"/>
          <w:lang w:val="en-US" w:eastAsia="en-US" w:bidi="ar-SA"/>
        </w:rPr>
        <w:t xml:space="preserve"> As I have indicated above, the individual questions of fact and law predominate over the common questions. More importantly, the questions relating to the enforceability of the exclusion clause are threshold questions that must be determined on an individual basis and should be considered before embarking on those issues that are common.</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Whether a significant number of the members of the class have a valid interest in individually controlling the prosecution of separate actions</w:t>
      </w:r>
      <w:r>
        <w:rPr>
          <w:rFonts w:ascii="arial" w:eastAsia="arial" w:hAnsi="arial" w:cs="arial"/>
          <w:color w:val="000000"/>
          <w:sz w:val="20"/>
          <w:lang w:val="en-US" w:eastAsia="en-US" w:bidi="ar-SA"/>
        </w:rPr>
        <w:t>. As a result of the importance of the individual issues regarding both damages and enforceability of the exclusion clause, the members of the proposed class all have a valid interest in controlling the prosecution of those issues, either in a separate action or in an action where the claims of several plaintiffs have been aggregated.</w:t>
      </w:r>
    </w:p>
    <w:p>
      <w:pPr>
        <w:numPr>
          <w:numId w:val="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u w:val="single"/>
          <w:lang w:val="en-US" w:eastAsia="en-US" w:bidi="ar-SA"/>
        </w:rPr>
        <w:t>Whether other means of resolving the claims are less practical or less efficient.</w:t>
      </w:r>
      <w:r>
        <w:rPr>
          <w:rFonts w:ascii="arial" w:eastAsia="arial" w:hAnsi="arial" w:cs="arial"/>
          <w:color w:val="000000"/>
          <w:sz w:val="20"/>
          <w:lang w:val="en-US" w:eastAsia="en-US" w:bidi="ar-SA"/>
        </w:rPr>
        <w:t xml:space="preserve"> As I have indicated, the practical and efficient way to deal with these claims is to start with the threshold questions relating to the exclusion clause. This could be accomplished by trying two test cases, one for a claimant who signed the Agreement and one for a claimant who did not. Depending upon the result of the test cases, discoveries or interrogatories of other claimants could determine if those claimants would be successful on the exclusion clause issues. It may be that there will have to be trials for numerous plaintiffs as it may not be possible to resolve the exclusion clause issues on the basis of two test cases. Once the results of these test cases and trials are known, then it would be possible to have a trial to determine if UBC breached its duty of care and, if any of the third parties were at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Issue 3. Does the proposed litigation plan set out a workable method of advancing the proceeding?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The proposed litigation plan lacks detail and puts forward an inefficient scheme for dealing with the issues raised by the case. It provides that the third party claims are to be stayed following discovery but before the common issues trial. After the common issues trial is concluded, it suggests that "an orderly process for the resolution of any remaining issues may be required." That process is described in the most general terms: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Individual hearings will need to be scheduled to resolve remaining quantum of damages issues for the class members and any individual contractual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It then proposes that the third party claims be set for hearing following determination of the individual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It would be extremely inefficient to put the parties through extensive discoveries on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and hold a trial on those issues without the third parties present. At the conclusion of those proceedings, the litigation would not be advanced in any real way. It is difficult to see how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Issues could be heard, or what could be accomplished, without the third parties present. The question as to whether UBC breached the standard of care for a sperm storage facility operator is so closely intertwined with the issues raised between the third parties and UBC that this approach is unworkable.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xml:space="preserve">  The lack of detail in the proposed litigation plan is a product of the difficulty created by the fact that the individual issues would overwhelm the few common issues. However, the principal problem with the plan is that it would postpone resolution of the threshold issues regarding the exclusion clause until late in the proceedings. The real trial for the claimants, UBC, and the third parties would be the proposed "individual hearings" to resolve the contract and damage issues. To borrow the language from Donald J.A. in </w:t>
      </w:r>
      <w:r>
        <w:rPr>
          <w:rFonts w:ascii="arial" w:eastAsia="arial" w:hAnsi="arial" w:cs="arial"/>
          <w:b/>
          <w:i/>
          <w:color w:val="000000"/>
          <w:sz w:val="20"/>
          <w:lang w:val="en-US" w:eastAsia="en-US" w:bidi="ar-SA"/>
        </w:rPr>
        <w:t>Tiemstra</w:t>
      </w:r>
      <w:r>
        <w:rPr>
          <w:rFonts w:ascii="arial" w:eastAsia="arial" w:hAnsi="arial" w:cs="arial"/>
          <w:color w:val="000000"/>
          <w:sz w:val="20"/>
          <w:lang w:val="en-US" w:eastAsia="en-US" w:bidi="ar-SA"/>
        </w:rPr>
        <w:t xml:space="preserve"> at para. 17, the case would have broken down into "substantial individual trials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In summary, this action is not suitable for a class proceeding. A class action is not the preferable procedure for the fair and efficient resolution of the common issues. The application for certification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G.B. BUTLER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6, 2009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Corrigendum to the Reasons for Judgment issued advising that in paragraphs 19 and 20 of my Reasons for for Judgment, wherever s. 4(2) appears it shall be replaced with a s. 4(1). Paragraphs 19 and 20 shall be deleted and replaced as follows: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19"/>
        <w:gridCol w:w="723"/>
        <w:gridCol w:w="238"/>
        <w:gridCol w:w="7844"/>
        <w:gridCol w:w="1032"/>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17"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[19]</w:t>
            </w:r>
          </w:p>
        </w:tc>
        <w:tc>
          <w:tcPr>
            <w:tcW w:w="102"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Before an action can be certified as a class proceeding, the five requirements in s. 4(1) must be met. If they are, then the action must be certified. Here, UBC bases its opposition to certification on ss. 4(1)(c) and (d), whether common issues are raised and whether a class action is the preferable procedure for a fair and efficient resolution of the common issues. It also says that the plaintiff has not put forward a litigation plan that sets out a workable method of advancing the proceeding on behalf of the class, pursuant to s. 4(1)(e)(ii).</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627"/>
        <w:gridCol w:w="836"/>
        <w:gridCol w:w="7947"/>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[20]</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 agree that the statement of claim discloses a</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cause of action (s. 4(1)(a)), that there is an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identifiable class of two or more persons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(s. 4(1)(b)), and that the requirements of ss.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4(1)(e)(i) and (iii) have been met. Accordingly,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my analysis will be restricted to the statutory</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requirements in ss. 4(1)(c), (d), and (e)(ii) that</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UBC says have not been met by Mr. Lam. My decision</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bottom w:val="nil"/>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to deny certification is based on three issues,</w:t>
            </w:r>
          </w:p>
        </w:tc>
        <w:tc>
          <w:tcPr>
            <w:tcW w:w="1024" w:type="dxa"/>
            <w:tcBorders>
              <w:bottom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r>
        <w:tblPrEx>
          <w:tblW w:w="5000" w:type="pct"/>
          <w:jc w:val="center"/>
          <w:tblLayout w:type="fixed"/>
          <w:tblCellMar>
            <w:left w:w="108" w:type="dxa"/>
            <w:right w:w="108" w:type="dxa"/>
          </w:tblCellMar>
        </w:tblPrEx>
        <w:trPr>
          <w:jc w:val="center"/>
        </w:trPr>
        <w:tc>
          <w:tcPr>
            <w:tcW w:w="614"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819"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c>
          <w:tcPr>
            <w:tcW w:w="7782"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each of which is considered below:</w:t>
            </w:r>
          </w:p>
        </w:tc>
        <w:tc>
          <w:tcPr>
            <w:tcW w:w="1024" w:type="dxa"/>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color w:val="000000"/>
                <w:sz w:val="18"/>
                <w:lang w:val="en-US" w:eastAsia="en-US" w:bidi="ar-SA"/>
              </w:rPr>
              <w:t> </w:t>
            </w:r>
          </w:p>
        </w:tc>
      </w:tr>
    </w:tbl>
    <w:p>
      <w:pPr>
        <w:rPr>
          <w:rFonts w:ascii="arial" w:eastAsia="arial" w:hAnsi="arial" w:cs="arial"/>
          <w:sz w:val="20"/>
          <w:lang w:val="en-US" w:eastAsia="en-US" w:bidi="ar-SA"/>
        </w:rPr>
      </w:pP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Are there common issues raised by the claims of the class members?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a class action the preferable procedure for the fair and efficient resolution of the common issues?</w:t>
      </w:r>
    </w:p>
    <w:p>
      <w:pPr>
        <w:numPr>
          <w:numId w:val="2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Does the proposed litigation plan set out a workable method of advancing the proceeding?</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4" style="position:absolute;z-index:25188864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34"/>
          <w:headerReference w:type="default" r:id="rId1035"/>
          <w:footerReference w:type="even" r:id="rId1036"/>
          <w:footerReference w:type="default" r:id="rId1037"/>
          <w:headerReference w:type="first" r:id="rId1038"/>
          <w:footerReference w:type="first" r:id="rId1039"/>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40" w:history="1">
        <w:r>
          <w:rPr>
            <w:rFonts w:ascii="arial" w:eastAsia="arial" w:hAnsi="arial" w:cs="arial"/>
            <w:b/>
            <w:bCs/>
            <w:i/>
            <w:color w:val="0077CC"/>
            <w:kern w:val="32"/>
            <w:sz w:val="28"/>
            <w:szCs w:val="32"/>
            <w:u w:val="single"/>
            <w:shd w:val="clear" w:color="auto" w:fill="FFFFFF"/>
            <w:lang w:val="en-US" w:eastAsia="en-US" w:bidi="ar-SA"/>
          </w:rPr>
          <w:t>Lawrence v. Prince Rupert (City), [2003] B.C.J. No. 1987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Prince Rupert,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Halfyard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June 27,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August 22,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Prince Rupert Registry No. SC3629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1987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1278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125 A.C.W.S. (3d) 580</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Katherine Margaret Lawrence, plaintiff, and The City of Prince Rupert and British Columbia Hydro and Power Authority, defendants, and British Columbia Hydro and Power Authority,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(19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05" style="position:absolute;z-index:2516961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43" w:name="Keywords_36"/>
      <w:bookmarkEnd w:id="243"/>
      <w:r>
        <w:rPr>
          <w:rFonts w:ascii="arial" w:eastAsia="arial" w:hAnsi="arial" w:cs="arial"/>
          <w:b/>
          <w:color w:val="000000"/>
          <w:sz w:val="20"/>
          <w:lang w:val="en-US" w:eastAsia="en-US" w:bidi="ar-SA"/>
        </w:rPr>
        <w:t>Practice — Costs — Party and party costs — Successful party, exceptions — Where success or fault divided.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44" w:name="Case Summary_35"/>
            <w:bookmarkEnd w:id="24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defendant British Columbia Hydro against Lawrence for costs. Lawrence sued the City of Prince Rupert when she was injured after she tripped and fell over the end of pole left on a sidewalk by Hydro. She only added Hydro as a defendant after the City added it as a third party. The action was dismissed against both defendants. Hydro was found to be negligent. However,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the accident. Lawrence's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found to be the sole cause of the accident. Hydro submitted that Lawrence's financial hardship and sympathy for that situation were insufficient to deviate from the general rule that it was entitled to costs as a successful party.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45" w:name="Holdings of Court_32"/>
            <w:bookmarkEnd w:id="245"/>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Hydro was only entitled to 50 per cent of its assessable costs from defending Lawrence's claim. Rule 57(15) empowered a trial judge to deprive a successful defendant of costs related to a contested issue on which the plaintiff prevailed at trial. Hydro was found to be negligent. The costs award was based on the circumstances of the case. Hydro was also only entitled to 50 per cent of its costs to defend the City's third party claim. Hydro's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accounted for a substantial part of the work and expense involved in the third party proceedings.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46" w:name="Legislation Cited_24"/>
      <w:bookmarkEnd w:id="24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06" style="position:absolute;z-index:2517473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Rules 57(9), 57(15).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47" w:name="Counsel_36"/>
      <w:bookmarkEnd w:id="24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07" style="position:absolute;z-index:25179852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 Griffith-Zahner, for the plaintiff. No appearances for the defendant, City of Prince Rupert. D. Warner, for the defendant, British Columbia Hydro and Power Authority.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48" w:name="Judgment_36"/>
      <w:bookmarkEnd w:id="248"/>
      <w:r>
        <w:pict>
          <v:line id="_x0000_s1208" style="position:absolute;z-index:25184972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53"/>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49" w:name="HALFYARD J."/>
            <w:bookmarkEnd w:id="249"/>
            <w:r>
              <w:rPr>
                <w:rFonts w:ascii="arial" w:eastAsia="arial" w:hAnsi="arial" w:cs="arial"/>
                <w:b/>
                <w:color w:val="000000"/>
                <w:sz w:val="30"/>
                <w:lang w:val="en-US" w:eastAsia="en-US" w:bidi="ar-SA"/>
              </w:rPr>
              <w:t>HALFYARD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 British Columbia Hydro and Power Authority (BC Hydro) has applied for an order awarding it costs of the action as a successful defendant, and costs of the third party proceedings brought against it by the co-defendant City of Prince Rupert. BC Hydro says that the plaintiff should be ordered to pay all of these costs. The position of the plaintiff is that the parties should each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plaintiff Katherine Lawrence brought this action to recover damages for serious physical injuries she sustained on April 1, 2000, when she tripped and fell over the end of a pole lying on a sidewalk in the City of Prince Rupert, which was left there by BC Hydro. At first, the plaintiff sued only the City of Prince Rupert (the City), because she did not know that BC Hydro had placed the pole on the sidewalk. She joined BC Hydro as a defendant, only after the City took third party proceedings against BC Hydro.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trial proceeded by way of summary trial on the issue of liability only, on March 14, 2003. The plaintiff applied for judgment against the City under the Occupiers Liability Act, and against BC Hydro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Both defendants applied for dismissal of the action, on the basis that neither defendant was negligent, or alternatively, that no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either defendant caused or contributed to the plaintiff's injuries. The plaintiff did not concede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her part.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xml:space="preserve">  At trial, the defendants did not allege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each other, but jointly submitted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her injuries. The third party claim was not tried.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On March 27, 2003, I gave written reasons dismissing the action as against both defendants. I found that BC Hydro was negligent in leaving the pole on the sidewalk, and in failing to place a barricade around it, but that this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did not cause the accident. My conclusion was that the plaintiff's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the sole cause of her trip-and-fall accident. I found it unnecessary to decide other issues relating to the claim against the City. At the end of my reasons, I expressed the hope that the defendants would consider waiving their rights to seek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outset of the hearing of this application, counsel informed me that the plaintiff and the City had just reached a settlement on the issue of costs. The terms of that settlement were not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On behalf of BC Hydro, Mr. Warner submits that there is no reason why costs of the plaintiff's action should not follow the event, in accordance with the general rule in Rule 57(9). He pointed out that sympathy and financial hardship, without more, are not permissible grounds upon which to exercise the court's discretion in favour of an unsuccessful plaintiff. Counsel further argues that there is a proper basis for also requiring the plaintiff to pay BC Hydro's costs of defending the third party proceedings brought against it by the City. In that connection, Mr. Warner says there is good reason for the court to depart from the general rule that an unsuccessful plaintiff should not be liable for a third party's costs of defending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the plaintiff, Mr. Griffith-Zahner contends that there are proper grounds for depriving BC Hydro of its costs for defending the plaintiff's claim, namely:</w:t>
      </w:r>
      <w:r>
        <w:rPr>
          <w:rFonts w:ascii="arial" w:eastAsia="arial" w:hAnsi="arial" w:cs="arial"/>
          <w:sz w:val="20"/>
          <w:lang w:val="en-US" w:eastAsia="en-US" w:bidi="ar-SA"/>
        </w:rPr>
        <w:cr/>
      </w:r>
    </w:p>
    <w:p>
      <w:pPr>
        <w:numPr>
          <w:numId w:val="5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plaintiff was successful on the essential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5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case involved a novel point of law; and</w:t>
      </w:r>
    </w:p>
    <w:p>
      <w:pPr>
        <w:numPr>
          <w:numId w:val="51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claim was not frivolous in the sense that the chance of success was difficult to predict, and the claim was not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With respect to BC Hydro's claim for costs of defending the third party proceedings brought by the City, counsel for the plaintiff says that none of the exceptions listed in Milina v. Bartsch </w:t>
      </w:r>
      <w:hyperlink r:id="rId1041" w:history="1">
        <w:r>
          <w:rPr>
            <w:rFonts w:ascii="arial" w:eastAsia="arial" w:hAnsi="arial" w:cs="arial"/>
            <w:i/>
            <w:color w:val="0077CC"/>
            <w:sz w:val="20"/>
            <w:u w:val="single"/>
            <w:shd w:val="clear" w:color="auto" w:fill="FFFFFF"/>
            <w:lang w:val="en-US" w:eastAsia="en-US" w:bidi="ar-SA"/>
          </w:rPr>
          <w:t>(1985) 63 B.C.L.R. 122</w:t>
        </w:r>
      </w:hyperlink>
      <w:r>
        <w:rPr>
          <w:rFonts w:ascii="arial" w:eastAsia="arial" w:hAnsi="arial" w:cs="arial"/>
          <w:color w:val="000000"/>
          <w:sz w:val="20"/>
          <w:lang w:val="en-US" w:eastAsia="en-US" w:bidi="ar-SA"/>
        </w:rPr>
        <w:t xml:space="preserve"> would justify a departure from the general rule.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On the first issue, I do not think that a novel point of law was involved, and I do not accept the third point raised by Mr. Griffith-Zahner as being a recognized ground for exercising judicial discretion as to costs. However, in my opinion, there is merit in the submission that the plaintiff was successful on the issue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Mr. Warner maintained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issue did not occupy much time at the trial. That may be so, but the issue was certainly contested at trial, and it appears that the question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a central part of the pre-trial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xml:space="preserve">  In support of his contention that each party should bear their own costs, Mr. Griffith-Zahner referred me to Grealy v. Kuntz </w:t>
      </w:r>
      <w:hyperlink r:id="rId1042" w:history="1">
        <w:r>
          <w:rPr>
            <w:rFonts w:ascii="arial" w:eastAsia="arial" w:hAnsi="arial" w:cs="arial"/>
            <w:i/>
            <w:color w:val="0077CC"/>
            <w:sz w:val="20"/>
            <w:u w:val="single"/>
            <w:shd w:val="clear" w:color="auto" w:fill="FFFFFF"/>
            <w:lang w:val="en-US" w:eastAsia="en-US" w:bidi="ar-SA"/>
          </w:rPr>
          <w:t>[1994] B.C.J. No. 2232</w:t>
        </w:r>
      </w:hyperlink>
      <w:r>
        <w:rPr>
          <w:rFonts w:ascii="arial" w:eastAsia="arial" w:hAnsi="arial" w:cs="arial"/>
          <w:color w:val="000000"/>
          <w:sz w:val="20"/>
          <w:lang w:val="en-US" w:eastAsia="en-US" w:bidi="ar-SA"/>
        </w:rPr>
        <w:t xml:space="preserve"> (Tysoe, J. June 13, 1994) and Leung v. MDSI Mobile Data Solutions Inc. </w:t>
      </w:r>
      <w:hyperlink r:id="rId1043" w:history="1">
        <w:r>
          <w:rPr>
            <w:rFonts w:ascii="arial" w:eastAsia="arial" w:hAnsi="arial" w:cs="arial"/>
            <w:i/>
            <w:color w:val="0077CC"/>
            <w:sz w:val="20"/>
            <w:u w:val="single"/>
            <w:shd w:val="clear" w:color="auto" w:fill="FFFFFF"/>
            <w:lang w:val="en-US" w:eastAsia="en-US" w:bidi="ar-SA"/>
          </w:rPr>
          <w:t>[2002] B.C.J. No. 2897</w:t>
        </w:r>
      </w:hyperlink>
      <w:r>
        <w:rPr>
          <w:rFonts w:ascii="arial" w:eastAsia="arial" w:hAnsi="arial" w:cs="arial"/>
          <w:color w:val="000000"/>
          <w:sz w:val="20"/>
          <w:lang w:val="en-US" w:eastAsia="en-US" w:bidi="ar-SA"/>
        </w:rPr>
        <w:t xml:space="preserve"> (Williamson, J. December 23, 2002). In those two cases, the unsuccessful plaintiffs were not required to pay any costs to the successful defendants, on the main ground that the plaintiffs had succeeded on an important issue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I note that the court's discretion extends even to awarding partial costs to an unsuccessful plaintiff for litigating issues raised by the defendant on which the plaintiff was successful at trial: B.C. v. Worthington Canada Inc. </w:t>
      </w:r>
      <w:hyperlink r:id="rId1044" w:history="1">
        <w:r>
          <w:rPr>
            <w:rFonts w:ascii="arial" w:eastAsia="arial" w:hAnsi="arial" w:cs="arial"/>
            <w:i/>
            <w:color w:val="0077CC"/>
            <w:sz w:val="20"/>
            <w:u w:val="single"/>
            <w:shd w:val="clear" w:color="auto" w:fill="FFFFFF"/>
            <w:lang w:val="en-US" w:eastAsia="en-US" w:bidi="ar-SA"/>
          </w:rPr>
          <w:t>(1988), 29 B.C.L.R. (2d)145</w:t>
        </w:r>
      </w:hyperlink>
      <w:r>
        <w:rPr>
          <w:rFonts w:ascii="arial" w:eastAsia="arial" w:hAnsi="arial" w:cs="arial"/>
          <w:color w:val="000000"/>
          <w:sz w:val="20"/>
          <w:lang w:val="en-US" w:eastAsia="en-US" w:bidi="ar-SA"/>
        </w:rPr>
        <w:t xml:space="preserve"> (C.A.). However, when Rule 57(15) has been applied in favour of unsuccessful plaintiffs, it has been more likely that a successful defendant will only be deprived of part of the costs: Gotaverken Energy Systems Ltd. v. Cariboo Pulp and Paper Co. </w:t>
      </w:r>
      <w:hyperlink r:id="rId1045" w:history="1">
        <w:r>
          <w:rPr>
            <w:rFonts w:ascii="arial" w:eastAsia="arial" w:hAnsi="arial" w:cs="arial"/>
            <w:i/>
            <w:color w:val="0077CC"/>
            <w:sz w:val="20"/>
            <w:u w:val="single"/>
            <w:shd w:val="clear" w:color="auto" w:fill="FFFFFF"/>
            <w:lang w:val="en-US" w:eastAsia="en-US" w:bidi="ar-SA"/>
          </w:rPr>
          <w:t>(1995), 9 B.C.L.R. (3d) 340</w:t>
        </w:r>
      </w:hyperlink>
      <w:r>
        <w:rPr>
          <w:rFonts w:ascii="arial" w:eastAsia="arial" w:hAnsi="arial" w:cs="arial"/>
          <w:color w:val="000000"/>
          <w:sz w:val="20"/>
          <w:lang w:val="en-US" w:eastAsia="en-US" w:bidi="ar-SA"/>
        </w:rPr>
        <w:t xml:space="preserve"> (Vickers, J.); B.C. v. Worthington Canada Inc., supra. But in my opinion, there is no sufficient analogy between these authorities and this case, to support the plaintiff's submission that BC Hydro should be required to bear all of its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It seems clear that, among other things, Rule 57(15) empowers a trial judge to deprive a successful defendant of costs relating to a contested issue on which the plaintiff prevailed at trial. To paraphrase Hutcheon J.A. in B.C. v. Worthington Canada Inc. at page 162, Rule 57(15) is "one of the circumstances in which the court may otherwise order." That is what occurred here, and I have decided that there should be a reduction in the costs payable by the plaintiff to BC Hydro. It is difficult to determine what the amount of the reduction should be, when I do not have sufficient information to determine the overall work and expense which should be attributed to the issue of BC Hydro's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Having regard to all of the circumstances, it is my judgment that costs should be reduced by one-half. Accordingly, I order that BC Hydro will recover from the plaintiff 50% of its assessable costs of the action, on scale 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 turn to the question of whether BC Hydro should recover its costs of the third party proceedings, from the plaintiff. The general rule is that a successful defendant must bear the costs of any third party whom he himself has brought into the action: Milina v. Bartsch, supra. But that is not what occurred here. BC Hydro was logically and properly joined as a third party by the defendant City of Prince Rupert. After that, the plaintiff (also logically and properly) sued BC Hydro as a defendant. It seems to me that the general rule has no application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Counsel for the plaintiff says that BC Hydro should have admitted its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confined its defence to the issue of causation. It is implied that, if this had been done, the work and expense involved in the third party proceedings would have been reduced drastically, and perhaps eliminated altogether. Mr. Griffith-Zahner reminded me that BC Hydro's conduct was in breach of its own policy concerning the storage of poles at worksites on and adjacent to roadways, which he said made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BC Hydro almost certain.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 think much of what counsel says is based on hindsight, and fails to recognize the uncertainty of outcome inherent in this kind of litigation. In my view, no obvious fault can be attributed to BC Hydro for defending the claim of the plaintiff, or the City's third party claim, in the way that it did. Mr. Griffith-Zahner referred me to a letter dated March 4, 2003 which he wrote to counsel for both defendants. In the letter, Mr. Griffith-Zahner proposed that the City be released by the plaintiff, on the condition that BC Hydro would agree to pay any damages that might be ultimately attributed to the City, in the event that the plaintiff succeeded against BC Hydro at trial on the issue of liability. BC Hydro did not reply to this proposal, before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 fail to see how this proposal of the plaintiff advances the argument that she should not be required to pay BC Hydro's costs of the third party proceedings. It was made only ten days before the trial (after considerable litigation had gone on between BC Hydro and the City) and the third party claim was not dealt with, at trial. (The trial judgment effectively disposed of the third party proceedings, in favour of BC Hydro.)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can see no principled basis upon which to deprive BC Hydro of all of its costs of defending the third party claim of the City. But I infer that the issue of BC Hydro's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accounted for a substantial part of the work and expense involved in the third party proceedings. In my opinion, BC Hydro should recover from the plaintiff, only 50% of its assessable costs of the third party proceedings instituted by the City, and I so order. Scale 3 will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As to the costs of the present application, success has been divided. In the circumstances, I order that BC Hydro and the plaintiff will each bear their own costs of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HALFYARD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09" style="position:absolute;z-index:25188966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46"/>
          <w:headerReference w:type="default" r:id="rId1047"/>
          <w:footerReference w:type="even" r:id="rId1048"/>
          <w:footerReference w:type="default" r:id="rId1049"/>
          <w:headerReference w:type="first" r:id="rId1050"/>
          <w:footerReference w:type="first" r:id="rId1051"/>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52" w:history="1">
        <w:r>
          <w:rPr>
            <w:rFonts w:ascii="arial" w:eastAsia="arial" w:hAnsi="arial" w:cs="arial"/>
            <w:b/>
            <w:bCs/>
            <w:i/>
            <w:color w:val="0077CC"/>
            <w:kern w:val="32"/>
            <w:sz w:val="28"/>
            <w:szCs w:val="32"/>
            <w:u w:val="single"/>
            <w:shd w:val="clear" w:color="auto" w:fill="FFFFFF"/>
            <w:lang w:val="en-US" w:eastAsia="en-US" w:bidi="ar-SA"/>
          </w:rPr>
          <w:t>Lee v. Transamerica Life Canada, [2016] B.C.J. No. 220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N.P. Kent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December 17 and 18, 2015.</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10, 2016.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S1410089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[2016] B.C.J. No. 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2016 BCSC 191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Sook Hing Lee, also known as Susan Lee, on her own behalf and on behalf of the class of persons who purchased Transamerica Wealth Advantage universal life insurance policies pursuant to a personalized investment plan marketed by Kalano Jang between January 1, 2002 and June 1, 2006, Plaintiffs, and Transamerica Life Canada, Kalano Jang and Allen Wong &amp; Associates Insurance Agency Limited, Defendants, and Kalano Jang in his personal capacity and as administrator of Billion Financial Corporation and Erica Minh-Ngoc Pham Thi also known as Minh Ngoc Thi Pham in her personal capacity and as administrator of Pham Ngoc Professional Corporation, Third Parties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(136 paras.)</w:t>
      </w:r>
    </w:p>
    <w:p>
      <w:pPr>
        <w:spacing w:line="24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 xml:space="preserve">[Editor's note: Supplementary reasons for judgment were released April 26, 2016. See </w:t>
      </w:r>
      <w:hyperlink r:id="rId1053" w:history="1">
        <w:r>
          <w:rPr>
            <w:rFonts w:ascii="arial" w:eastAsia="arial" w:hAnsi="arial" w:cs="arial"/>
            <w:i/>
            <w:color w:val="0077CC"/>
            <w:sz w:val="18"/>
            <w:u w:val="single"/>
            <w:shd w:val="clear" w:color="auto" w:fill="FFFFFF"/>
            <w:lang w:val="en-US" w:eastAsia="en-US" w:bidi="ar-SA"/>
          </w:rPr>
          <w:t>[2016] B.C.J. No. 843</w:t>
        </w:r>
      </w:hyperlink>
      <w:r>
        <w:rPr>
          <w:rFonts w:ascii="arial" w:eastAsia="arial" w:hAnsi="arial" w:cs="arial"/>
          <w:color w:val="000000"/>
          <w:sz w:val="18"/>
          <w:lang w:val="en-US" w:eastAsia="en-US" w:bidi="ar-SA"/>
        </w:rPr>
        <w:t>.]</w:t>
      </w:r>
      <w:r>
        <w:rPr>
          <w:rFonts w:ascii="arial" w:eastAsia="arial" w:hAnsi="arial" w:cs="arial"/>
          <w:sz w:val="20"/>
          <w:lang w:val="en-US" w:eastAsia="en-US" w:bidi="ar-SA"/>
        </w:rPr>
        <w:cr/>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0" style="position:absolute;z-index:2516971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0" w:name="Keywords_37"/>
      <w:bookmarkEnd w:id="250"/>
      <w:r>
        <w:rPr>
          <w:rFonts w:ascii="arial" w:eastAsia="arial" w:hAnsi="arial" w:cs="arial"/>
          <w:b/>
          <w:color w:val="000000"/>
          <w:sz w:val="20"/>
          <w:lang w:val="en-US" w:eastAsia="en-US" w:bidi="ar-SA"/>
        </w:rPr>
        <w:t xml:space="preserve">Civil litigation — Limitation of actions — Time — When time begins to run — Discoverability — Motion by Transamerica Life Canada ("Transamerica") and Allen Wong &amp; Associates Insurance Agency Limited ("Wong"), collectively (the "defendants") for order summarily dismissing, or alternatively, striking out some or all of claims made against them allowed in part — Jang modified marketing of Transamerica product — Claims were statute barred with respect to vicarious liability and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Cause of action for direct liability on Jang's part and vicarious liability for Jang's misconduct both matured at same time and both were subject to same six-year limitation period — Genuine issue for trial was raised regarding discoverability of fraud claim — Limitations Act, ss. 6(3)(c), 6(3)(d), 6(4).</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1" w:name="Case Summary_36"/>
            <w:bookmarkEnd w:id="25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Transamerica Life Canada ("Transamerica") and Allen Wong &amp; Associates Insurance Agency Limited ("Wong"), collectively (the "defendants") for an order summarily dismissing, or alternatively, striking out some or all of the claims made against them. Transamerica was a licensed life insurance company. Wong was a licensed life insurance agency. Jang was a licensed life insurance agent, and owned and operated two licensed corporate life insurance agencies, Trillion Financial Corp. ("Trillion") and Billion Financial Corporation ("Billion") in respect of which he was the licensed "nominee". Trillion was the signatory to an agent contract with Transamerica, and Billion was signatory to two agent/ broker contracts with Transamerica. Jang marketed Transamerica Wealth Advantages (TWA) universal life insurance policies. Transamerica strongly encouraged its agents to have their clients, prior to investing in any ILS products, seek professional advice from tax advisors, accountants and/or lawyers to determine whether the strategy would work. Jang modified the Transamerica ILS investment plan to generate multiple commissions for himself, while also potentially negating any tax-sheltering benefits it offered the client. In 2006, Transamerica formally terminated its contracts with Jang as a result of his improper sales practices. The Insurance Council of British Columbia (the "Council") cancelled Jang's license. Lee was a client of Jang's. When Transamerica terminated its relationship with Jang, Lee was informed but received no explanation. Lee terminated the TWA policies. Lee had paid Transamerica approximately $322,000. A class action was commenced alleging the defendants were vicariously labile for participating in a fraudulent scheme, and directly liability,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fraud. The defendants submit that the six-year limitation period applicable to any cause of action had expired, and Lee's rights of recovery were extinguished. Lee submitted that she was not aware of the participation of the defendants until well after Jang's misconduct.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2" w:name="Holdings of Court_33"/>
            <w:bookmarkEnd w:id="252"/>
            <w:r>
              <w:rPr>
                <w:rFonts w:ascii="arial" w:eastAsia="arial" w:hAnsi="arial" w:cs="arial"/>
                <w:color w:val="000000"/>
                <w:sz w:val="20"/>
                <w:lang w:val="en-US" w:eastAsia="en-US" w:bidi="ar-SA"/>
              </w:rPr>
              <w:t>HELD: Motion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claims were statute barred with respect to vicarious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limitation period for issuing suit against Jang expired before December 31, 2014 and hence that whatever rights she may have had in any cause of action against Mr. Jang were extinguished before the present lawsuit was issued. The cause of action for direct liability on Jang's part and vicarious liability for Jang's misconduct both matured at the same time and both were subject to the same six-year limitation period, which started at the same time. There was no evidence that raised postponement of the limitation date. The claim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not ground in the provision of professional services by the defendants to Lee, and hence the limitation period was not capable of postponement. Regarding the claim for fraud, a genuine issue for trial was raised. Lee's evidence was that she did not know of any improper conduct on the part of the defendants until 2007. Whether restitution based on unjust enrichment of waiver of tort constituted an issue requiring trial.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53" w:name="Legislation Cited_25"/>
      <w:bookmarkEnd w:id="253"/>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11" style="position:absolute;z-index:2517483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Class Proceedings Act, </w:t>
      </w:r>
      <w:hyperlink r:id="rId1015" w:history="1">
        <w:r>
          <w:rPr>
            <w:rFonts w:ascii="arial" w:eastAsia="arial" w:hAnsi="arial" w:cs="arial"/>
            <w:i/>
            <w:color w:val="0077CC"/>
            <w:sz w:val="20"/>
            <w:u w:val="single"/>
            <w:shd w:val="clear" w:color="auto" w:fill="FFFFFF"/>
            <w:lang w:val="en-US" w:eastAsia="en-US" w:bidi="ar-SA"/>
          </w:rPr>
          <w:t>R.S.B.C. 1996, c. 50, s. 4</w:t>
        </w:r>
      </w:hyperlink>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Limitation Act, R.S.B.C. 1996, c. 266, s. 6(3)(c), s. 6(3) (d), s. 6(4), s. 9</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54" w:name="Counsel_37"/>
      <w:bookmarkEnd w:id="254"/>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2" style="position:absolute;z-index:25179955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Geoffrey B. Gomery, Q.C., Irwin G. Nathanson,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Transamerica Life Canada: Stein K. Gudmundseth, Q.C., Arpal S. Dosanjh, Allan L. Doolittle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Allen Wong &amp; Associates Insurance Agency Limited: Diana L. Dorey.</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55" w:name="Judgment_37"/>
      <w:bookmarkEnd w:id="255"/>
      <w:r>
        <w:pict>
          <v:line id="_x0000_s1213" style="position:absolute;z-index:251850752" from="0,12pt" to="512pt,12pt" strokecolor="#009ddb" strokeweight="1.5pt">
            <v:stroke linestyle="single"/>
          </v:line>
        </w:pict>
      </w:r>
    </w:p>
    <w:p>
      <w:pPr>
        <w:spacing w:before="120" w:line="240" w:lineRule="atLeast"/>
        <w:ind w:firstLine="240"/>
        <w:rPr>
          <w:rFonts w:ascii="arial" w:eastAsia="arial" w:hAnsi="arial" w:cs="arial"/>
          <w:sz w:val="20"/>
          <w:lang w:val="en-US" w:eastAsia="en-US" w:bidi="ar-SA"/>
        </w:rPr>
      </w:pPr>
      <w:r>
        <w:rPr>
          <w:rFonts w:ascii="arial" w:eastAsia="arial" w:hAnsi="arial" w:cs="arial"/>
          <w:color w:val="000000"/>
          <w:sz w:val="18"/>
          <w:lang w:val="en-US" w:eastAsia="en-US" w:bidi="ar-SA"/>
        </w:rPr>
        <w:t>[Editor's note: A correction was released by the Court March 11, 2016; the change has been made to the text and the correction is appended to this document.]</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Table of Contents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BACKGROUND FACTS AND PLEADINGS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WONGS' LITIGATION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LEE AND KORN AFFIDAVITS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Ms. Lee's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Mr. Korn's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POSITIONS OF THE PARTIES</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ANALYSIS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Jang Limitation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Transamerica Limitation Period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Wong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CLAIMS FOR RESTITUTION</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CONCLUSIONS AND DIRECTIONS</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0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56" w:name="N.P. KENT J."/>
            <w:bookmarkEnd w:id="256"/>
            <w:r>
              <w:rPr>
                <w:rFonts w:ascii="arial" w:eastAsia="arial" w:hAnsi="arial" w:cs="arial"/>
                <w:b/>
                <w:color w:val="000000"/>
                <w:sz w:val="30"/>
                <w:lang w:val="en-US" w:eastAsia="en-US" w:bidi="ar-SA"/>
              </w:rPr>
              <w:t>N.P. KENT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In this putative class action, the defendants Transamerica Life Canada ("Transamerica") and Allen Wong &amp; Associates Insurance Agency Limited ("Wong &amp; Associates") apply for an order summarily dismissing or, alternatively, striking out some or all of the claims made against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Summary dismissal is sought pursuant to Rule 9-6 on the basis that there are no genuine issues for trial. The alternative application to strike some of the claims is made pursuant to Rule 9-5(1)(a) and (d) on the grounds that the plaintiff's pleading discloses no reasonable claim and/or constitutes an abuse of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defendants also ask that the decision on this application be treated as a decision in respect of the certification requirements of s. 4 of the </w:t>
      </w:r>
      <w:r>
        <w:rPr>
          <w:rFonts w:ascii="arial" w:eastAsia="arial" w:hAnsi="arial" w:cs="arial"/>
          <w:i/>
          <w:color w:val="000000"/>
          <w:sz w:val="20"/>
          <w:lang w:val="en-US" w:eastAsia="en-US" w:bidi="ar-SA"/>
        </w:rPr>
        <w:t>Class Proceedings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50</w:t>
      </w:r>
      <w:r>
        <w:rPr>
          <w:rFonts w:ascii="arial" w:eastAsia="arial" w:hAnsi="arial" w:cs="arial"/>
          <w:color w:val="000000"/>
          <w:sz w:val="20"/>
          <w:lang w:val="en-US" w:eastAsia="en-US" w:bidi="ar-SA"/>
        </w:rPr>
        <w:t>. The plaintiffs consent to this and accordingly, I issue such an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 FACTS AND PLEADINGS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Ms. Lee, the plaintiff, frames her claims in the Amended Notice of Civil Claim filed April 24, 2015. In addition to the applicants, she also names Mr. Kalano Jang as a defendant. He is a former insurance agent whose misconduct is at the heart of this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Some of the background facts are not in dispute.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all material times Transamerica was a licensed life insurance company selling a variety of life insurance policies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Wong &amp; Associates is a licensed life insurance agency. Since November 1997, it has operated under a managing general agent (MGA) contract with Transamerica. In that regard, Wong &amp; Associates serves as an intermediary between Transamerica and its independent life insurance agents, processing the life insurance applications procured by the agents and brokers for submission to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Wong &amp; Associates also had a separate brokers' contract with Transamerica to solicit life insurance business and act as a servicing advisor for clients referred to Transamerica for life insurance products.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Jang was a licensed life insurance agent. He also owned and operated two licensed corporate life insurance agencies, Trillion Financial Corp. ("Trillion") and Billion Financial Corporation ("Billion") in respect of which he was the licensed "nominee".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all material times:</w:t>
      </w:r>
      <w:r>
        <w:rPr>
          <w:rFonts w:ascii="arial" w:eastAsia="arial" w:hAnsi="arial" w:cs="arial"/>
          <w:sz w:val="20"/>
          <w:lang w:val="en-US" w:eastAsia="en-US" w:bidi="ar-SA"/>
        </w:rPr>
        <w:cr/>
      </w:r>
    </w:p>
    <w:p>
      <w:pPr>
        <w:numPr>
          <w:numId w:val="51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Trillion was the signatory to an "associate general agent" contract with Transamerica;</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Billion was signatory to two "independent agent/ broker" contracts with Transamerica; and</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Mr. Jang and Billion were signatories to an "independent broker contract" with Wong &amp; Associates to obtain and submit to Wong &amp; Associates applications for insurance policies and other products offered by Wong &amp; Associates' "principal insurers", including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This case concerns the marketing of Transamerica Wealth Advantages (TWA) universal life insurance policies by Mr. Jang. Transamerica had designed a certain investment plan ("Investment Loan Strategy" or "ILS") for high net worth clients who required permanent life insurance protection. Ideally, clients were business owners or individuals with substantial taxable income in liquid assets, as the plan required substantial premium payments during the early years of the policy.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Under the plan, a client purchased a universal life insurance policy and deposited the first premium payment. Once the policy was in force, the client took out a policy loan and was charged a guaranteed interest rate of 10% per annum. The client was responsible for paying the accrued interest on the outstanding policy loan from a source outside the policy. The client then reinvested this borrowed money into an investment that earned income from a business or property, so that this reinvestment enabled the client to deduct the interest being accrued on the policy loan. In the interim, an amount equal to the policy loan amount was transferred to an interest-bearing account that guaranteed a rate of 8% per annum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Transamerica strongly encouraged its agents to have their clients, prior to investing in any ILS products, seek professional advice from tax advisors, accountants and/or lawyers to determine whether the strategy would work, bearing in mind each client's individual circumstances. One of the key issues to be assessed is whether the interest expense incurred in relation to the strategy would be deductible for tax purposes.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Jang marketed the ILS and associated Transamerica products at seminars directed to prospects in the Chinese community. The seminars were in Cantonese. Mr. Jang attended, often with some of his senior advisors and a number of support staff who, after the presentation, met with prospects to collect personal and financial information.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 Jang modified the Transamerica ILS investment plan to generate multiple commissions for himself, while also potentially negating any tax-sheltering benefits it offered the client. He had clients first invest in segregated fund policies while he underwrote and awaited approval of their universal life insurance policies. Upon approval of the UL policies, which typically had high amounts of insurance coverage, Mr. Jang liquidated the clients' segregated fund accounts (thereby triggering deferred sales charges) and transferred the money into the UL policies. Mr. Jang then had the clients take out loans against the policies' accounts to invest in deferred sales charge segregated fund accounts or with a lawyer in Ontario, Erika Pham, whose firm loaned out money for mortgages. Mr. Jang did not disclose to clients the details of the Pham investment but guaranteed a 12 or 13% rate of return.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June 1, 2006, Transamerica formally terminated its contracts with Mr. Jang as a result of his improper sales practices. The termination letter is four pages long and sets out the details of his misconduct. It expressed concern that the products were being purchased by clients that did not understand the product and or that they were not in a taxable position to benefit from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While the Transamerica insureds/clients were advised of Mr. Jang's termination, the cause for termination was not disclosed to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Jang's misconduct eventually came to the attention of the Insurance Council of British Columbia (the "Council"). Following a detailed investigation, the Council issued and published an 11-page decision setting out the details of Mr. Jang's misconduct and ordering Mr. Jang's and Trillion/Billion's insurance licences cancelled. The Council described his conduct as egregious and incompetent. It concluded that he had been marketing a distorted version of Transamerica's ILS solely to generate commissions on products that were not suitable for the clients' insurance needs and financial circumstances. The Council found Mr. Jang untrustworthy and that he posed "a continuing and imminent risk of serious harm to the public".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Ms. Lee was a victim of Mr. Jang's egregious misconduct. Ms. Lee was 62 years old when she attended seminars hosted by Mr. Jang in 2004. Thereafter, on the recommendation of and with the assistance of Mr. Jang, she borrowed funds to purchase deferred sales charge segregated funds policies issued by Transamerica. She then applied for TWA universal life policies providing $8 million of insurance coverage. When those policies were issued, she paid immediate premiums of $460,000.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2005, on Mr. Jang's recommendation, Ms. Lee borrowed approximately $266,000 from Transamerica as a policy loan so she could invest $270,000 through a lawyer recommended by Mr. Jang in Ontario, Ms. Pham. This investment was completely lost.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2006 when Transamerica terminated its relationship with Mr. Jang, Ms. Lee was informed of the termination but received no explanation. In November 2007, having obtained financial and insurance advice independent of Mr. Jang, Ms. Lee cancelled her TWA policies. At the end of the day, the net amount paid by Ms. Lee to Transamerica in respect of the TWA policies sold by Mr. Jang was approximately $322,000.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Part 1 of the Amended Notice of Civil Claim ("Statement of Facts") includes:</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purchase of the Transamerica policy following attendance at Mr. Jang's seminar;</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that Mr. Jang was "an agent of Transamerica";</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that Wong &amp; Associates was Transamerica's general agent and Wong in turn contracted with Mr. Jang. Transamerica paid commissions to both Wong &amp; Associates and Mr. Jang;</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the Transamerica "ILS" products;</w:t>
      </w:r>
    </w:p>
    <w:p>
      <w:pPr>
        <w:numPr>
          <w:numId w:val="9"/>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description of Mr. Jang's marketing scheme;</w:t>
      </w:r>
    </w:p>
    <w:p>
      <w:pPr>
        <w:numPr>
          <w:numId w:val="1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that this scheme was "inherently fraudulent and deceptive";</w:t>
      </w:r>
    </w:p>
    <w:p>
      <w:pPr>
        <w:numPr>
          <w:numId w:val="11"/>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of "Transamerica's participation in the scheme", namely that:</w:t>
      </w:r>
    </w:p>
    <w:p>
      <w:pPr>
        <w:numPr>
          <w:numId w:val="12"/>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2000 - 2001, Transamerica was alerted to Mr. Jang's improper sales practices, conducted investigations, and even internally recommended immediate termination of Mr. Jang's agency;</w:t>
      </w:r>
    </w:p>
    <w:p>
      <w:pPr>
        <w:numPr>
          <w:numId w:val="14"/>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Mr. Jang's agency was not terminated, nor were his activities or Wong &amp; Associates' supervision of those activities supervised or monitored;</w:t>
      </w:r>
    </w:p>
    <w:p>
      <w:pPr>
        <w:numPr>
          <w:numId w:val="1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in 2000 - 2001, Transamerica "knew or was wilfully blind to the material elements of the scheme and was constituted a participant in the scheme" and in the ensuing years through June 2006 "took no steps to put an end to the scheme by terminating Jang's agency";</w:t>
      </w:r>
    </w:p>
    <w:p>
      <w:pPr>
        <w:numPr>
          <w:numId w:val="16"/>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Transamerica's failure to end the scheme in which it participated and from which it profited was fraudulent and deceptive or, in the alternative, negligent;</w:t>
      </w:r>
    </w:p>
    <w:p>
      <w:pPr>
        <w:numPr>
          <w:numId w:val="1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allegations of Wong &amp; Associates' participation in the scheme, namely that:</w:t>
      </w:r>
    </w:p>
    <w:p>
      <w:pPr>
        <w:numPr>
          <w:numId w:val="2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Wong &amp; Associates knew of or was wilfully blind to the scheme and;</w:t>
      </w:r>
    </w:p>
    <w:p>
      <w:pPr>
        <w:numPr>
          <w:numId w:val="2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Wong &amp; Associates' failure to end the scheme was also fraudulent and deceptive or, in the alternative, negligent; and</w:t>
      </w:r>
    </w:p>
    <w:p>
      <w:pPr>
        <w:numPr>
          <w:numId w:val="2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particulars of Ms. Lee's purchase of the Transamerica products through Mr.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Part 3 of Ms. Lee's Amended Notice of Civil Claim ("Legal Basis") articulates the legal causes of action against the defendants. The following causes of action are alleged against Transamerica and Wong &amp; Associates:</w:t>
      </w:r>
      <w:r>
        <w:rPr>
          <w:rFonts w:ascii="arial" w:eastAsia="arial" w:hAnsi="arial" w:cs="arial"/>
          <w:sz w:val="20"/>
          <w:lang w:val="en-US" w:eastAsia="en-US" w:bidi="ar-SA"/>
        </w:rPr>
        <w:cr/>
      </w:r>
    </w:p>
    <w:p>
      <w:pPr>
        <w:numPr>
          <w:numId w:val="2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participation in the [fraudulent] scheme with Mr. Jang by virtue of their knowledge of or wilful blindness to same;</w:t>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breach of a duty of care owed to Ms. Lee to terminate Mr. Jang's agency and to stop his fraudulent and deceptive marketing of the Transamerica products;</w:t>
      </w:r>
    </w:p>
    <w:p>
      <w:pPr>
        <w:numPr>
          <w:numId w:val="25"/>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fraudulent, deceptive or alternatively, negligent inducement of Ms. Lee's contracts with Transamerica;</w:t>
      </w:r>
    </w:p>
    <w:p>
      <w:pPr>
        <w:numPr>
          <w:numId w:val="2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unjust enrichment of Transamerica entitling the plaintiff to restitution;</w:t>
      </w:r>
    </w:p>
    <w:p>
      <w:pPr>
        <w:numPr>
          <w:numId w:val="27"/>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alternatively, waiver of the tort(s) and restitution of the defendants' "ill-gotten gains"; and</w:t>
      </w:r>
    </w:p>
    <w:p>
      <w:pPr>
        <w:numPr>
          <w:numId w:val="2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damages for</w:t>
      </w:r>
    </w:p>
    <w:p>
      <w:pPr>
        <w:numPr>
          <w:numId w:val="29"/>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participation in the [fraudulent] scheme;</w:t>
      </w:r>
    </w:p>
    <w:p>
      <w:pPr>
        <w:numPr>
          <w:numId w:val="30"/>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direct liability for failure to supervise Mr. Jang; and</w:t>
      </w:r>
    </w:p>
    <w:p>
      <w:pPr>
        <w:numPr>
          <w:numId w:val="3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vicarious liability for Mr. Jang's wrongdoing.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While the Amended Notice of Civil Claim was filed on April 24, 2015, the original Notice of Civil Claim was filed on December 31, 2014. This date, December 31, 2014, is the critical date for determining the application of any limitation period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Transamerica filed its Response to Amended Civil Claim on May 12, 2015. In that pleading, Transamerica alleges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32"/>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contracts with Ms. Lee were made on the strength of her written (and untrue) representations respecting assets and income;</w:t>
      </w:r>
    </w:p>
    <w:p>
      <w:pPr>
        <w:numPr>
          <w:numId w:val="33"/>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contract expressly disavowed any promises or representations made by agents;</w:t>
      </w:r>
    </w:p>
    <w:p>
      <w:pPr>
        <w:numPr>
          <w:numId w:val="34"/>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Mr. Jang was an independent broker whose sole authority was to solicit and submit applications for insurance;</w:t>
      </w:r>
    </w:p>
    <w:p>
      <w:pPr>
        <w:numPr>
          <w:numId w:val="3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has no vicarious liability for Mr. Jang's conduct;</w:t>
      </w:r>
    </w:p>
    <w:p>
      <w:pPr>
        <w:numPr>
          <w:numId w:val="3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2001 investigation into Mr. Jang's conduct resulted in Transamerica directing Wong &amp; Associates to modify Mr. Jang's marketing practices and internal compliance reviews were conducted from time to time;</w:t>
      </w:r>
    </w:p>
    <w:p>
      <w:pPr>
        <w:numPr>
          <w:numId w:val="37"/>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termination of Mr. Jang's contract was subsequent to a further investigation in November 2005;</w:t>
      </w:r>
    </w:p>
    <w:p>
      <w:pPr>
        <w:numPr>
          <w:numId w:val="3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neither committed nor participated in any fraud;</w:t>
      </w:r>
    </w:p>
    <w:p>
      <w:pPr>
        <w:numPr>
          <w:numId w:val="3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was neither negligent nor unjustly enriched;</w:t>
      </w:r>
    </w:p>
    <w:p>
      <w:pPr>
        <w:numPr>
          <w:numId w:val="4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Lee was well aware of other litigation against the defendants alleging liability on account of Mr. Jang's wrongdoing in respect of selling Transamerica policies, yet she delayed bringing any claim in a timely manner;</w:t>
      </w:r>
    </w:p>
    <w:p>
      <w:pPr>
        <w:numPr>
          <w:numId w:val="4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October 2014, Ms. Lee attempted to extort $500,000 from Transamerica by threatening a legal quagmire designed to subvert the proposed sale of Transamerica to another entity;</w:t>
      </w:r>
    </w:p>
    <w:p>
      <w:pPr>
        <w:numPr>
          <w:numId w:val="4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Lee's claims are statute barred by the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2012, c. 13</w:t>
      </w:r>
      <w:r>
        <w:rPr>
          <w:rFonts w:ascii="arial" w:eastAsia="arial" w:hAnsi="arial" w:cs="arial"/>
          <w:color w:val="000000"/>
          <w:sz w:val="20"/>
          <w:lang w:val="en-US" w:eastAsia="en-US" w:bidi="ar-SA"/>
        </w:rPr>
        <w:t>;</w:t>
      </w:r>
    </w:p>
    <w:p>
      <w:pPr>
        <w:numPr>
          <w:numId w:val="4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Ms. Lee's claims in fraud against Transamerica are frivolous, scandalous, and vexatious and are brought in an attempt to circumvent the expiry of limitation periods.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Wong &amp; Associates filed its Response to Amended Notice of Civil Claim on May 22, 2015. That pleading alleges </w:t>
      </w:r>
      <w:r>
        <w:rPr>
          <w:rFonts w:ascii="arial" w:eastAsia="arial" w:hAnsi="arial" w:cs="arial"/>
          <w:i/>
          <w:color w:val="000000"/>
          <w:sz w:val="20"/>
          <w:lang w:val="en-US" w:eastAsia="en-US" w:bidi="ar-SA"/>
        </w:rPr>
        <w:t>inter alia</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4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Wong &amp; Associates' role was to submit insurance applications received from Mr. Jang to Transamerica without evaluating same;</w:t>
      </w:r>
    </w:p>
    <w:p>
      <w:pPr>
        <w:numPr>
          <w:numId w:val="4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assumed sole responsibility to determine the insurability of each applicant;</w:t>
      </w:r>
    </w:p>
    <w:p>
      <w:pPr>
        <w:numPr>
          <w:numId w:val="4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Wong &amp; Associates owed no contractual duties to Ms. Lee nor any duty of care;</w:t>
      </w:r>
    </w:p>
    <w:p>
      <w:pPr>
        <w:numPr>
          <w:numId w:val="4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light of the misrepresentations in her applications for insurance, Ms. Lee is estopped from claiming that the Transamerica policies were unsuitable for her;</w:t>
      </w:r>
    </w:p>
    <w:p>
      <w:pPr>
        <w:numPr>
          <w:numId w:val="4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Wong &amp; Associates had no knowledge nor any means of knowledge about any loans made by Ms. Lee to any Ontario lawyer;</w:t>
      </w:r>
    </w:p>
    <w:p>
      <w:pPr>
        <w:numPr>
          <w:numId w:val="4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Wong &amp; Associates has no vicarious liability for any misconduct on the part of Mr. Jang;</w:t>
      </w:r>
    </w:p>
    <w:p>
      <w:pPr>
        <w:numPr>
          <w:numId w:val="5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Ms. Lee's action is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On October 16, 2015, Ms. Lee filed a Reply. The purpose of the Reply is to allege "postponement" of any limitation period for claims against Wong &amp; Associates and Transamerica by virtue of ss. 6(3)(c) and (d) of the former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and to plead that the action was not statute barred. In the Reply, Ms. Lee alleges:</w:t>
      </w:r>
      <w:r>
        <w:rPr>
          <w:rFonts w:ascii="arial" w:eastAsia="arial" w:hAnsi="arial" w:cs="arial"/>
          <w:sz w:val="20"/>
          <w:lang w:val="en-US" w:eastAsia="en-US" w:bidi="ar-SA"/>
        </w:rPr>
        <w:cr/>
      </w:r>
    </w:p>
    <w:p>
      <w:pPr>
        <w:numPr>
          <w:numId w:val="5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did not advise Ms. Lee that the cancellation of Mr. Jang's contracts had been for cause or because of any improper selling practices;</w:t>
      </w:r>
    </w:p>
    <w:p>
      <w:pPr>
        <w:numPr>
          <w:numId w:val="5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November 2008, Ms. Lee did not seek legal advice concerning potential claims against the defendants and was not on notice of facts which made that necessary;</w:t>
      </w:r>
    </w:p>
    <w:p>
      <w:pPr>
        <w:numPr>
          <w:numId w:val="53"/>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material elements in the fraudulent marketing scheme and of Transamerica's and Wong &amp; Associates' participation in that scheme were not accessible to Ms. Lee until 2013.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WONGS'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Two other victims of Mr. Jang's misconduct included Mr. and Mrs. Wong of Vancouver. On June 6, 2008 the Wongs sued Transamerica; Mr. Jang; Mr. Jang's two corporations, Trillion and Billion; Anna Wong, another agent associated with Trillion/Billion; and the Ontario lawyer to whom the their policy loans were transferred for investment purposes, Ms. Erika Pham.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The original claim in the Wongs' action did not include Wong &amp; Associates as a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The claim against Mr. Jang and his two corporations was framed as: (1) breach of fiduciary duty; (2)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(3) breach of contract; and (4) negligent/fraudulent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claim against Transamerica included both vicarious liability (for the actions of its "agents" Mr. Jang and Wong &amp; Associates) and direct liability. The latter included (1) breach of a duty of good faith owed both in tort and in contract, (2) breach of contract, and (3) breach of an alleged duty of care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On May 22, 2012, the Wongs' Notice of Civil Claim was amended to add Wong &amp; Associates as a defendant. The claim against Wong &amp; Associates asserted both vicarious liability (for the actions of Mr. Jang/Wong &amp; Associates as its "agents") and direct liability. The latter included allegations that Wong &amp; Associates were (1) negligent (including a breach of an alleged duty to supervise Mr. Jang), (2) breached their duty of good faith owed to the plaintiffs, (3) were fully complicit in Mr. Jang's Scheme and wrongly profited, and (4) were unjustly enriched.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In January 2013, the Wongs applied to further amend the Notice of Civil Claim to add an allegation that Transamerica failed to "supervise or monitor [Wong &amp; Associates]/Jang despite a record of past investigations for over-insuring and fraud". Transamerica opposed the amendment on the basis that it pleaded a new cause of action that was statute barred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application came on for hearing in June 2013, but due to time constraints, it was agreed that the chambers judge would initially determine only whether the "duty to supervise" amendment did indeed raise a new cause of action. If so, the parties agreed to argue the limitation issue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In reasons dated September 25, 2013 and indexed at </w:t>
      </w:r>
      <w:hyperlink r:id="rId1054" w:history="1">
        <w:r>
          <w:rPr>
            <w:rFonts w:ascii="arial" w:eastAsia="arial" w:hAnsi="arial" w:cs="arial"/>
            <w:i/>
            <w:color w:val="0077CC"/>
            <w:sz w:val="20"/>
            <w:u w:val="single"/>
            <w:shd w:val="clear" w:color="auto" w:fill="FFFFFF"/>
            <w:lang w:val="en-US" w:eastAsia="en-US" w:bidi="ar-SA"/>
          </w:rPr>
          <w:t>2013 BCSC 1768</w:t>
        </w:r>
      </w:hyperlink>
      <w:r>
        <w:rPr>
          <w:rFonts w:ascii="arial" w:eastAsia="arial" w:hAnsi="arial" w:cs="arial"/>
          <w:color w:val="000000"/>
          <w:sz w:val="20"/>
          <w:lang w:val="en-US" w:eastAsia="en-US" w:bidi="ar-SA"/>
        </w:rPr>
        <w:t>, Justice Cohen accepted Transamerica's submissions that the proposed amendments raised a new cause of action. No appeal was taken from that decision.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In October 2013, the plaintiffs re-drafted their proposed amendments to the Notice of Civil Claim to amplify the particulars related to Transamerica's alleged duty to supervise, and the hearing on the limitation period issue proceeded in late November 2013. In reasons indexed at </w:t>
      </w:r>
      <w:hyperlink r:id="rId1055" w:history="1">
        <w:r>
          <w:rPr>
            <w:rFonts w:ascii="arial" w:eastAsia="arial" w:hAnsi="arial" w:cs="arial"/>
            <w:i/>
            <w:color w:val="0077CC"/>
            <w:sz w:val="20"/>
            <w:u w:val="single"/>
            <w:shd w:val="clear" w:color="auto" w:fill="FFFFFF"/>
            <w:lang w:val="en-US" w:eastAsia="en-US" w:bidi="ar-SA"/>
          </w:rPr>
          <w:t>2014 BCSC 139</w:t>
        </w:r>
      </w:hyperlink>
      <w:r>
        <w:rPr>
          <w:rFonts w:ascii="arial" w:eastAsia="arial" w:hAnsi="arial" w:cs="arial"/>
          <w:color w:val="000000"/>
          <w:sz w:val="20"/>
          <w:lang w:val="en-US" w:eastAsia="en-US" w:bidi="ar-SA"/>
        </w:rPr>
        <w:t xml:space="preserve">, Cohen J. agreed with Transamerica's position on the limitation issue. He held that the limitation period for bringing the "duty to supervise" claim against Transamerica started no later than Mr. Jang's termination as a Transamerica agent on June 1, 2006 and that the limitation period was not postponed to any later date. However, notwithstanding that the claim was statute barred on June 1, 2012 (the relevant six-year period expiring on that date), Cohen J. exercised his discretion under s. 4(4)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to permit amendment of the pleading in any event.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Justice Cohen's decision was appealed and in reasons indexed at </w:t>
      </w:r>
      <w:hyperlink r:id="rId1056" w:history="1">
        <w:r>
          <w:rPr>
            <w:rFonts w:ascii="arial" w:eastAsia="arial" w:hAnsi="arial" w:cs="arial"/>
            <w:i/>
            <w:color w:val="0077CC"/>
            <w:sz w:val="20"/>
            <w:u w:val="single"/>
            <w:shd w:val="clear" w:color="auto" w:fill="FFFFFF"/>
            <w:lang w:val="en-US" w:eastAsia="en-US" w:bidi="ar-SA"/>
          </w:rPr>
          <w:t>2014 BCCA 286</w:t>
        </w:r>
      </w:hyperlink>
      <w:r>
        <w:rPr>
          <w:rFonts w:ascii="arial" w:eastAsia="arial" w:hAnsi="arial" w:cs="arial"/>
          <w:color w:val="000000"/>
          <w:sz w:val="20"/>
          <w:lang w:val="en-US" w:eastAsia="en-US" w:bidi="ar-SA"/>
        </w:rPr>
        <w:t>, that appeal was dismissed. The only issue on the appeal was whether Cohen J. had properly exercised his discretion to grant leave to amend the Notice of Civil Claim notwithstanding expiry of the limitation period applicable to the duty to supervise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expanded particulars set out in the Wongs' Further Amended Notice of Civil Claim included allegations that Transamerica had conducted an investigation into Mr. Jang's practices in 2000-2001 which revealed "abuse" and "improper activities" by Mr. Jang and that Transamerica neither terminated his agency at that time nor implemented any system of supervision from that point forward.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In his second set of reasons (</w:t>
      </w:r>
      <w:hyperlink r:id="rId1055" w:history="1">
        <w:r>
          <w:rPr>
            <w:rFonts w:ascii="arial" w:eastAsia="arial" w:hAnsi="arial" w:cs="arial"/>
            <w:i/>
            <w:color w:val="0077CC"/>
            <w:sz w:val="20"/>
            <w:u w:val="single"/>
            <w:shd w:val="clear" w:color="auto" w:fill="FFFFFF"/>
            <w:lang w:val="en-US" w:eastAsia="en-US" w:bidi="ar-SA"/>
          </w:rPr>
          <w:t>2014 BCSC 139</w:t>
        </w:r>
      </w:hyperlink>
      <w:r>
        <w:rPr>
          <w:rFonts w:ascii="arial" w:eastAsia="arial" w:hAnsi="arial" w:cs="arial"/>
          <w:color w:val="000000"/>
          <w:sz w:val="20"/>
          <w:lang w:val="en-US" w:eastAsia="en-US" w:bidi="ar-SA"/>
        </w:rPr>
        <w:t>), Cohen J. addressed and dismissed the plaintiffs' claim that the limitation period had been postponed, holding that:</w:t>
      </w:r>
      <w:r>
        <w:rPr>
          <w:rFonts w:ascii="arial" w:eastAsia="arial" w:hAnsi="arial" w:cs="arial"/>
          <w:sz w:val="20"/>
          <w:lang w:val="en-US" w:eastAsia="en-US" w:bidi="ar-SA"/>
        </w:rPr>
        <w:cr/>
      </w:r>
    </w:p>
    <w:p>
      <w:pPr>
        <w:numPr>
          <w:numId w:val="5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failure to supervise claim was not an action grounded in the provision of professional services by Transamerica to the plaintiffs;</w:t>
      </w:r>
    </w:p>
    <w:p>
      <w:pPr>
        <w:numPr>
          <w:numId w:val="5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was also not based on fraud or deceit by Transamerica against the plaintiffs; and</w:t>
      </w:r>
    </w:p>
    <w:p>
      <w:pPr>
        <w:numPr>
          <w:numId w:val="5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Transamerica had not engaged in any wilful concealment of material facts relating to the cause of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LEE AND KORN AFFIDAVITS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Ms. Lee's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Ms. Lee's affidavit is divided into four sections:</w:t>
      </w:r>
      <w:r>
        <w:rPr>
          <w:rFonts w:ascii="arial" w:eastAsia="arial" w:hAnsi="arial" w:cs="arial"/>
          <w:sz w:val="20"/>
          <w:lang w:val="en-US" w:eastAsia="en-US" w:bidi="ar-SA"/>
        </w:rPr>
        <w:cr/>
      </w:r>
    </w:p>
    <w:p>
      <w:pPr>
        <w:numPr>
          <w:numId w:val="57"/>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background</w:t>
      </w:r>
    </w:p>
    <w:p>
      <w:pPr>
        <w:numPr>
          <w:numId w:val="58"/>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Her dealings with Kalano Jang and purchase of Transamerica insurance</w:t>
      </w:r>
    </w:p>
    <w:p>
      <w:pPr>
        <w:numPr>
          <w:numId w:val="5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Her dealings with Transamerica in 2006 and 2007; and</w:t>
      </w:r>
    </w:p>
    <w:p>
      <w:pPr>
        <w:numPr>
          <w:numId w:val="60"/>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Her issue with Ms. Pham and the steps she took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In the background portion of her affidavit, Ms. Lee describes how she was the person who managed the family's investments. Her husband became ill with cancer in 2008 and died on January 22, 2009. She retired from the workforce in 2008 to look after her husband but before that she was working as a packer in a fish cannery for $18 an hour. She had an annual income of approximately $70,000 from her job and from the couple's real estate investments.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early 2004 when she first had dealings with Mr. Jang, she had a net worth of approximately $2.5 million mostly comprising residential real estate and mutual funds. Ms. Lee described her attendance at the Mr. Jang seminars and Mr. Jang's various representations causing her to borrow money from the Toronto Dominion Bank to buy Transamerica segregated funds policies which she later redeemed following the issuance to her of two TWA universal life policies. Each TWA policy had a face value of $4 million. Of the redemption proceeds, $460,000 was applied to pay the premiums on the universal life policies.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Ms. Lee also describes how, in March 2005, Mr. Jang recommended that she borrow approximately $266,000 as a policy loan on the life insurance policies to invest $270,000 through Ms. Pham in Ontario. The investment was to be for one year at an annual interest rate of 12% guaranteed by the law office. Ms. Lee never met Ms. Pham personally. Attached to her affidavit was a one-page form of agreement signed by Ms. Pham and Ms. Lee evidencing the transaction.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Ms. Lee acknowledges receiving a letter from Transamerica advising that it had terminated its relationship with Mr. Jang. No one from Transamerica told her that the termination was because of Mr. Jang's improper selling practices.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In the fall of 2007, Ms. Lee determined she could no longer afford the Transamerica policies. She enlisted the assistance of her son, Raymond Lee, to have discussions with Transamerica on the telephone, by email and in person. She provides no information about her son's education or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Ms. Lee then describes how she was presented a series of cancellation options including a formal agreement and release. She discussed these options with her son, Raymond Lee, and also her sister, Wendy Kwok. No information is given regarding Ms. Kwok's background, education or occupation.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Ms. Lee says, "I did not want to sign a release" and so, rather than replacing the two policies with a new policy providing only $400,000 of coverage for a cost of $35,704, Ms. Lee simply decided to cancel the universal life insurance policies in late November 2007. She provides no evidence as to why she did not want to sign a release or her understanding as to the purpose of a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Regarding the 2007 dealings, Ms. Lee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I was having these discussions with Ms. Ly [in 2007], I was unhappy that Kalano Jang had given me bad advice but I did not yet think that there was anything improper in the way Transamerica and its representatives had dealt with 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Ms. Lee's affidavit discloses nothing about forming any impression at a later date of "anything improper in the way Transamerica and its representatives had dealt with me". No date or reason is provided for any change of opinion in that regard, assuming any such change even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her affidavit, Ms. Lee says that the only legal adviser she had in 2008 was Gil Korn. She says: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November 2008, I spoke with an insurance broker who put me in touch with a lawyer, Gil Korn. I recall meeting with Mr. Korn once in [November or December]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She says nothing about the identity of the insurance broker with whom she spoke, the content of the discussions, or the reason for a referral to a lawyer.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Ms. Lee states, in her affidavit, that she recalls meeting with Mr. Korn once in 2008 and that the following ensued: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told Mr. Korn about the story of my dealings with Mr. Jang, Ms. Pham and Transamerica. He made some investigations and told me that Mr. Jang was apparently engaged in improper selling practices. He asked me for details of my dealings with Mr. Jang and Transamerica and for my documents. I gave him what I had, but I did not have copies of all the documents I had signed.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Although Ms. Lee expressly waives privilege over her discussions with Mr. Korn up to December 31, 2008, she does not say anything in her affidavit about the content of the discussions, the complaints made or the advice received.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Ms. Lee also states in her affidavit:</w:t>
      </w:r>
      <w:r>
        <w:rPr>
          <w:rFonts w:ascii="arial" w:eastAsia="arial" w:hAnsi="arial" w:cs="arial"/>
          <w:sz w:val="20"/>
          <w:lang w:val="en-US" w:eastAsia="en-US" w:bidi="ar-SA"/>
        </w:rPr>
        <w:cr/>
      </w:r>
    </w:p>
    <w:p>
      <w:pPr>
        <w:numPr>
          <w:numId w:val="61"/>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my meeting with Mr. Korn in November or December 2008, I was nursing my husband in his final illness and that was my preoccupation.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period through to the end of 2008, I was not aware of the dealings between Mr. Jang, Transamerica and Allen Wong &amp; Associates except that Mr. Jang and his companies seem to occupy space in Allen Wong &amp; Associates offices.</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Mr. Korn's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Mr. Korn is a sole practitioner who was called to the bar on August 30, 1996. He describes himself as "someone with an understanding of the life insurance industry" but he does not provide any detail of his experience. The materials filed on this application reference to Mr. Korn having been employed by Manulife Insurance but, again, no details are provided.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Mr. Korn states in his affidavit: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was initially contacted by an insurance broker I know, who asked me if I might be able to help Mrs. Lee. This was in mid-November 2008. The focus of this initial inquiry was in regards to money Mrs. Lee had invested with a lawyer in Toronto, Ms. Pham. I recall that, after discussing the situation, I telephoned Ms. Pham in the broker's presence in November 2008. She was evasive as to what the investment constituted and whether and when Mrs. Lee would get paid. I was made aware that the investment had been made facilitated and recommended by an insurance agent, Kalano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Mr. Korn does not identify the insurance broker who contacted him. He does not provide any specifics of the discussion he had with that broker. He provides no detail of the knowledge he gained at that time respecting Mr. Jang's facilitation and recommendation of the investment.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Mr. Korn then says he "made some inquiries". He does not detail what those inquiries entailed or what information he learned.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xml:space="preserve">  Mr. Korn says he recalls meeting with Ms. Lee only once before September 31, 2009 and that it was "on or before December 9, 2008." Before he met with Ms. Lee, he had read the Council's disciplinary decision respecting Mr. Jang and a </w:t>
      </w:r>
      <w:r>
        <w:rPr>
          <w:rFonts w:ascii="arial" w:eastAsia="arial" w:hAnsi="arial" w:cs="arial"/>
          <w:i/>
          <w:color w:val="000000"/>
          <w:sz w:val="20"/>
          <w:lang w:val="en-US" w:eastAsia="en-US" w:bidi="ar-SA"/>
        </w:rPr>
        <w:t>Vancouver Sun</w:t>
      </w:r>
      <w:r>
        <w:rPr>
          <w:rFonts w:ascii="arial" w:eastAsia="arial" w:hAnsi="arial" w:cs="arial"/>
          <w:color w:val="000000"/>
          <w:sz w:val="20"/>
          <w:lang w:val="en-US" w:eastAsia="en-US" w:bidi="ar-SA"/>
        </w:rPr>
        <w:t xml:space="preserve"> newspaper article by columnist David Baines regarding that decision. Mr. Korn says that by the time he met with Ms. Lee: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 understood that she was a retiree with a limited income who had obtained $8 million of the insurance through Kalano Jang when she was 62 years old; that Mr. Jang had subsequently lost his licence to sell insurance for the reasons given in the Insurance Council decision; and that Mrs. Lee had invested money with Ms. Pham on Mr. Jang's recommendation. I told Mrs. Lee that Mr. Jang was not a good guy and that she had been tricked by him in her dealings with him in connection with the insurance policies. I told her that I would try to get her money back and we agreed on my retainer to assist in recovering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affidavit is silent about the nature of the "trickery" in connection with insurance policies. It is silent about the information given to Ms. Lee respecting the contents of the Council's decision. It is silent about any discussions respecting possible lawsuits against Mr. Jang, Ms. Pham, or anyone else.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Korn states that based on his understanding of the life insurance industry, he "did not understand how Ms. Lee qualified for $8 million of insurance coverage and [he] wanted to find out what the insurer, Transamerica Life Canada, had been told." He had consent forms prepared and signed by Mrs. Lee which he then sent off to Transamerica on December 9, 2008 seeking the underwriting information in question. He also prepared a demand letter to Ms. Pham, sent that same day, and copied it to both Mr. Jang and Ms. Lee, demanding repayment of the $270,000 plus interest. In that letter, Mr. Korn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The funds were part of the same investment scheme as set out in various court cases in British Columbia, and as outlined in great detail in the BC Insurance Council Decision and Order which revoked Mr. [Jang]'s licence. ... [Ms. Lee] has borrowed against her home and put over $700,000 into an ill-advised scheme. ... Mrs. Lee originally borrowed funds to invest in a leverage life insurance product -- this is a nonstarter as you would not borrow to invest in life insurance as it does not result in an interest deduction. As to why she had $8 million of coverage ... that is another story, for another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Mr. Korn's affidavit then goes on to describe his further communications and investigations from December 9 to December 19, 2008. He attempted to meet with both Ms. Pham and Transamerica in Toronto but was rebuffed. He also states: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or before December 19, 2008, I spoke with a lawyer by the name of David Turner, who acted for Nellie Wong and Hoi To Wong in an action against Transamerica, Kalano Jang, Ms. Pham and others. I recall that I made contact with Mr. Turner because I searched for actions against Kalano Jang.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affidavit is silent about the details of his discussions with Mr. Turner. While it references "actions against Kalano Jang", the affidavit is silent about whether Mr. Korn read the Writ of Summons and Statement of Claim filed in the Wongs' action on June 6, 2008 (which alleged vicarious liability on the part of Transamerica for the actions of Mr. Jang as its agent, a breach of a duty of good faith by Transamerica, and a breach of a duty of care owed to the insureds).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Mr. Korn attaches one email string with Transamerica as an exhibit in his affidavit. In his December 16, 2008 email, he states to Transamerica:</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As you know Jang had his "clients" deposit funds into Trans Am investments for a few weeks and would then transfer these funds (triggering the deferred sales charge of 5%) a few weeks later into the policies upon underwriting approval. Unfortunately my client was one of many who would then borrow the funds out of the policy, make a payment as directed by Jang, and never see the money again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materials filed on the application include additional email exchanges between Mr. Korn and Transamerica on December 18 and 19, 2008. In these emails, Mr. Korn states, among other things:</w:t>
      </w:r>
      <w:r>
        <w:rPr>
          <w:rFonts w:ascii="arial" w:eastAsia="arial" w:hAnsi="arial" w:cs="arial"/>
          <w:sz w:val="20"/>
          <w:lang w:val="en-US" w:eastAsia="en-US" w:bidi="ar-SA"/>
        </w:rPr>
        <w:cr/>
      </w:r>
    </w:p>
    <w:p>
      <w:pPr>
        <w:numPr>
          <w:numId w:val="6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advice of Kalano Jang, the Transamerica-licensed agent, my client mortgaged her own, deposited funds into Transamerica investments for a short period of time, on a deferred sales charge basis. Upon life insurance approval, the funds were deposited into Transamerica life insurance policies (somehow, two policies were approved with a face amount of $4 million each) and a series of loans were taken out using the fund value as collateral. At one point the outstanding loan was in excess of $500,000 (how someone with $70,000 of declared income on a life insurance application could service this is difficult to comprehend)";</w:t>
      </w:r>
    </w:p>
    <w:p>
      <w:pPr>
        <w:numPr>
          <w:numId w:val="6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advisor's conduct in service has been, and continues to be, reprehensible. As you are aware, my case is not an isolated incident, and there are a number of existing court cases and the media (</w:t>
      </w:r>
      <w:r>
        <w:rPr>
          <w:rFonts w:ascii="arial" w:eastAsia="arial" w:hAnsi="arial" w:cs="arial"/>
          <w:i/>
          <w:color w:val="000000"/>
          <w:sz w:val="20"/>
          <w:lang w:val="en-US" w:eastAsia="en-US" w:bidi="ar-SA"/>
        </w:rPr>
        <w:t>Vancouver Sun</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Investment Executive</w:t>
      </w:r>
      <w:r>
        <w:rPr>
          <w:rFonts w:ascii="arial" w:eastAsia="arial" w:hAnsi="arial" w:cs="arial"/>
          <w:color w:val="000000"/>
          <w:sz w:val="20"/>
          <w:lang w:val="en-US" w:eastAsia="en-US" w:bidi="ar-SA"/>
        </w:rPr>
        <w:t xml:space="preserve"> have recently reported on the topic... The only good news from this is that the BC public has been protected from further chicanery as Jang has had his licence revoked in BC) you can see the BC Insurance Council website for the gory details)."</w:t>
      </w:r>
    </w:p>
    <w:p>
      <w:pPr>
        <w:numPr>
          <w:numId w:val="65"/>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"Can someone explain how the $8 million was placed -- the app shows $70,000 income with 2.5 mil assets -- am I missing something or is this not an extraordinarily over-insured woman? Combined with the investment flip and the loan, it made for a disastrous scheme for my client -- is there not the system to safeguard against this kind of fraud?"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Interestingly, the email replies from Transamerica acknowledge that Ms. Lee "was misled by the independent advisor, Kalano Jang and has suffered losses as a result of relying upon his advice" and also advised that, because of the possible unavailability of Mr. Jang's liability insurance, "If you do receive instructions from your client to sue Kalano and the lawyer, I suggest you do so quickly."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Mr. Korn concludes his affidavit as follows:</w:t>
      </w:r>
      <w:r>
        <w:rPr>
          <w:rFonts w:ascii="arial" w:eastAsia="arial" w:hAnsi="arial" w:cs="arial"/>
          <w:sz w:val="20"/>
          <w:lang w:val="en-US" w:eastAsia="en-US" w:bidi="ar-SA"/>
        </w:rPr>
        <w:cr/>
      </w:r>
    </w:p>
    <w:p>
      <w:pPr>
        <w:numPr>
          <w:numId w:val="66"/>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Before December 31, 2008, I had no knowledge of facts that led me to consider that there had been misconduct or breach of duty on the part of Transamerica or Alan Wong &amp; Associates Insurance Agency Limited vis-à-vis Mrs. Lee. I was not in possession of the information I would have required to evaluate the possibility of such a claim. I did not even have the basic information requested in my emails to [Transamerica] of December 16 and17, 2008.</w:t>
      </w:r>
    </w:p>
    <w:p>
      <w:pPr>
        <w:numPr>
          <w:numId w:val="6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December 31, 2008, I was completely unaware of information that would suggest that Transamerica and Alan Wong participated in or were complicit in any misconduct on the part of Kalano Jang. This is what was suggested to me by my reading of the judgment of the Court of Appeal, summarizing information and documents obtained from Transamerica, in the Nellie Wong case (</w:t>
      </w:r>
      <w:hyperlink r:id="rId1056" w:history="1">
        <w:r>
          <w:rPr>
            <w:rFonts w:ascii="arial" w:eastAsia="arial" w:hAnsi="arial" w:cs="arial"/>
            <w:i/>
            <w:color w:val="0077CC"/>
            <w:sz w:val="20"/>
            <w:u w:val="single"/>
            <w:shd w:val="clear" w:color="auto" w:fill="FFFFFF"/>
            <w:lang w:val="en-US" w:eastAsia="en-US" w:bidi="ar-SA"/>
          </w:rPr>
          <w:t>2014 BCCA 286</w:t>
        </w:r>
      </w:hyperlink>
      <w:r>
        <w:rPr>
          <w:rFonts w:ascii="arial" w:eastAsia="arial" w:hAnsi="arial" w:cs="arial"/>
          <w:color w:val="000000"/>
          <w:sz w:val="20"/>
          <w:lang w:val="en-US" w:eastAsia="en-US" w:bidi="ar-SA"/>
        </w:rPr>
        <w:t>) in the summer of 2014 but I had no knowledge of any of this in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Mr. Korn's affidavit is silent as to when he learned of facts that led him to consider that Transamerica or Wong &amp; Associates committed misconduct or a breach of duty. He implies, but does not expressly say, he was unaware of information suggesting participation/complicity in Mr. Jang's misconduct until the summer of 2014.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Mr. Korn's affidavit also provides no reasons or explanation for the delay until December 31, 2014 for the filing of the Lee lawsuit. Both he and his client were abundantly aware of "trickery", "misconduct", and "fraud" on the part of Mr. Jang by mid-December 2008 (if not earlier). The unexplained delay in issuing litigation much earlier, even if only to avoid accrual of possible limitation defences, remains the proverbial elephant in the room on this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STATUTORY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parties agree that the limitation period issues to be determined in this case are governed by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w:t>
      </w:r>
      <w:hyperlink r:id="rId33" w:history="1">
        <w:r>
          <w:rPr>
            <w:rFonts w:ascii="arial" w:eastAsia="arial" w:hAnsi="arial" w:cs="arial"/>
            <w:i/>
            <w:color w:val="0077CC"/>
            <w:sz w:val="20"/>
            <w:u w:val="single"/>
            <w:shd w:val="clear" w:color="auto" w:fill="FFFFFF"/>
            <w:lang w:val="en-US" w:eastAsia="en-US" w:bidi="ar-SA"/>
          </w:rPr>
          <w:t>R.S.B.C. 1996, c. 266</w:t>
        </w:r>
      </w:hyperlink>
      <w:r>
        <w:rPr>
          <w:rFonts w:ascii="arial" w:eastAsia="arial" w:hAnsi="arial" w:cs="arial"/>
          <w:color w:val="000000"/>
          <w:sz w:val="20"/>
          <w:lang w:val="en-US" w:eastAsia="en-US" w:bidi="ar-SA"/>
        </w:rPr>
        <w:t xml:space="preserve"> (repealed June 1, 2013). The parties also agree that the limitation period applicable to the plaintiff's claims is six years after the date on which [the plaintiff's right to bring an action]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question to be determined is, thus, when Ms. Lee's right to bring action against Transamerica and Wong &amp; Associates first arose. This inquiry starts with an assessment of the causes of action available to Ms. Lee and, as a matter of law, the date on which those causes of action "matured" or were "perfected" such that the six-year limitation period began to run.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provided for the "postponement" of limitation periods for certain types of action in certain circumstances. The relevant parts of s. 6 of the Act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Running of time postponed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8"/>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running of time with respect to the limitation periods set by this Act for any of the following actions is postponed as provided in subsection (4):</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numPr>
          <w:numId w:val="70"/>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based on fraud or deceit;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7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Time does not begin to run against a plaintiff or claimant with respect to an action referred to in subsection (3) until the identity of the defendant or respondent is known to the plaintiff or claimant and those facts within the plaintiff's or claimant's means of knowledge are such that a reasonable person, knowing those facts and having taken the appropriate advice a reasonable person would seek on those facts, would regard those facts as showing that</w:t>
      </w:r>
    </w:p>
    <w:p>
      <w:pPr>
        <w:numPr>
          <w:numId w:val="7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action on the cause of action would, apart from the effect of the expiration of a limitation period, have a reasonable prospect of success, and</w:t>
      </w:r>
    </w:p>
    <w:p>
      <w:pPr>
        <w:numPr>
          <w:numId w:val="73"/>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whose means of knowledge is in question ought, in the person's own interests and taking the person's circumstances into account, to be able to bring an action.</w:t>
      </w:r>
    </w:p>
    <w:p>
      <w:pPr>
        <w:numPr>
          <w:numId w:val="74"/>
        </w:numPr>
        <w:tabs>
          <w:tab w:val="clear" w:pos="148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For the purpose of subsection (4),</w:t>
      </w:r>
    </w:p>
    <w:p>
      <w:pPr>
        <w:numPr>
          <w:numId w:val="7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b/>
          <w:color w:val="000000"/>
          <w:sz w:val="20"/>
          <w:lang w:val="en-US" w:eastAsia="en-US" w:bidi="ar-SA"/>
        </w:rPr>
        <w:t>"appropriate advice"</w:t>
      </w:r>
      <w:r>
        <w:rPr>
          <w:rFonts w:ascii="arial" w:eastAsia="arial" w:hAnsi="arial" w:cs="arial"/>
          <w:color w:val="000000"/>
          <w:sz w:val="20"/>
          <w:lang w:val="en-US" w:eastAsia="en-US" w:bidi="ar-SA"/>
        </w:rPr>
        <w:t>, in relation to facts, means the advice of competent persons, qualified in their respective fields, to advise on the medical, legal and other aspects of the facts, as the case may require,</w:t>
      </w:r>
    </w:p>
    <w:p>
      <w:pPr>
        <w:numPr>
          <w:numId w:val="76"/>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include</w:t>
      </w:r>
    </w:p>
    <w:p>
      <w:pPr>
        <w:numPr>
          <w:numId w:val="7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existence of a duty owed to the plaintiff or claimant by the defendant or respondent, and</w:t>
      </w:r>
    </w:p>
    <w:p>
      <w:pPr>
        <w:numPr>
          <w:numId w:val="7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a breach of a duty caused injury, damage or loss to the plaintiff or claimant,</w:t>
      </w:r>
    </w:p>
    <w:p>
      <w:pPr>
        <w:numPr>
          <w:numId w:val="7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burden of proving that the running of time has been postponed under subsections (3) and (4) is on the person claiming the benefit of the postponement.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also contemplated "extinguishment" of any cause of action in respect of which the appropriate limitation period had expired. Section 9 of the Act provided: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Cause of action extinguished</w:t>
      </w:r>
    </w:p>
    <w:p>
      <w:pPr>
        <w:spacing w:before="120"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(1) On the expiration of a limitation period set by this Act for a cause of action to recover any debt, damages or other money, or for an accounting in respect of any matter, the right and title of the person formerly having the cause of action and of a person claiming through the person in respect of that matter is, as against the person against whom the cause of action formerly lay and as against the person's successors, extinguished.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The parties agree that an application for summary judgment pursuant to Rule 9-6 can only succeed if there is no genuine issue for trial and the court cannot weigh evidence, assess credibility or draw inferences against the party defending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The Supreme Court of Canada in </w:t>
      </w:r>
      <w:r>
        <w:rPr>
          <w:rFonts w:ascii="arial" w:eastAsia="arial" w:hAnsi="arial" w:cs="arial"/>
          <w:i/>
          <w:color w:val="000000"/>
          <w:sz w:val="20"/>
          <w:lang w:val="en-US" w:eastAsia="en-US" w:bidi="ar-SA"/>
        </w:rPr>
        <w:t>Hryniak v. Mauldin</w:t>
      </w:r>
      <w:r>
        <w:rPr>
          <w:rFonts w:ascii="arial" w:eastAsia="arial" w:hAnsi="arial" w:cs="arial"/>
          <w:color w:val="000000"/>
          <w:sz w:val="20"/>
          <w:lang w:val="en-US" w:eastAsia="en-US" w:bidi="ar-SA"/>
        </w:rPr>
        <w:t xml:space="preserve">, </w:t>
      </w:r>
      <w:hyperlink r:id="rId1057" w:history="1">
        <w:r>
          <w:rPr>
            <w:rFonts w:ascii="arial" w:eastAsia="arial" w:hAnsi="arial" w:cs="arial"/>
            <w:i/>
            <w:color w:val="0077CC"/>
            <w:sz w:val="20"/>
            <w:u w:val="single"/>
            <w:shd w:val="clear" w:color="auto" w:fill="FFFFFF"/>
            <w:lang w:val="en-US" w:eastAsia="en-US" w:bidi="ar-SA"/>
          </w:rPr>
          <w:t>2014 SCC 7</w:t>
        </w:r>
      </w:hyperlink>
      <w:r>
        <w:rPr>
          <w:rFonts w:ascii="arial" w:eastAsia="arial" w:hAnsi="arial" w:cs="arial"/>
          <w:color w:val="000000"/>
          <w:sz w:val="20"/>
          <w:lang w:val="en-US" w:eastAsia="en-US" w:bidi="ar-SA"/>
        </w:rPr>
        <w:t>, urged superior courts to interpret summary judgment rules more broadly to better promote access to affordable, timely and just adjudication of claims. That ruling was made in the context of the Ontario Rules of Civil Procedure which had been amended in 2010.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Ms. Lee correctly submits that British Columbia has for many years been unique in providing for a summary trial application process under Rule 9-7 and its predecessor, which was expressly designed to accomplish these goals. As a result, she submits, Rule 9-6 must still be narrowly applied and judgment granted only when it is "plain and obvious" no genuine issue for trial exists.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xml:space="preserve">  Ms. Lee points to cases such as </w:t>
      </w:r>
      <w:r>
        <w:rPr>
          <w:rFonts w:ascii="arial" w:eastAsia="arial" w:hAnsi="arial" w:cs="arial"/>
          <w:i/>
          <w:color w:val="000000"/>
          <w:sz w:val="20"/>
          <w:lang w:val="en-US" w:eastAsia="en-US" w:bidi="ar-SA"/>
        </w:rPr>
        <w:t>Haghdust v. British Columbia Lottery Corporation</w:t>
      </w:r>
      <w:r>
        <w:rPr>
          <w:rFonts w:ascii="arial" w:eastAsia="arial" w:hAnsi="arial" w:cs="arial"/>
          <w:color w:val="000000"/>
          <w:sz w:val="20"/>
          <w:lang w:val="en-US" w:eastAsia="en-US" w:bidi="ar-SA"/>
        </w:rPr>
        <w:t xml:space="preserve">, </w:t>
      </w:r>
      <w:hyperlink r:id="rId79" w:history="1">
        <w:r>
          <w:rPr>
            <w:rFonts w:ascii="arial" w:eastAsia="arial" w:hAnsi="arial" w:cs="arial"/>
            <w:i/>
            <w:color w:val="0077CC"/>
            <w:sz w:val="20"/>
            <w:u w:val="single"/>
            <w:shd w:val="clear" w:color="auto" w:fill="FFFFFF"/>
            <w:lang w:val="en-US" w:eastAsia="en-US" w:bidi="ar-SA"/>
          </w:rPr>
          <w:t>2011 BCSC 1627</w:t>
        </w:r>
      </w:hyperlink>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Weldon v. Teck Metals Ltd.</w:t>
      </w:r>
      <w:r>
        <w:rPr>
          <w:rFonts w:ascii="arial" w:eastAsia="arial" w:hAnsi="arial" w:cs="arial"/>
          <w:color w:val="000000"/>
          <w:sz w:val="20"/>
          <w:lang w:val="en-US" w:eastAsia="en-US" w:bidi="ar-SA"/>
        </w:rPr>
        <w:t xml:space="preserve">, </w:t>
      </w:r>
      <w:hyperlink r:id="rId73" w:history="1">
        <w:r>
          <w:rPr>
            <w:rFonts w:ascii="arial" w:eastAsia="arial" w:hAnsi="arial" w:cs="arial"/>
            <w:i/>
            <w:color w:val="0077CC"/>
            <w:sz w:val="20"/>
            <w:u w:val="single"/>
            <w:shd w:val="clear" w:color="auto" w:fill="FFFFFF"/>
            <w:lang w:val="en-US" w:eastAsia="en-US" w:bidi="ar-SA"/>
          </w:rPr>
          <w:t>2012 BCSC 1386</w:t>
        </w:r>
      </w:hyperlink>
      <w:r>
        <w:rPr>
          <w:rFonts w:ascii="arial" w:eastAsia="arial" w:hAnsi="arial" w:cs="arial"/>
          <w:color w:val="000000"/>
          <w:sz w:val="20"/>
          <w:lang w:val="en-US" w:eastAsia="en-US" w:bidi="ar-SA"/>
        </w:rPr>
        <w:t>, as authority for the proposition that expanding the scope of what may be decided under Rule 9-6 would create confusion; it would blur the distinction between summary judgment and summary trial applications and would serve no useful purpose.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 generally agree with these observations, however in my opinion, the court may still dismiss all or some of a plaintiff's claims on a summary judgment application, provided it is clear, whether as a matter of law or otherwise, that they cannot succeed and that such a disposition is fair and just to both parties. An example is </w:t>
      </w:r>
      <w:r>
        <w:rPr>
          <w:rFonts w:ascii="arial" w:eastAsia="arial" w:hAnsi="arial" w:cs="arial"/>
          <w:i/>
          <w:color w:val="000000"/>
          <w:sz w:val="20"/>
          <w:lang w:val="en-US" w:eastAsia="en-US" w:bidi="ar-SA"/>
        </w:rPr>
        <w:t>Andersen v. Howes</w:t>
      </w:r>
      <w:r>
        <w:rPr>
          <w:rFonts w:ascii="arial" w:eastAsia="arial" w:hAnsi="arial" w:cs="arial"/>
          <w:color w:val="000000"/>
          <w:sz w:val="20"/>
          <w:lang w:val="en-US" w:eastAsia="en-US" w:bidi="ar-SA"/>
        </w:rPr>
        <w:t xml:space="preserve">, </w:t>
      </w:r>
      <w:hyperlink r:id="rId1058" w:history="1">
        <w:r>
          <w:rPr>
            <w:rFonts w:ascii="arial" w:eastAsia="arial" w:hAnsi="arial" w:cs="arial"/>
            <w:i/>
            <w:color w:val="0077CC"/>
            <w:sz w:val="20"/>
            <w:u w:val="single"/>
            <w:shd w:val="clear" w:color="auto" w:fill="FFFFFF"/>
            <w:lang w:val="en-US" w:eastAsia="en-US" w:bidi="ar-SA"/>
          </w:rPr>
          <w:t>2012 BCSC 1229</w:t>
        </w:r>
      </w:hyperlink>
      <w:r>
        <w:rPr>
          <w:rFonts w:ascii="arial" w:eastAsia="arial" w:hAnsi="arial" w:cs="arial"/>
          <w:color w:val="000000"/>
          <w:sz w:val="20"/>
          <w:lang w:val="en-US" w:eastAsia="en-US" w:bidi="ar-SA"/>
        </w:rPr>
        <w:t xml:space="preserve">. In that case, the parties provided no viable argument that the postponement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applied to the plaintiff's otherwise expired claim and hence the claim was summarily dismissed on the basis that there was no genuine issue for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The applicants submit:</w:t>
      </w:r>
      <w:r>
        <w:rPr>
          <w:rFonts w:ascii="arial" w:eastAsia="arial" w:hAnsi="arial" w:cs="arial"/>
          <w:sz w:val="20"/>
          <w:lang w:val="en-US" w:eastAsia="en-US" w:bidi="ar-SA"/>
        </w:rPr>
        <w:cr/>
      </w:r>
    </w:p>
    <w:p>
      <w:pPr>
        <w:numPr>
          <w:numId w:val="8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six-year limitation period applicable to any cause of action against Mr. Jang has clearly expired and, by virtue of s. 9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Ms. Lee's rights of recovery against Mr. Jang have been extinguished;</w:t>
      </w:r>
    </w:p>
    <w:p>
      <w:pPr>
        <w:numPr>
          <w:numId w:val="8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 matter of law, the extinguishment of any liability on Mr. Jang's part necessarily results in extinguishment of any liability on the part of those who might otherwise be jointly liable to Ms. Lee as a true jointfeasor;</w:t>
      </w:r>
    </w:p>
    <w:p>
      <w:pPr>
        <w:numPr>
          <w:numId w:val="8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thus Ms. Lee's right to any claim for vicarious liability or accessory liability based on Mr. Jang's misconduct and/or the applicants' alleged "participation" in same is also extinguished; and</w:t>
      </w:r>
    </w:p>
    <w:p>
      <w:pPr>
        <w:numPr>
          <w:numId w:val="8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limitation periods applicable to any other "direct liability" claims against the applicants have expired and are not subject to the postponement provisions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hence any right Ms. Lee had to make such claims has also been extinguished. Ms. Lee's entire claim is properly subject to summary dismissal.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Ms. Lee's position is as follows:</w:t>
      </w:r>
      <w:r>
        <w:rPr>
          <w:rFonts w:ascii="arial" w:eastAsia="arial" w:hAnsi="arial" w:cs="arial"/>
          <w:sz w:val="20"/>
          <w:lang w:val="en-US" w:eastAsia="en-US" w:bidi="ar-SA"/>
        </w:rPr>
        <w:cr/>
      </w:r>
    </w:p>
    <w:p>
      <w:pPr>
        <w:numPr>
          <w:numId w:val="8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principal cause of action now advanced against Transamerica and Wong &amp; Associates is their participation in a fraudulent scheme, a form of "accessory liability" imposed upon a party by reason of its participation in another's wrongdoing;</w:t>
      </w:r>
    </w:p>
    <w:p>
      <w:pPr>
        <w:numPr>
          <w:numId w:val="8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contrary to the applicants' submissions, the extinguishment of a cause of action against one particular tortfeasor does not necessarily extinguish the liability of other joint tortfeasors;</w:t>
      </w:r>
    </w:p>
    <w:p>
      <w:pPr>
        <w:numPr>
          <w:numId w:val="8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rather, limitation periods may start to run at different times in respect of claims against different defendants and postponement may apply to and be invoked by one defendant even if it might not be available to another;</w:t>
      </w:r>
    </w:p>
    <w:p>
      <w:pPr>
        <w:numPr>
          <w:numId w:val="8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Ms. Lee and her lawyer were completely unaware of any information suggesting Transamerica/Wong &amp; Associates had participated or were complicit in Mr. Jang's misconduct, and thus the limitation period applicable to their cause of action in that regard was postponed until well after the litigation was issued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 limitation defence has no merit); and</w:t>
      </w:r>
    </w:p>
    <w:p>
      <w:pPr>
        <w:numPr>
          <w:numId w:val="8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very least, the evidence of the plaintiff and her lawyer on this application clearly raises a genuine issue for trial as to whether, on the facts of this case, the limitation period was postponed and thus summary dismissal is not properly available at this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In my view, the most sensible approach to this application is to separately assess the limitation periods against Mr. Jang, Transamerica, and Wong &amp; Associates. After all, if the limitation period against Mr. Jang had not in fact expired before December 31, 2014, then the defendants' application necessarily fails.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Jang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At the time this application was heard, Ms. Lee had applied for default judgment against Mr. Jang. However, in the course of the hearing, Ms. Lee learned that the application for default judgment had been rejected by the registry for lack of proper service upon him of the Amended Notice of Civil Claim (he had only been served with the original unamended Notice of Civil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The court then raised with the parties a question which they did not appear to have considered, namely, whether a default judgment against Mr. Jang necessarily resulted in vicarious liability (both strict and joint) on the part of the defendants by virtue of the "agency" relationship that existed between the parties. Transamerica and Wong &amp; Associates then immediately applied for an order to forestall the taking of any default judgment, at least pending the outcome of the present application. Lest there be an unseemly race to serve Mr. Jang with the Amended Notice of Civil Claim and to secure a default judgment before these reasons for judgment were released, I issued an interim order that no default judgment should be issued.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While Ms. Lee and Mr. Korn have been coy in their carefully crafted affidavits filed in this application, the evidence establishes beyond any doubt that both knew full well by mid-December 2008 that Ms. Lee had been subjected to deceit and fraud by Mr. Jang and Ms. Pham and that Ms. Lee had lost a very considerable sum of money as a consequence.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While Ms. Lee swears in her affidavit that she was preoccupied with nursing her husband in his final illness she does not actually say she was unable to bring an action against Mr. Jang. She knew she had lost money as a result of "bad advice" received from Mr. Jang. She had cancelled the UL policies after paying significant premiums. On Mr. Jang's recommendation, she invested $270,000 with Ms. Pham, an investment which she knew had not been repaid when due. She received advice and assistance from her son, her sister, an unidentified insurance broker, and a lawyer. The lawyer told her Mr. Jang had engaged in "improper selling practices" and "trickery" and she then retained him to try and get her money back and to "recover her losses".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At common law, a cause of action accrues when all the elements of an actionable wrong exist. A cause of action for breach of contract is traditionally considered to accrue on the date of breach. In tort, such accrual generally occurs on the date the plaintiff sustains loss or damage as a result of the defendant's tortious 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Limitation periods applicable to the filing of lawsuits following accrual of a cause of action were unknown to common law although equity developed the doctrine of "laches" as a possible defence to an equitable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xml:space="preserve">  The law of limitations is wholly a creature of statute. Each common law province and territory has promulgated a statute of limitations governing causes of action to which the statute applies. In the present case, it is the repealed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referred to above which governs and the parties have agreed that the relevant limitation period applicable to the plaintiff is six years starting on the date on which her various causes of action accrued and on which her right to sue arose.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The Act used the device of "postponement" of the running of time to incorporate a concept of "discoverability" into the statute. Section 3 of the Act effectively set out four limitation periods applicable to enumerated classes of action. For certain designated actions, s. 6(4) of the Act provided for "postponement". It requires consideration of whether the facts known to the plaintiff or within her means of knowledge were such that, after taking appropriate legal advice, any reasonable person would understand he/she had a potential lawsuit with a reasonable prospect of success and one which ought to be brought having regard to his/her interests and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xml:space="preserve">  At common law, Ms. Lee's causes of action against Mr. Jang for any breach of contract on his part accrued on the date of his breaches, </w:t>
      </w:r>
      <w:r>
        <w:rPr>
          <w:rFonts w:ascii="arial" w:eastAsia="arial" w:hAnsi="arial" w:cs="arial"/>
          <w:i/>
          <w:color w:val="000000"/>
          <w:sz w:val="20"/>
          <w:lang w:val="en-US" w:eastAsia="en-US" w:bidi="ar-SA"/>
        </w:rPr>
        <w:t>i.e.</w:t>
      </w:r>
      <w:r>
        <w:rPr>
          <w:rFonts w:ascii="arial" w:eastAsia="arial" w:hAnsi="arial" w:cs="arial"/>
          <w:color w:val="000000"/>
          <w:sz w:val="20"/>
          <w:lang w:val="en-US" w:eastAsia="en-US" w:bidi="ar-SA"/>
        </w:rPr>
        <w:t xml:space="preserve"> the date of his misconduct. Any causes of action against him in tort were perfected on the date she sustained financial loss as a result of his misconduct. Subject to any postponement that might be available, the six-year limitation period applicable to those causes of action was triggered on those dates.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Any issue of postponement arising out of ignorance or personal circumstances on Ms. Lee's part can be determined with reference to her retainer of counsel. Certainly by that date, December 8 or 9, 2008 at the latest, Ms. Lee knew of or had been informed of Mr. Jang's misconduct and was obviously aware that she had suffered financial loss as a consequence. The very purpose of retaining the lawyer was to seek redress on her behalf. Even if any limitation period for suing Mr. Jang had been subject to earlier postponement, the running of time for any six-year limitation was certainly triggered at the time counsel was retained to attempt recovery.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On a summary dismissal application of this sort, Ms. Lee must provide at least some evidence that might raise postponement of the limitation date regarding Mr. Jang beyond December 31, 2014 as a genuine issue for trial. She has failed to do so. I conclude the limitation period for issuing suit against Mr. Jang had expired before December 31, 2014 and hence that whatever rights she may have had in any cause of action against Mr. Jang were extinguished before the present lawsuit was issued.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Transamerica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Having found that Ms. Lee's cause of action and right to recover damages from Mr. Jang was extinguished before the present litigation was instituted, the question arises what impact such extinguishment might have on the causes of action alleged to exist against Transamerica and Wong &amp; Associates. It is here that the concepts of "true" joint tortfeasorship and of vicarious as opposed to direct liability come into play. Care must be taken to properly categorize Ms. Lee's claims in that regard.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"Vicarious liability" is a form of liability imposed on one party for the misconduct of another. It is a form of "strict" or "no-fault" liability because it is imposed in the absence of fault of the first person.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At common law, vicarious liability is usually triggered in the context of certain particular relationships; these include employer and employee; agents and principals; and (most often in the context of non-delegable duties), independent contractors and employers.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96</w:t>
      </w:r>
      <w:r>
        <w:rPr>
          <w:rFonts w:ascii="arial" w:eastAsia="arial" w:hAnsi="arial" w:cs="arial"/>
          <w:color w:val="000000"/>
          <w:sz w:val="20"/>
          <w:lang w:val="en-US" w:eastAsia="en-US" w:bidi="ar-SA"/>
        </w:rPr>
        <w:t xml:space="preserve">  In order for vicarious liability to be imposed, a plaintiff must establish that the employee/agent/contractor committed a tort within the course and scope of their employment as such. Particularly, in the case of intentional wrongdoing, the court will usually inquire whether the wrongful act is sufficiently related to conduct authorized by the employer to justify the imposition of vicarious liability: </w:t>
      </w:r>
      <w:r>
        <w:rPr>
          <w:rFonts w:ascii="arial" w:eastAsia="arial" w:hAnsi="arial" w:cs="arial"/>
          <w:i/>
          <w:color w:val="000000"/>
          <w:sz w:val="20"/>
          <w:lang w:val="en-US" w:eastAsia="en-US" w:bidi="ar-SA"/>
        </w:rPr>
        <w:t>Bazley v. Curry</w:t>
      </w:r>
      <w:r>
        <w:rPr>
          <w:rFonts w:ascii="arial" w:eastAsia="arial" w:hAnsi="arial" w:cs="arial"/>
          <w:color w:val="000000"/>
          <w:sz w:val="20"/>
          <w:lang w:val="en-US" w:eastAsia="en-US" w:bidi="ar-SA"/>
        </w:rPr>
        <w:t xml:space="preserve">, </w:t>
      </w:r>
      <w:hyperlink r:id="rId21" w:history="1">
        <w:r>
          <w:rPr>
            <w:rFonts w:ascii="arial" w:eastAsia="arial" w:hAnsi="arial" w:cs="arial"/>
            <w:i/>
            <w:color w:val="0077CC"/>
            <w:sz w:val="20"/>
            <w:u w:val="single"/>
            <w:shd w:val="clear" w:color="auto" w:fill="FFFFFF"/>
            <w:lang w:val="en-US" w:eastAsia="en-US" w:bidi="ar-SA"/>
          </w:rPr>
          <w:t>[1999] 2 S.C.R. 534</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97</w:t>
      </w:r>
      <w:r>
        <w:rPr>
          <w:rFonts w:ascii="arial" w:eastAsia="arial" w:hAnsi="arial" w:cs="arial"/>
          <w:color w:val="000000"/>
          <w:sz w:val="20"/>
          <w:lang w:val="en-US" w:eastAsia="en-US" w:bidi="ar-SA"/>
        </w:rPr>
        <w:t>  Employers who are found vicariously liable are considered to be joint tortfeasors along with the wrongdoer and both are jointly liable for the loss or damage caused to the plaintiff. Such joint liability triggers various procedural consequences at common law. One consequence is that the plaintiff was deemed to have but one cause of action against joint tortfeasors which merged in the first judgment he might recover. Such judgment extinguished any cause of action against any other joint tortfeasor responsible for the tort and no recovery could be made against the latter. To much the same effect, a release of one joint tortfeasor also resulted in the release of all other joint tortfeasors.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generally Klar, </w:t>
      </w:r>
      <w:r>
        <w:rPr>
          <w:rFonts w:ascii="arial" w:eastAsia="arial" w:hAnsi="arial" w:cs="arial"/>
          <w:i/>
          <w:color w:val="000000"/>
          <w:sz w:val="20"/>
          <w:lang w:val="en-US" w:eastAsia="en-US" w:bidi="ar-SA"/>
        </w:rPr>
        <w:t>Remedies in Tort</w:t>
      </w:r>
      <w:r>
        <w:rPr>
          <w:rFonts w:ascii="arial" w:eastAsia="arial" w:hAnsi="arial" w:cs="arial"/>
          <w:color w:val="000000"/>
          <w:sz w:val="20"/>
          <w:lang w:val="en-US" w:eastAsia="en-US" w:bidi="ar-SA"/>
        </w:rPr>
        <w:t xml:space="preserve">, looseleaf (Toronto: Carswell, 1987), ch. 26 at II,III and the discussion in </w:t>
      </w:r>
      <w:r>
        <w:rPr>
          <w:rFonts w:ascii="arial" w:eastAsia="arial" w:hAnsi="arial" w:cs="arial"/>
          <w:i/>
          <w:color w:val="000000"/>
          <w:sz w:val="20"/>
          <w:lang w:val="en-US" w:eastAsia="en-US" w:bidi="ar-SA"/>
        </w:rPr>
        <w:t>Horvath v. Thring</w:t>
      </w:r>
      <w:r>
        <w:rPr>
          <w:rFonts w:ascii="arial" w:eastAsia="arial" w:hAnsi="arial" w:cs="arial"/>
          <w:color w:val="000000"/>
          <w:sz w:val="20"/>
          <w:lang w:val="en-US" w:eastAsia="en-US" w:bidi="ar-SA"/>
        </w:rPr>
        <w:t xml:space="preserve">, </w:t>
      </w:r>
      <w:hyperlink r:id="rId1059" w:history="1">
        <w:r>
          <w:rPr>
            <w:rFonts w:ascii="arial" w:eastAsia="arial" w:hAnsi="arial" w:cs="arial"/>
            <w:i/>
            <w:color w:val="0077CC"/>
            <w:sz w:val="20"/>
            <w:u w:val="single"/>
            <w:shd w:val="clear" w:color="auto" w:fill="FFFFFF"/>
            <w:lang w:val="en-US" w:eastAsia="en-US" w:bidi="ar-SA"/>
          </w:rPr>
          <w:t>2003 BCSC 1656</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98</w:t>
      </w:r>
      <w:r>
        <w:rPr>
          <w:rFonts w:ascii="arial" w:eastAsia="arial" w:hAnsi="arial" w:cs="arial"/>
          <w:color w:val="000000"/>
          <w:sz w:val="20"/>
          <w:lang w:val="en-US" w:eastAsia="en-US" w:bidi="ar-SA"/>
        </w:rPr>
        <w:t>  Ms. Lee's lawsuit alleges that Mr. Jang was an agent of Transamerica and that the latter is vicariously liable for the wrongdoing of the former. The same allegations were made in the Wongs' litigation. While Ms. Lee may not herself have understood the concept of vicarious liability, her lawyer certainly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99</w:t>
      </w:r>
      <w:r>
        <w:rPr>
          <w:rFonts w:ascii="arial" w:eastAsia="arial" w:hAnsi="arial" w:cs="arial"/>
          <w:color w:val="000000"/>
          <w:sz w:val="20"/>
          <w:lang w:val="en-US" w:eastAsia="en-US" w:bidi="ar-SA"/>
        </w:rPr>
        <w:t>  The cause of action for direct liability on Mr. Jang's part and vicarious liability for Mr. Jang's misconduct both matured at the same time and both were subject to the same six-year limitation period which started at the same time. As with limitation date regarding Mr. Jang, Ms. Lee must (and/or Mr. Korn on her behalf) provide at least some evidence that might raise postponement of the limitation date for any Transamerica vicarious liability claim beyond December 31, 2014 as a genuine issue for trial. Neither has done so and again I am obliged to conclude the limitation period for issuing suit against Transamerica for vicarious liability for Mr. Jang's misconduct had also expired before December 31, 2014 and that the present claim for vicarious liability is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100</w:t>
      </w:r>
      <w:r>
        <w:rPr>
          <w:rFonts w:ascii="arial" w:eastAsia="arial" w:hAnsi="arial" w:cs="arial"/>
          <w:color w:val="000000"/>
          <w:sz w:val="20"/>
          <w:lang w:val="en-US" w:eastAsia="en-US" w:bidi="ar-SA"/>
        </w:rPr>
        <w:t>  However, the causes of action asserting "direct" liability on Transamerica's part for its own alleged wrongdoing remain to be considered. The Amended Notice of Civil Claim asserts liability and seeks remedies based on Transamerica's "fraudulent and deceptive or, in the alternative, negligent conduct". The first is the claim that Transamerica was a "participant" in Mr. Jang's fraudulent scheme by virtue of its knowledge of or wilful blindness to same. The second is the alleged negligent failure to supervise Mr. Jang and to stop his wrongful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101</w:t>
      </w:r>
      <w:r>
        <w:rPr>
          <w:rFonts w:ascii="arial" w:eastAsia="arial" w:hAnsi="arial" w:cs="arial"/>
          <w:color w:val="000000"/>
          <w:sz w:val="20"/>
          <w:lang w:val="en-US" w:eastAsia="en-US" w:bidi="ar-SA"/>
        </w:rPr>
        <w:t xml:space="preserve">  The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premised upon the existence of a duty of care which, in my opinion, is a rather doubtful proposition as a matter of law. However, it is a claim which is, in any event, statute barred.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102</w:t>
      </w:r>
      <w:r>
        <w:rPr>
          <w:rFonts w:ascii="arial" w:eastAsia="arial" w:hAnsi="arial" w:cs="arial"/>
          <w:color w:val="000000"/>
          <w:sz w:val="20"/>
          <w:lang w:val="en-US" w:eastAsia="en-US" w:bidi="ar-SA"/>
        </w:rPr>
        <w:t xml:space="preserve">  As indicated above, in </w:t>
      </w:r>
      <w:r>
        <w:rPr>
          <w:rFonts w:ascii="arial" w:eastAsia="arial" w:hAnsi="arial" w:cs="arial"/>
          <w:i/>
          <w:color w:val="000000"/>
          <w:sz w:val="20"/>
          <w:lang w:val="en-US" w:eastAsia="en-US" w:bidi="ar-SA"/>
        </w:rPr>
        <w:t>Wong v. Transamerica Life Canada</w:t>
      </w:r>
      <w:r>
        <w:rPr>
          <w:rFonts w:ascii="arial" w:eastAsia="arial" w:hAnsi="arial" w:cs="arial"/>
          <w:color w:val="000000"/>
          <w:sz w:val="20"/>
          <w:lang w:val="en-US" w:eastAsia="en-US" w:bidi="ar-SA"/>
        </w:rPr>
        <w:t xml:space="preserve">, </w:t>
      </w:r>
      <w:hyperlink r:id="rId1055" w:history="1">
        <w:r>
          <w:rPr>
            <w:rFonts w:ascii="arial" w:eastAsia="arial" w:hAnsi="arial" w:cs="arial"/>
            <w:i/>
            <w:color w:val="0077CC"/>
            <w:sz w:val="20"/>
            <w:u w:val="single"/>
            <w:shd w:val="clear" w:color="auto" w:fill="FFFFFF"/>
            <w:lang w:val="en-US" w:eastAsia="en-US" w:bidi="ar-SA"/>
          </w:rPr>
          <w:t>2014 BCSC 139</w:t>
        </w:r>
      </w:hyperlink>
      <w:r>
        <w:rPr>
          <w:rFonts w:ascii="arial" w:eastAsia="arial" w:hAnsi="arial" w:cs="arial"/>
          <w:color w:val="000000"/>
          <w:sz w:val="20"/>
          <w:lang w:val="en-US" w:eastAsia="en-US" w:bidi="ar-SA"/>
        </w:rPr>
        <w:t>, Cohen J. held that:</w:t>
      </w:r>
      <w:r>
        <w:rPr>
          <w:rFonts w:ascii="arial" w:eastAsia="arial" w:hAnsi="arial" w:cs="arial"/>
          <w:sz w:val="20"/>
          <w:lang w:val="en-US" w:eastAsia="en-US" w:bidi="ar-SA"/>
        </w:rPr>
        <w:cr/>
      </w:r>
    </w:p>
    <w:p>
      <w:pPr>
        <w:numPr>
          <w:numId w:val="8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"negligent failure to supervise claim" is a separate, stand-alone cause of action;</w:t>
      </w:r>
    </w:p>
    <w:p>
      <w:pPr>
        <w:numPr>
          <w:numId w:val="9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limitation period for bringing any such claim started no later than Mr. Jang's termination as a Transamerica agent on June 1, 2006 (the time when his relationship with Transamerica was terminated);</w:t>
      </w:r>
    </w:p>
    <w:p>
      <w:pPr>
        <w:numPr>
          <w:numId w:val="9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 was not an action grounded in the provision of professional services by Transamerica to the plaintiffs and hence the limitation period was not capable of postponement under s. 6(3)(c)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9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nor did the action fit any of the other postponement categories identified in s. 6(3)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103</w:t>
      </w:r>
      <w:r>
        <w:rPr>
          <w:rFonts w:ascii="arial" w:eastAsia="arial" w:hAnsi="arial" w:cs="arial"/>
          <w:color w:val="000000"/>
          <w:sz w:val="20"/>
          <w:lang w:val="en-US" w:eastAsia="en-US" w:bidi="ar-SA"/>
        </w:rPr>
        <w:t xml:space="preserve">  I agree with Cohen J.'s reasoning and conclusions and find that they apply equally to the present case. The limitation period for any cause of action in tort commenced on the date Ms. Lee suffered damage as a result of the alleged tortious conduct. It is not an action grounded in the provision of professional services by Transamerica to Ms. Lee and hence the limitation period was not capable of postponement under s. 6(3)(c)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On the undisputed facts and as a matter of law, the negligent supervision claim (or indeed any other claim based on alleged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Transamerica) is statute barred and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104</w:t>
      </w:r>
      <w:r>
        <w:rPr>
          <w:rFonts w:ascii="arial" w:eastAsia="arial" w:hAnsi="arial" w:cs="arial"/>
          <w:color w:val="000000"/>
          <w:sz w:val="20"/>
          <w:lang w:val="en-US" w:eastAsia="en-US" w:bidi="ar-SA"/>
        </w:rPr>
        <w:t xml:space="preserve">  That leaves the claim for direct liability on the part of Transamerica for their alleged "fraudulent and deceptive conduct" and in particular, their "knowledge of or wilful blindness to" Mr. Jang's fraudulent conduct. Ms. Lee claims that, as a result, Transamerica is a "participant" in that conduct giving rise to accessory liability as a joint tortfeasor. Unlike 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this so-called "accessory liability" claim is one based on "fraud or deceit" by or attributable to Transamerica and hence is capable of qualifying for postponement pursuant to s. 6(3)(d)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should the necessary facts supporting such postponement exist.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105</w:t>
      </w:r>
      <w:r>
        <w:rPr>
          <w:rFonts w:ascii="arial" w:eastAsia="arial" w:hAnsi="arial" w:cs="arial"/>
          <w:color w:val="000000"/>
          <w:sz w:val="20"/>
          <w:lang w:val="en-US" w:eastAsia="en-US" w:bidi="ar-SA"/>
        </w:rPr>
        <w:t>  In her affidavit, Ms. Lee swears that as of 2007 "she did not yet think that there was anything improper in the way Transamerica and its representatives had dealt with [her]". She does not say on what date she changed that opinion. Paragraphs 20 and 21 of Mr. Korn's affidavit present his sworn testimony that he had no knowledge of facts suggesting misconduct on the part of Transamerica/Wong &amp; Associates or that they were in any way complicit in Mr. Jang's misconduct. Except for the applicant's arguments based on the law of joint liability (addressed below), this testimony clearly raises a genuine issue for trial insofar as postponement of the Transamerica limitation period beyond December 31, 2014 is concerned.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106</w:t>
      </w:r>
      <w:r>
        <w:rPr>
          <w:rFonts w:ascii="arial" w:eastAsia="arial" w:hAnsi="arial" w:cs="arial"/>
          <w:color w:val="000000"/>
          <w:sz w:val="20"/>
          <w:lang w:val="en-US" w:eastAsia="en-US" w:bidi="ar-SA"/>
        </w:rPr>
        <w:t>  The remaining question, then, is whether the extinguishment of a cause of action against Mr. Jang necessarily extinguishes the liability of other joint tortfeasors (Transamerica/Wong &amp; Associates) at the same time. Put another way, the issue is whether the postponement of a limitation for a cause of action against "true" joint tortfeasors can be invoked by one of those tortfeasors even if it might not be available to another.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107</w:t>
      </w:r>
      <w:r>
        <w:rPr>
          <w:rFonts w:ascii="arial" w:eastAsia="arial" w:hAnsi="arial" w:cs="arial"/>
          <w:color w:val="000000"/>
          <w:sz w:val="20"/>
          <w:lang w:val="en-US" w:eastAsia="en-US" w:bidi="ar-SA"/>
        </w:rPr>
        <w:t>  These questions are discrete issues of law which are capable of being determined on a summary judgment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108</w:t>
      </w:r>
      <w:r>
        <w:rPr>
          <w:rFonts w:ascii="arial" w:eastAsia="arial" w:hAnsi="arial" w:cs="arial"/>
          <w:color w:val="000000"/>
          <w:sz w:val="20"/>
          <w:lang w:val="en-US" w:eastAsia="en-US" w:bidi="ar-SA"/>
        </w:rPr>
        <w:t>  The applicants stress that only one indivisible cause of action exists against joint tortfeasors. They cite the common law rule that the entry of judgment against or the execution of a release by any one of them extinguishes claims against all joint tortfeasors. They cite no authority which has expressly held that this extinguishment concept can be applied to limitation periods where the identity and involvement of one or more of the joint tortfeasors was unknown on the part of the plaintiff until much later. This, I am told, is a case of first impression on that point.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109</w:t>
      </w:r>
      <w:r>
        <w:rPr>
          <w:rFonts w:ascii="arial" w:eastAsia="arial" w:hAnsi="arial" w:cs="arial"/>
          <w:color w:val="000000"/>
          <w:sz w:val="20"/>
          <w:lang w:val="en-US" w:eastAsia="en-US" w:bidi="ar-SA"/>
        </w:rPr>
        <w:t xml:space="preserve">  Ms. Lee points out that these common law rules have been described by various observers as "pernicious", "nefarious", "preposterous", and "highly technical and unjustified": see </w:t>
      </w:r>
      <w:r>
        <w:rPr>
          <w:rFonts w:ascii="arial" w:eastAsia="arial" w:hAnsi="arial" w:cs="arial"/>
          <w:i/>
          <w:color w:val="000000"/>
          <w:sz w:val="20"/>
          <w:lang w:val="en-US" w:eastAsia="en-US" w:bidi="ar-SA"/>
        </w:rPr>
        <w:t>MacArthur v. Bransfield</w:t>
      </w:r>
      <w:r>
        <w:rPr>
          <w:rFonts w:ascii="arial" w:eastAsia="arial" w:hAnsi="arial" w:cs="arial"/>
          <w:color w:val="000000"/>
          <w:sz w:val="20"/>
          <w:lang w:val="en-US" w:eastAsia="en-US" w:bidi="ar-SA"/>
        </w:rPr>
        <w:t xml:space="preserve">, </w:t>
      </w:r>
      <w:hyperlink r:id="rId1060" w:history="1">
        <w:r>
          <w:rPr>
            <w:rFonts w:ascii="arial" w:eastAsia="arial" w:hAnsi="arial" w:cs="arial"/>
            <w:i/>
            <w:color w:val="0077CC"/>
            <w:sz w:val="20"/>
            <w:u w:val="single"/>
            <w:shd w:val="clear" w:color="auto" w:fill="FFFFFF"/>
            <w:lang w:val="en-US" w:eastAsia="en-US" w:bidi="ar-SA"/>
          </w:rPr>
          <w:t>2003 NBCA 71</w:t>
        </w:r>
      </w:hyperlink>
      <w:r>
        <w:rPr>
          <w:rFonts w:ascii="arial" w:eastAsia="arial" w:hAnsi="arial" w:cs="arial"/>
          <w:color w:val="000000"/>
          <w:sz w:val="20"/>
          <w:lang w:val="en-US" w:eastAsia="en-US" w:bidi="ar-SA"/>
        </w:rPr>
        <w:t xml:space="preserve">. She also points to </w:t>
      </w:r>
      <w:r>
        <w:rPr>
          <w:rFonts w:ascii="arial" w:eastAsia="arial" w:hAnsi="arial" w:cs="arial"/>
          <w:i/>
          <w:color w:val="000000"/>
          <w:sz w:val="20"/>
          <w:lang w:val="en-US" w:eastAsia="en-US" w:bidi="ar-SA"/>
        </w:rPr>
        <w:t>Shoker v. Vollans</w:t>
      </w:r>
      <w:r>
        <w:rPr>
          <w:rFonts w:ascii="arial" w:eastAsia="arial" w:hAnsi="arial" w:cs="arial"/>
          <w:color w:val="000000"/>
          <w:sz w:val="20"/>
          <w:lang w:val="en-US" w:eastAsia="en-US" w:bidi="ar-SA"/>
        </w:rPr>
        <w:t xml:space="preserve"> </w:t>
      </w:r>
      <w:hyperlink r:id="rId1061" w:history="1">
        <w:r>
          <w:rPr>
            <w:rFonts w:ascii="arial" w:eastAsia="arial" w:hAnsi="arial" w:cs="arial"/>
            <w:i/>
            <w:color w:val="0077CC"/>
            <w:sz w:val="20"/>
            <w:u w:val="single"/>
            <w:shd w:val="clear" w:color="auto" w:fill="FFFFFF"/>
            <w:lang w:val="en-US" w:eastAsia="en-US" w:bidi="ar-SA"/>
          </w:rPr>
          <w:t>(1998), 110 B.C.A.C. 225</w:t>
        </w:r>
      </w:hyperlink>
      <w:r>
        <w:rPr>
          <w:rFonts w:ascii="arial" w:eastAsia="arial" w:hAnsi="arial" w:cs="arial"/>
          <w:color w:val="000000"/>
          <w:sz w:val="20"/>
          <w:lang w:val="en-US" w:eastAsia="en-US" w:bidi="ar-SA"/>
        </w:rPr>
        <w:t xml:space="preserve"> (B.C.C.A.), where the common law rule respecting releases in joint liability situations was described as a "trap for the unwary" and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the reason for this rule does not apply, it seems to me that we should not continue blindly to follow it unless there is binding authority i.e., a decision of this court or the Supreme Court of Canada on point that requires us to do so.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110</w:t>
      </w:r>
      <w:r>
        <w:rPr>
          <w:rFonts w:ascii="arial" w:eastAsia="arial" w:hAnsi="arial" w:cs="arial"/>
          <w:color w:val="000000"/>
          <w:sz w:val="20"/>
          <w:lang w:val="en-US" w:eastAsia="en-US" w:bidi="ar-SA"/>
        </w:rPr>
        <w:t xml:space="preserve">  I agree with both these descriptors and the sentiment expressed by the Court of Appeal in </w:t>
      </w:r>
      <w:r>
        <w:rPr>
          <w:rFonts w:ascii="arial" w:eastAsia="arial" w:hAnsi="arial" w:cs="arial"/>
          <w:i/>
          <w:color w:val="000000"/>
          <w:sz w:val="20"/>
          <w:lang w:val="en-US" w:eastAsia="en-US" w:bidi="ar-SA"/>
        </w:rPr>
        <w:t>Shoker</w:t>
      </w:r>
      <w:r>
        <w:rPr>
          <w:rFonts w:ascii="arial" w:eastAsia="arial" w:hAnsi="arial" w:cs="arial"/>
          <w:color w:val="000000"/>
          <w:sz w:val="20"/>
          <w:lang w:val="en-US" w:eastAsia="en-US" w:bidi="ar-SA"/>
        </w:rPr>
        <w:t>. Strict application of the rule invoked by the applicants would work an injustice in many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111</w:t>
      </w:r>
      <w:r>
        <w:rPr>
          <w:rFonts w:ascii="arial" w:eastAsia="arial" w:hAnsi="arial" w:cs="arial"/>
          <w:color w:val="000000"/>
          <w:sz w:val="20"/>
          <w:lang w:val="en-US" w:eastAsia="en-US" w:bidi="ar-SA"/>
        </w:rPr>
        <w:t>  Consider, for example, a situation where the victim of a fraud perpetuated by A decides not to sue because A has absconded and there is no practical prospect of recovery. Unbeknownst to the fraud victim, it turns out that A was assisted in the fraud by B and, indeed, the fruits of the fraud were shared by the two wrongdoers in some fashion. Should the extinguishment of a cause of action against A prevent the victim from suing B once she learns of his involvement? I venture to suggest that in the view of most fair-minded observers, the unavailability of redress in such circumstances would be anathema.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112</w:t>
      </w:r>
      <w:r>
        <w:rPr>
          <w:rFonts w:ascii="arial" w:eastAsia="arial" w:hAnsi="arial" w:cs="arial"/>
          <w:color w:val="000000"/>
          <w:sz w:val="20"/>
          <w:lang w:val="en-US" w:eastAsia="en-US" w:bidi="ar-SA"/>
        </w:rPr>
        <w:t xml:space="preserve">  As indicated above, statutes of limitations were legislated as alterations to the common law. While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imposed time limits for the bringing of lawsuits, it also imported the concept of "discoverability" to postpone limitation periods when the identity of a potential defendant is unknown to the plaintiff and where the existence of a possible claim against that person was also unknown and was not reasonably capable of being known.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113</w:t>
      </w:r>
      <w:r>
        <w:rPr>
          <w:rFonts w:ascii="arial" w:eastAsia="arial" w:hAnsi="arial" w:cs="arial"/>
          <w:color w:val="000000"/>
          <w:sz w:val="20"/>
          <w:lang w:val="en-US" w:eastAsia="en-US" w:bidi="ar-SA"/>
        </w:rPr>
        <w:t xml:space="preserve">  Hence, as in the </w:t>
      </w:r>
      <w:r>
        <w:rPr>
          <w:rFonts w:ascii="arial" w:eastAsia="arial" w:hAnsi="arial" w:cs="arial"/>
          <w:i/>
          <w:color w:val="000000"/>
          <w:sz w:val="20"/>
          <w:lang w:val="en-US" w:eastAsia="en-US" w:bidi="ar-SA"/>
        </w:rPr>
        <w:t>Shoker</w:t>
      </w:r>
      <w:r>
        <w:rPr>
          <w:rFonts w:ascii="arial" w:eastAsia="arial" w:hAnsi="arial" w:cs="arial"/>
          <w:color w:val="000000"/>
          <w:sz w:val="20"/>
          <w:lang w:val="en-US" w:eastAsia="en-US" w:bidi="ar-SA"/>
        </w:rPr>
        <w:t xml:space="preserve"> case, in the absence of binding authority to the contrary, I am not inclined to blindly apply a technical common law rule to overcome the concept of "discoverability" as the basis for postponing the running of a limitation. This is particularly so where the action is based on alleged fraud or deceit on the part of the defendant who would otherwise escape civil sanction.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114</w:t>
      </w:r>
      <w:r>
        <w:rPr>
          <w:rFonts w:ascii="arial" w:eastAsia="arial" w:hAnsi="arial" w:cs="arial"/>
          <w:color w:val="000000"/>
          <w:sz w:val="20"/>
          <w:lang w:val="en-US" w:eastAsia="en-US" w:bidi="ar-SA"/>
        </w:rPr>
        <w:t xml:space="preserve">  I therefore hold that the extinguishment of the cause of action against Mr. Jang for fraud does not necessarily extinguish the cause of action for accessory liability on the part of Transamerica/Wong &amp; Associates. I also hold that the running of any limitation period applicable to such cause of action is capable of postponement by operation of s. 6(3)(d)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Whether or not that cause of action has been postponed on the facts of this case cannot be properly determined on the evidence adduced in this summary trial application. Rather, for the reasons stated above, Ms. Lee has raised a genuine issue for trial in that regard and the application for summary judgment on this point must be dismissed.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b/>
          <w:color w:val="000000"/>
          <w:sz w:val="20"/>
          <w:lang w:val="en-US" w:eastAsia="en-US" w:bidi="ar-SA"/>
        </w:rPr>
        <w:t>The Wong Limitation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115</w:t>
      </w:r>
      <w:r>
        <w:rPr>
          <w:rFonts w:ascii="arial" w:eastAsia="arial" w:hAnsi="arial" w:cs="arial"/>
          <w:color w:val="000000"/>
          <w:sz w:val="20"/>
          <w:lang w:val="en-US" w:eastAsia="en-US" w:bidi="ar-SA"/>
        </w:rPr>
        <w:t>  The claim against Wong &amp; Associates is essentially identical to the claim against Transamerica. However, their status and the role played by each is different.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116</w:t>
      </w:r>
      <w:r>
        <w:rPr>
          <w:rFonts w:ascii="arial" w:eastAsia="arial" w:hAnsi="arial" w:cs="arial"/>
          <w:color w:val="000000"/>
          <w:sz w:val="20"/>
          <w:lang w:val="en-US" w:eastAsia="en-US" w:bidi="ar-SA"/>
        </w:rPr>
        <w:t>  Ms. Lee alleges that Wong &amp; Associates had contracted with Transamerica and that it had also "contracted in turn with Jang and Trillion". Details of the contract are not pleaded.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117</w:t>
      </w:r>
      <w:r>
        <w:rPr>
          <w:rFonts w:ascii="arial" w:eastAsia="arial" w:hAnsi="arial" w:cs="arial"/>
          <w:color w:val="000000"/>
          <w:sz w:val="20"/>
          <w:lang w:val="en-US" w:eastAsia="en-US" w:bidi="ar-SA"/>
        </w:rPr>
        <w:t>  Importantly, Ms. Lee does not allege that she had any contract with Wong &amp; Associates or that Wong &amp; Associates was providing any professional services to her as a licensed insurance agent.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118</w:t>
      </w:r>
      <w:r>
        <w:rPr>
          <w:rFonts w:ascii="arial" w:eastAsia="arial" w:hAnsi="arial" w:cs="arial"/>
          <w:color w:val="000000"/>
          <w:sz w:val="20"/>
          <w:lang w:val="en-US" w:eastAsia="en-US" w:bidi="ar-SA"/>
        </w:rPr>
        <w:t>  As with Transamerica, Wong &amp; Associates' alleged wrongdoing is its failure to put an end to Mr. Jang's fraudulent scheme. Ms. Lee alleges that Wong &amp; Associates "knew of or was wilfully blind to" that scheme and that it was thus a "participant" in the same. She alleges its conduct was "fraudulent and deceptive or, in the alternative,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119</w:t>
      </w:r>
      <w:r>
        <w:rPr>
          <w:rFonts w:ascii="arial" w:eastAsia="arial" w:hAnsi="arial" w:cs="arial"/>
          <w:color w:val="000000"/>
          <w:sz w:val="20"/>
          <w:lang w:val="en-US" w:eastAsia="en-US" w:bidi="ar-SA"/>
        </w:rPr>
        <w:t>  In addition, as with Transamerica, para. 48 of the Amended Notice of Civil Claim alleges that Wong &amp; Associates is liable directly for failing to supervise Mr. Jang's conduct and also vicariously for the misconduct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120</w:t>
      </w:r>
      <w:r>
        <w:rPr>
          <w:rFonts w:ascii="arial" w:eastAsia="arial" w:hAnsi="arial" w:cs="arial"/>
          <w:color w:val="000000"/>
          <w:sz w:val="20"/>
          <w:lang w:val="en-US" w:eastAsia="en-US" w:bidi="ar-SA"/>
        </w:rPr>
        <w:t>  In her affidavit, Ms. Lee says she was not aware of the dealings between Mr. Jang and Wong &amp; Associates except that the former seemed to occupy space in the latter's offices. In his affidavit, Mr. Korn says before December 31, 2008, he was unaware of any information suggesting misconduct or breach of duty on the part of Wong &amp; Associates. He implies it was only in the summer of 2014 information was obtained suggesting Wong had been complicit in Mr. Jang's misconduct.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121</w:t>
      </w:r>
      <w:r>
        <w:rPr>
          <w:rFonts w:ascii="arial" w:eastAsia="arial" w:hAnsi="arial" w:cs="arial"/>
          <w:color w:val="000000"/>
          <w:sz w:val="20"/>
          <w:lang w:val="en-US" w:eastAsia="en-US" w:bidi="ar-SA"/>
        </w:rPr>
        <w:t xml:space="preserve">  In her Reply, Ms. Lee expressly invokes ss. 6(3)(c) and (d)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as the basis for postponement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122</w:t>
      </w:r>
      <w:r>
        <w:rPr>
          <w:rFonts w:ascii="arial" w:eastAsia="arial" w:hAnsi="arial" w:cs="arial"/>
          <w:color w:val="000000"/>
          <w:sz w:val="20"/>
          <w:lang w:val="en-US" w:eastAsia="en-US" w:bidi="ar-SA"/>
        </w:rPr>
        <w:t xml:space="preser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claims against Wong &amp; Associates are not claims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with Transamerica, I rather doubt that, as a matter of law, Wong &amp; Associates had any duty of care to Ms. Lee sufficient to found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present purposes, however, it suffices to say that since the claims were not for professional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Wong &amp; Associates' part, postponement is not available under s. 6(3)(c)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Further,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was statute barred long before December 31, 2014, and that a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should be summarily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123</w:t>
      </w:r>
      <w:r>
        <w:rPr>
          <w:rFonts w:ascii="arial" w:eastAsia="arial" w:hAnsi="arial" w:cs="arial"/>
          <w:color w:val="000000"/>
          <w:sz w:val="20"/>
          <w:lang w:val="en-US" w:eastAsia="en-US" w:bidi="ar-SA"/>
        </w:rPr>
        <w:t>  The claim for vicarious liability on Wong &amp; Associates' part for the misconduct of Mr. Jang is dismissed for the same reasons such result obtains as against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124</w:t>
      </w:r>
      <w:r>
        <w:rPr>
          <w:rFonts w:ascii="arial" w:eastAsia="arial" w:hAnsi="arial" w:cs="arial"/>
          <w:color w:val="000000"/>
          <w:sz w:val="20"/>
          <w:lang w:val="en-US" w:eastAsia="en-US" w:bidi="ar-SA"/>
        </w:rPr>
        <w:t xml:space="preserve">  The claim for accessory liability due to Mr. Jang's fraudulent conduct is one which clearly falls within s. 6(3)(d)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xml:space="preserve"> and is thus capable of postponement. This claim against Wong &amp; Associates cannot be summarily dismissed for the same reasons that it cannot be dismissed against Transamerica.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THE CLAIMS FOR RESTITUTION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125</w:t>
      </w:r>
      <w:r>
        <w:rPr>
          <w:rFonts w:ascii="arial" w:eastAsia="arial" w:hAnsi="arial" w:cs="arial"/>
          <w:color w:val="000000"/>
          <w:sz w:val="20"/>
          <w:lang w:val="en-US" w:eastAsia="en-US" w:bidi="ar-SA"/>
        </w:rPr>
        <w:t>  Ms. Lee seeks restitution remedies based on "unjust enrichment" and "waiver of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126</w:t>
      </w:r>
      <w:r>
        <w:rPr>
          <w:rFonts w:ascii="arial" w:eastAsia="arial" w:hAnsi="arial" w:cs="arial"/>
          <w:color w:val="000000"/>
          <w:sz w:val="20"/>
          <w:lang w:val="en-US" w:eastAsia="en-US" w:bidi="ar-SA"/>
        </w:rPr>
        <w:t>  Transamerica submits that Mr. Lee received the benefit of very considerable life insurance during the period that the policies were in force and which thus is ample "juristic reason" for the receipt of premium monies from Ms. Lee. Restitution, it says, is not available in such circumstances as a matter of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127</w:t>
      </w:r>
      <w:r>
        <w:rPr>
          <w:rFonts w:ascii="arial" w:eastAsia="arial" w:hAnsi="arial" w:cs="arial"/>
          <w:color w:val="000000"/>
          <w:sz w:val="20"/>
          <w:lang w:val="en-US" w:eastAsia="en-US" w:bidi="ar-SA"/>
        </w:rPr>
        <w:t>  "Waiver of tort" is a restitutionary doctrine that arguably permits a plaintiff to recover the benefits that the defendant has obtained through its wrongdoing, instead of the usual remedy of damages measured by the plaintiff's loss. Its status and effect remain controversial. It is frequently pleaded by would-be class plaintiffs in order to avoid the difficulty of proving and quantifying individual damages in a class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128</w:t>
      </w:r>
      <w:r>
        <w:rPr>
          <w:rFonts w:ascii="arial" w:eastAsia="arial" w:hAnsi="arial" w:cs="arial"/>
          <w:color w:val="000000"/>
          <w:sz w:val="20"/>
          <w:lang w:val="en-US" w:eastAsia="en-US" w:bidi="ar-SA"/>
        </w:rPr>
        <w:t>  It remains unclear whether waiver of tort is an independent cause of action or an alternate remedy only. As the name suggests, however, there must be an actionable underlying tort before the doctrine can be invoked.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129</w:t>
      </w:r>
      <w:r>
        <w:rPr>
          <w:rFonts w:ascii="arial" w:eastAsia="arial" w:hAnsi="arial" w:cs="arial"/>
          <w:color w:val="000000"/>
          <w:sz w:val="20"/>
          <w:lang w:val="en-US" w:eastAsia="en-US" w:bidi="ar-SA"/>
        </w:rPr>
        <w:t xml:space="preserve">  The claims for restitution are alleged to be based on "a wrongful conduct" and the "fraudulent and deceptive or, in the alternative, negligent conduct" in which the defendants participated. I have already held that the claims based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are statute barred and thus they cannot afford the basis for any restitutionary relief. However, the claims based on Transamerica/Wong &amp; Associates' alleged participation in Mr. Jang's fraudulent scheme have survived summary dismissal and thus continue to be available as the basis for claiming restitutionary relief. Whether such restitution can be effected as "unjust enrichment" or through "waiver of tort" is an issue to be decided at a later date.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CONCLUSIONS AND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130</w:t>
      </w:r>
      <w:r>
        <w:rPr>
          <w:rFonts w:ascii="arial" w:eastAsia="arial" w:hAnsi="arial" w:cs="arial"/>
          <w:color w:val="000000"/>
          <w:sz w:val="20"/>
          <w:lang w:val="en-US" w:eastAsia="en-US" w:bidi="ar-SA"/>
        </w:rPr>
        <w:t>  For the reasons stated above, I have concluded:</w:t>
      </w:r>
      <w:r>
        <w:rPr>
          <w:rFonts w:ascii="arial" w:eastAsia="arial" w:hAnsi="arial" w:cs="arial"/>
          <w:sz w:val="20"/>
          <w:lang w:val="en-US" w:eastAsia="en-US" w:bidi="ar-SA"/>
        </w:rPr>
        <w:cr/>
      </w:r>
    </w:p>
    <w:p>
      <w:pPr>
        <w:numPr>
          <w:numId w:val="9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claim for vicarious liability on the part of Transamerica and Wong &amp; Associates is statute barred and must be dismissed;</w:t>
      </w:r>
    </w:p>
    <w:p>
      <w:pPr>
        <w:numPr>
          <w:numId w:val="9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claims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those two defendants are also statute barred and should be dismissed;</w:t>
      </w:r>
    </w:p>
    <w:p>
      <w:pPr>
        <w:numPr>
          <w:numId w:val="9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all of the claims against Mr. Jang are statute barred and thus the cause of action against him is extinguished by s. 9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w:t>
      </w:r>
    </w:p>
    <w:p>
      <w:pPr>
        <w:numPr>
          <w:numId w:val="9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extinguishment of the claim against Mr. Jang does not extinguish the joint liability claims against Transamerica/Wong &amp; Associates and does not prevent the operation of the doctrine of postponement;</w:t>
      </w:r>
    </w:p>
    <w:p>
      <w:pPr>
        <w:numPr>
          <w:numId w:val="9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the remaining claims against Transamerica/Wong &amp; Associates are based on accessory liability for alleged participation in Mr. Jang's fraudulent conduct, they are claims capable of postponement under s. 6(3)(d) of the </w:t>
      </w:r>
      <w:r>
        <w:rPr>
          <w:rFonts w:ascii="arial" w:eastAsia="arial" w:hAnsi="arial" w:cs="arial"/>
          <w:i/>
          <w:color w:val="000000"/>
          <w:sz w:val="20"/>
          <w:lang w:val="en-US" w:eastAsia="en-US" w:bidi="ar-SA"/>
        </w:rPr>
        <w:t>Limitation Act</w:t>
      </w:r>
      <w:r>
        <w:rPr>
          <w:rFonts w:ascii="arial" w:eastAsia="arial" w:hAnsi="arial" w:cs="arial"/>
          <w:color w:val="000000"/>
          <w:sz w:val="20"/>
          <w:lang w:val="en-US" w:eastAsia="en-US" w:bidi="ar-SA"/>
        </w:rPr>
        <w:t>; however</w:t>
      </w:r>
    </w:p>
    <w:p>
      <w:pPr>
        <w:numPr>
          <w:numId w:val="9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whether postponement of the accessory liability claims has occurred in the circumstances is a triable issue and thus summary judgment dismissing the claims at this time is not available.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131</w:t>
      </w:r>
      <w:r>
        <w:rPr>
          <w:rFonts w:ascii="arial" w:eastAsia="arial" w:hAnsi="arial" w:cs="arial"/>
          <w:color w:val="000000"/>
          <w:sz w:val="20"/>
          <w:lang w:val="en-US" w:eastAsia="en-US" w:bidi="ar-SA"/>
        </w:rPr>
        <w:t>  During the course of the application, I was advised the parties had agreed that any summary dismissal of Ms. Lee's claim would not necessarily result in the dismissal of the class action. Apparently the parties have agreed that if other claimants can be found for whom any postponement argument is viable, then a substitution of plaintiffs might occur.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132</w:t>
      </w:r>
      <w:r>
        <w:rPr>
          <w:rFonts w:ascii="arial" w:eastAsia="arial" w:hAnsi="arial" w:cs="arial"/>
          <w:color w:val="000000"/>
          <w:sz w:val="20"/>
          <w:lang w:val="en-US" w:eastAsia="en-US" w:bidi="ar-SA"/>
        </w:rPr>
        <w:t>  The proverbial judicial eyebrows were raised at this notion since other claimants have no status in this action until the matter is certified. In any event, the issue is perhaps moot inasmuch as the claims against Transamerica/Wong &amp; Associates based on accessory liability have not been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133</w:t>
      </w:r>
      <w:r>
        <w:rPr>
          <w:rFonts w:ascii="arial" w:eastAsia="arial" w:hAnsi="arial" w:cs="arial"/>
          <w:color w:val="000000"/>
          <w:sz w:val="20"/>
          <w:lang w:val="en-US" w:eastAsia="en-US" w:bidi="ar-SA"/>
        </w:rPr>
        <w:t xml:space="preserve">  Ordinarily, the result of my rulings above would be a direction to Ms. Lee to amend her pleadings to delete all reference to vicarious liability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all Transamerica/Wong &amp; Associates. I would also grant leave to the defendants to make such amendments to their pleadings as might be an appropriate response to Ms. Lee's further amendment to her Notice of Civil Claim in accordance with my order.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134</w:t>
      </w:r>
      <w:r>
        <w:rPr>
          <w:rFonts w:ascii="arial" w:eastAsia="arial" w:hAnsi="arial" w:cs="arial"/>
          <w:color w:val="000000"/>
          <w:sz w:val="20"/>
          <w:lang w:val="en-US" w:eastAsia="en-US" w:bidi="ar-SA"/>
        </w:rPr>
        <w:t>  In the circumstances, however, I grant the parties leave to make further submissions on this point within 30 days of these reasons, failing which, the orders referred to above will be deemed to have been made.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135</w:t>
      </w:r>
      <w:r>
        <w:rPr>
          <w:rFonts w:ascii="arial" w:eastAsia="arial" w:hAnsi="arial" w:cs="arial"/>
          <w:color w:val="000000"/>
          <w:sz w:val="20"/>
          <w:lang w:val="en-US" w:eastAsia="en-US" w:bidi="ar-SA"/>
        </w:rPr>
        <w:t>  During the course of the application, I also advised counsel that I would address in my reasons the issue of any stay of default of Mr. Jang and default judgment procedure and that I would also grant liberty for further submissions to be made whether any such stay should continue beyond the release of these reasons for judgment. Again, if counsel wish to make submissions in that regard, they may do so within 30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136</w:t>
      </w:r>
      <w:r>
        <w:rPr>
          <w:rFonts w:ascii="arial" w:eastAsia="arial" w:hAnsi="arial" w:cs="arial"/>
          <w:color w:val="000000"/>
          <w:sz w:val="20"/>
          <w:lang w:val="en-US" w:eastAsia="en-US" w:bidi="ar-SA"/>
        </w:rPr>
        <w:t>  Since both parties have enjoyed partial success on this application, costs will be in the cause.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N.P. KENT J.</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 * * *</w:t>
      </w:r>
    </w:p>
    <w:p>
      <w:pPr>
        <w:spacing w:line="260" w:lineRule="atLeast"/>
        <w:jc w:val="cente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CORRECTION</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Released: March 11, 2016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Please be advised that the attached Reasons for Judgment of Mr. Justice Kent dated February 10, 2016, have been amended.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On the cover page Irwin G. Nathanson, Q.C. has been added as counsel for the plaintiffs and Allan L. Doolittle has been added as counsel for the defendant Transamerica Life Canada.</w:t>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4" style="position:absolute;z-index:251890688"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62"/>
          <w:headerReference w:type="default" r:id="rId1063"/>
          <w:footerReference w:type="even" r:id="rId1064"/>
          <w:footerReference w:type="default" r:id="rId1065"/>
          <w:headerReference w:type="first" r:id="rId1066"/>
          <w:footerReference w:type="first" r:id="rId106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68" w:history="1">
        <w:r>
          <w:rPr>
            <w:rFonts w:ascii="arial" w:eastAsia="arial" w:hAnsi="arial" w:cs="arial"/>
            <w:b/>
            <w:bCs/>
            <w:i/>
            <w:color w:val="0077CC"/>
            <w:kern w:val="32"/>
            <w:sz w:val="28"/>
            <w:szCs w:val="32"/>
            <w:u w:val="single"/>
            <w:shd w:val="clear" w:color="auto" w:fill="FFFFFF"/>
            <w:lang w:val="en-US" w:eastAsia="en-US" w:bidi="ar-SA"/>
          </w:rPr>
          <w:t>Loychuk v. Cougar Mountain Adventures Ltd., [2011] I.L.R. para. G-2375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Canadian Insurance Law Reporter Cases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Before: Goepel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Decision: February 17, 2011.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No. S093741</w:t>
      </w:r>
    </w:p>
    <w:p>
      <w:pPr>
        <w:rPr>
          <w:rFonts w:ascii="arial" w:eastAsia="arial" w:hAnsi="arial" w:cs="arial"/>
          <w:sz w:val="20"/>
          <w:lang w:val="en-US" w:eastAsia="en-US" w:bidi="ar-SA"/>
        </w:rPr>
      </w:pPr>
    </w:p>
    <w:p>
      <w:pPr>
        <w:spacing w:before="120" w:after="120" w:line="280" w:lineRule="atLeast"/>
        <w:rPr>
          <w:rFonts w:ascii="arial" w:eastAsia="arial" w:hAnsi="arial" w:cs="arial"/>
          <w:sz w:val="20"/>
          <w:lang w:val="en-US" w:eastAsia="en-US" w:bidi="ar-SA"/>
        </w:rPr>
      </w:pPr>
      <w:r>
        <w:rPr>
          <w:rFonts w:ascii="arial" w:eastAsia="arial" w:hAnsi="arial" w:cs="arial"/>
          <w:b/>
          <w:i/>
          <w:color w:val="000000"/>
          <w:sz w:val="22"/>
          <w:lang w:val="en-US" w:eastAsia="en-US" w:bidi="ar-SA"/>
        </w:rPr>
        <w:t xml:space="preserve">Canadian Insurance Law Reporter Cases  </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Cases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2010s</w:t>
      </w:r>
      <w:r>
        <w:rPr>
          <w:rFonts w:ascii="arial" w:eastAsia="arial" w:hAnsi="arial" w:cs="arial"/>
          <w:b/>
          <w:color w:val="000000"/>
          <w:sz w:val="22"/>
          <w:lang w:val="en-US" w:eastAsia="en-US" w:bidi="ar-SA"/>
        </w:rPr>
        <w:t xml:space="preserve">  &gt;  </w:t>
      </w:r>
      <w:r>
        <w:rPr>
          <w:rFonts w:ascii="arial" w:eastAsia="arial" w:hAnsi="arial" w:cs="arial"/>
          <w:b/>
          <w:i/>
          <w:color w:val="000000"/>
          <w:sz w:val="22"/>
          <w:lang w:val="en-US" w:eastAsia="en-US" w:bidi="ar-SA"/>
        </w:rPr>
        <w:t>2011</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[2011] I.L.R. para. G-2375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[2011] B.C.J. No. 254</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069" w:history="1">
        <w:r>
          <w:rPr>
            <w:rFonts w:ascii="arial" w:eastAsia="arial" w:hAnsi="arial" w:cs="arial"/>
            <w:i/>
            <w:color w:val="0077CC"/>
            <w:sz w:val="20"/>
            <w:u w:val="single"/>
            <w:shd w:val="clear" w:color="auto" w:fill="FFFFFF"/>
            <w:lang w:val="en-US" w:eastAsia="en-US" w:bidi="ar-SA"/>
          </w:rPr>
          <w:t>2011 BCSC 193</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Deanna Loychuk and Danielle Westgeest Plaintiffs v. Cougar Mountain Adventures Ltd., Whistler Skyline Eco-Adventures Ltd., John Doe 1, John Doe 2 and Jane Doe Defendants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5" style="position:absolute;z-index:2516981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57" w:name="Keywords_38"/>
      <w:bookmarkEnd w:id="257"/>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Waiver of liability — Unconscionability — Plaintiffs collided during zipline adventure and sued operator company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Defendant conceded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employees, but submitted signed waivers of liability were a complete defence to claims — Both plaintiffs had experience with releases, were given time to read them, and contents were made clear — Releases were enforceable — Absent legislative intervention, Court was bound by prior authorities, and releases were not unconscionable in respect of hazardous activities.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58" w:name="Case Summary_37"/>
            <w:bookmarkEnd w:id="258"/>
          </w:p>
          <w:p>
            <w:pPr>
              <w:spacing w:before="120" w:line="260" w:lineRule="atLeast"/>
              <w:ind w:left="240"/>
              <w:jc w:val="both"/>
              <w:rPr>
                <w:rFonts w:ascii="arial" w:eastAsia="arial" w:hAnsi="arial" w:cs="arial"/>
                <w:sz w:val="20"/>
                <w:lang w:val="en-US" w:eastAsia="en-US" w:bidi="ar-SA"/>
              </w:rPr>
            </w:pPr>
            <w:r>
              <w:rPr>
                <w:rFonts w:ascii="arial" w:eastAsia="arial" w:hAnsi="arial" w:cs="arial"/>
                <w:b/>
                <w:color w:val="000000"/>
                <w:sz w:val="20"/>
                <w:lang w:val="en-US" w:eastAsia="en-US" w:bidi="ar-SA"/>
              </w:rPr>
              <w:t>Facts:</w:t>
            </w:r>
            <w:r>
              <w:rPr>
                <w:rFonts w:ascii="arial" w:eastAsia="arial" w:hAnsi="arial" w:cs="arial"/>
                <w:color w:val="000000"/>
                <w:sz w:val="20"/>
                <w:lang w:val="en-US" w:eastAsia="en-US" w:bidi="ar-SA"/>
              </w:rPr>
              <w:t xml:space="preserve"> The plaintiffs went on a zipline adventure tour operated by the defendant, Cougar Mountain Adventures Ltd. ("Cougar"). They were both injured when they collided. Cougar conceded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caused the accident. However, Cougar submitted that the waivers of liability signed by both plaintiffs were a complete defence to the action. Cougar required all participants to sign releases; if someone chose not to, they would be given a refund. The plaintiffs submitted that they did not understand that they were signing away all their rights, including those arising from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Cougar employees. Cougar applied for a dismissal of the plaintiffs' claims.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59" w:name="Holdings of Court_34"/>
            <w:bookmarkEnd w:id="259"/>
            <w:r>
              <w:rPr>
                <w:rFonts w:ascii="arial" w:eastAsia="arial" w:hAnsi="arial" w:cs="arial"/>
                <w:color w:val="000000"/>
                <w:sz w:val="20"/>
                <w:lang w:val="en-US" w:eastAsia="en-US" w:bidi="ar-SA"/>
              </w:rPr>
              <w:t>HELD: The application was allowed, and the action was dismissed.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Court noted that both plaintiffs were familiar with waivers of liability in general: the plaintiff Loychuk operated her own business and used a similar waiver with her clients, while the plaintiff Westgeest had just graduated from law school. Both plaintiffs knew they were signing a legal document affecting their rights, and they asked no questions concerning the terms of the release. The Court also noted that large, bold print advised the plaintiffs that the release was a legal document intended to prevent the plaintiffs from suing in the event of an accident. The Court also found that Cougar took reasonable steps, despite being under no obligation to do so, to bring the contents of the release to the plaintiffs' attention, and both were given sufficient time to read the release. The Court concluded the release was enforceable. </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With respect to the issue of unconscionability, the Court found that whether releases should be limited in the context of hazardous activities was a question of public policy. Absent legislative intervention, the Court was bound by prior authorities, and the release was not unconscionable. Finally, the Court held that if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is applicable to the circumstances, Cougar did not breach its provisions. The Court concluded that the release was a complete defence to the plaintiffs' claims.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0" w:name="Counsel_38"/>
      <w:bookmarkEnd w:id="260"/>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16" style="position:absolute;z-index:25174937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 Gourlay for the plaintiffs; R.B. Lindsay, Q.C.,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1" w:name="Judgment_38"/>
      <w:bookmarkEnd w:id="261"/>
      <w:r>
        <w:pict>
          <v:line id="_x0000_s1217" style="position:absolute;z-index:251800576"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80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2" w:name="R.B.T. GOEPEL J."/>
            <w:bookmarkEnd w:id="262"/>
            <w:r>
              <w:rPr>
                <w:rFonts w:ascii="arial" w:eastAsia="arial" w:hAnsi="arial" w:cs="arial"/>
                <w:b/>
                <w:color w:val="000000"/>
                <w:sz w:val="30"/>
                <w:lang w:val="en-US" w:eastAsia="en-US" w:bidi="ar-SA"/>
              </w:rPr>
              <w:t>R.B.T. GOEPEL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18, 2007, the plaintiffs, Deanna Loychuk and Danielle Westgeest, (collectively the "Plaintiffs") went on zipline tours operated by the defendant, Cougar Mountain Adventures Ltd. ("Cougar") at Whistler, British Columbia. The Plaintiffs were injured when Ms. Westgeest collided with Ms. Loychuk on the zipline. Cougar now concedes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its employees caused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Before embarking on their respective tours, the Plaintiffs had both signed waivers of liability (the "Release"). Cougar pleads that the Release provides a complete defence to the action and now applies pursuant to Rule 9-7 to dismiss the Plaintiffs' claims. The action has been discontinued against the other named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Cougar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Cougar operates zipline tours at Whistler B.C. The tours are advertised on a website. The website describes the tour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Come out to Cougar Mountain for Whistler's most exciting eco adventure! Our new Skyline is an exhilarating cable line expedition through old growth forest. The Skyline's leading edge technology takes you flying side by side on a unique tandem-line system. Ride in a comfortable harness reaching speeds of up to a 100 km an hour. The system offers five dual Skylines, the longest ride being over 1,500 feet long, 200 feet off the ground with a 200 foot vertical drop. The lines are connected to each other by a trail system which includes a 150 foot suspension bridge. Our guides will share their wealth of interpretive knowledge and local Whistler knowledge about the ecosystem you will be exploring, giving you an elite Whistler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website discloses that all guests are required to sign a liability waiver. A party who cancels within 24 hours of the tour and no-shows must pay the full price of the tour. On the website, the answer to the frequently asked question "Is it safe?" is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Skyline system is fully engineered and certified. The Skyline is the safest cable ride system in the world because it utilizes a permanent rock anchor system rather than anchoring cables into trees. The cable also uses three times the thickness of conventional zip line systems.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Cougar requires every participant on a zipline tour to sign the Release. If the party refuses to sign the Release, they are not allowed to go on the tour. If the party has already paid for the tour and chooses not to sign the Release, they are given a refund.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Deanna Loychuk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the time of the accident, Ms. Loychuk, then 41, was the owner of a fitness business named 30 Minute Hit which offers a kick boxing/fitness program for women. Ms. Loychuk required clients of the 30 Minute Hit to sign a waiver of liability and assumption of risks agreement. Ms. Loychuk would explain to her clients what the waiver was for and advise them that they would not be allowed to participate unless they signed the waiver.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Ms. Loychuk is also the owner of a business that sells 30 Minute Hit franchises. Included in the 30 Minute Hit franchise package is a waiver of liability and assumption of risks agreement. When Ms. Loychuk meets with potential purchasers of the franchise package, she explains to them the program material, including the waiver of liability and assumption of risks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Ms. Loychuk has held a family ski pass at Grouse Mountain since 2006. When she purchased the pass, she signed a waiver of liability and assumption of risks agreement with Grouse Mountain.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Ms. Loychuk went to Whistler to celebrate the birthday of one of her friends. The friend recalls researching activities to do at Whistler on a website and recalls looking at photos and reading something about the zipline tour. The friend made the reservation and each of her guests then individually paid by way of credit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Ms. Loychuk understood that ziplining was a safe activity. Before she went to Whistler, she went to the website to obtain more information because she had never done this kind of thing before. She was not afraid of heights and was not nervous about participating in the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When she first attended at the Cougar office, Ms. Loychuk was handed the Release to fill out and sign. She understood she could not participate if she did not sign the Release. She knew the Release would prevent her from suing the zipline company for certain things like if she tripped and broke her leg. She says she did not realize that it gave the operator immunity for its own failures, no matter how severe.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 Danielle Westgeest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Ms. Westgeest, then 26, had at the time of the accident just finished her last semester of law school and was on the verge of beginning the Professional Legal Training Course. She was with a group of friends in Whistler to celebrate the impending marriage of one of them. Two of her friends had arranged the ziplining trip. The three of them then had some discussions about the cost and safety of ziplining and based on the information set out on the website decided to go ziplining with Cougar. One of her friends made the reservation for all of them with her credit card.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Ms. Westgeest and her group drove up to Whistler the day of the accident and went to the Cougar office. They paid individually for the tour and were given the Release to complete. Ms. Westgeest glanced over the Release but she did not read it all. She did not discuss the terms of the Release with any of the Cougar employees. When one of her friends asked her whether she should sign the Release, Ms. Westgeest recalls making a flippant comment as to whether the Release was binding.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Ms. Westgeest acknowledged that she knew she was signing a waiver of claims if she was injured on the zipline. She recalls signing a waiver on at least one previous occasion when she had rented a kayak. When she signed the Release, she understood she was waiving certain legal rights. She says, however, she did not appreciate she was waiving all rights against Cougar, including claims arising from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She says she did not really think about the Release because they were in a bit of a rush and she did not think it was a risky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Ziplining involves being strapped into a harness and trolley and proceeding down a line from a higher to a lower elevation. The speed at which a person descends is determined in part by the slope of the line. On each line, one of the guides would first descend the line to the lower platform while another guide would remain at the higher platform with the guests. The guides communicated via walkie-talkies. The guides were solely responsible for determining when each participant proceeded down the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The Plaintiffs did not know each other and were originally in separate groups led by different tour guides. On the last zipline of the day, the tour guides merged the two groups.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Ms. Loychuk was sent down the line. She did not reach the bottom platform and was suspended on the line.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Roughly 500 metres away and unable to see the bottom platform, Ms. Westgeest was told by the guide to go and she went down the line. As she neared the bottom of the zipline, she saw Ms. Loychuk still suspended on the line. Ms. Westgeest had no ability to stop herself and slammed into Ms. Loychuk at high speed causing injury to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accident was caused by a miscommunication between the tour guides. Ms. Westgeest should not have been sent down the line while Ms. Loychuk was suspended on it. Other than the Release, there is no defence to the Plaintiffs'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E.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Release is a one-page document. At the top of the Release is a box in large print which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RELEASE OF LIABILITY, WAIVER OF CLAIMS AND ASSUMPTION OF RISK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(hereinafter referred to as the "Release Agreement")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BY SIGNING THIS DOCUMENT YOU WILL WAIVE CERTAIN LEGAL RIGHTS, INCLUDING THE RIGHT TO SUE OR CLAIM COMPENSATION FOLLOWING AN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PLEASE READ CAREFULLY!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Participants are required to first sign the Release immediately adjacent to that warning. They then must fill in their name, address and weight. At the bottom, they must sign the Release under the wording "I have read the Release Agreement above, and I agree to be bound by its terms." The Release must also be witnessed.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In the body of the Release there is a description of the tour. There then is a heading "Assumption of Risks" which sets out in some detail the risks and hazards involved in the activity, including collision with other participants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guides. The section then continues in bold capitalized print: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RELEASEES, INCLUDING THE FAILURE ON THE PART OF THE RELEASEES TO TAKE REASONABLE STEPS TO SAFEGUARD OR PROTECT ME FROM THE RISKS, DANGERS AND HAZARDS OF PARTICIPATING IN ECO ACTIVITIES. I FREELY ACCEPT AND FULLY ASSUME ALL SUCH RISKS, DANGERS AND HAZARDS AND THE POSSIBILITY OF PERSONAL INJURY, DEATH, PROPERTY DAMAGE AND LOSS RESULTING THEREIN.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Release then contains a specific waiver and release of all claims: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consideration of the RELEASEES agreeing to my participation in Eco Activities and permitting my use of their equipment, parking and other facilities, and for other good and valuable consideration, the receipt and sufficiency of which is acknowledged, I hereby agree as follows: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WAIVE ANY AND ALL CLAIMS that I have or may in the future have against the RELEASEES AND TO RELEASE THE RELEASEES from any and all liability for any loss, damage, expense or injury, including death, that I may suffer or that my next of kin may suffer, as a result of my participation in Eco Activities DUE TO ANY CAUSE WHATSOEVER, INCLUDING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BREACH OF CONTRACT, OR BREACH OF ANY STATUTORY OR OTHER DUTY OF CARE, INCLUDING ANY DUTY OF CARE OWED UNDER THE </w:t>
      </w:r>
      <w:r>
        <w:rPr>
          <w:rFonts w:ascii="arial" w:eastAsia="arial" w:hAnsi="arial" w:cs="arial"/>
          <w:b/>
          <w:color w:val="000000"/>
          <w:sz w:val="20"/>
          <w:lang w:val="en-US" w:eastAsia="en-US" w:bidi="ar-SA"/>
        </w:rPr>
        <w:t>OCCUPIERS LIABILITY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337</w:t>
      </w:r>
      <w:r>
        <w:rPr>
          <w:rFonts w:ascii="arial" w:eastAsia="arial" w:hAnsi="arial" w:cs="arial"/>
          <w:color w:val="000000"/>
          <w:sz w:val="20"/>
          <w:lang w:val="en-US" w:eastAsia="en-US" w:bidi="ar-SA"/>
        </w:rPr>
        <w:t xml:space="preserve"> ON THE PART OF THE RELEASEES, AND FURTHER INCLUDING THE FAILURE ON THE PART OF THE RELEASEES TO TAKE REASONABLE STEPS TO SAFEGUARD OR PROTECT ME FROM THE RISKS, DANGERS AND HAZARDS OF PARTICIPATING IN THE ECO ACTIVITIES REFERRED TO ABOVE.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POSITION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The defendants submit the Release provides a complete defence to the action. They rely on several decisions where similar releases were upheld including </w:t>
      </w:r>
      <w:r>
        <w:rPr>
          <w:rFonts w:ascii="arial" w:eastAsia="arial" w:hAnsi="arial" w:cs="arial"/>
          <w:i/>
          <w:color w:val="000000"/>
          <w:sz w:val="20"/>
          <w:lang w:val="en-US" w:eastAsia="en-US" w:bidi="ar-SA"/>
        </w:rPr>
        <w:t>Karroll v. Silver Star Mountain Resorts Ltd.</w:t>
      </w:r>
      <w:r>
        <w:rPr>
          <w:rFonts w:ascii="arial" w:eastAsia="arial" w:hAnsi="arial" w:cs="arial"/>
          <w:color w:val="000000"/>
          <w:sz w:val="20"/>
          <w:lang w:val="en-US" w:eastAsia="en-US" w:bidi="ar-SA"/>
        </w:rPr>
        <w:t xml:space="preserve"> </w:t>
      </w:r>
      <w:hyperlink r:id="rId1070" w:history="1">
        <w:r>
          <w:rPr>
            <w:rFonts w:ascii="arial" w:eastAsia="arial" w:hAnsi="arial" w:cs="arial"/>
            <w:i/>
            <w:color w:val="0077CC"/>
            <w:sz w:val="20"/>
            <w:u w:val="single"/>
            <w:shd w:val="clear" w:color="auto" w:fill="FFFFFF"/>
            <w:lang w:val="en-US" w:eastAsia="en-US" w:bidi="ar-SA"/>
          </w:rPr>
          <w:t>(1988), 33 B.C.L.R. (2d) 160</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Ochoa v. Canadian Mountain Holidays Inc., </w:t>
      </w:r>
      <w:hyperlink r:id="rId1022" w:history="1">
        <w:r>
          <w:rPr>
            <w:rFonts w:ascii="arial" w:eastAsia="arial" w:hAnsi="arial" w:cs="arial"/>
            <w:i/>
            <w:color w:val="0077CC"/>
            <w:sz w:val="20"/>
            <w:u w:val="single"/>
            <w:shd w:val="clear" w:color="auto" w:fill="FFFFFF"/>
            <w:lang w:val="en-US" w:eastAsia="en-US" w:bidi="ar-SA"/>
          </w:rPr>
          <w:t>[1996] B.C.J. No. 2026</w:t>
        </w:r>
      </w:hyperlink>
      <w:r>
        <w:rPr>
          <w:rFonts w:ascii="arial" w:eastAsia="arial" w:hAnsi="arial" w:cs="arial"/>
          <w:color w:val="000000"/>
          <w:sz w:val="20"/>
          <w:lang w:val="en-US" w:eastAsia="en-US" w:bidi="ar-SA"/>
        </w:rPr>
        <w:t xml:space="preserve"> (S.C.) [</w:t>
      </w:r>
      <w:r>
        <w:rPr>
          <w:rFonts w:ascii="arial" w:eastAsia="arial" w:hAnsi="arial" w:cs="arial"/>
          <w:i/>
          <w:color w:val="000000"/>
          <w:sz w:val="20"/>
          <w:lang w:val="en-US" w:eastAsia="en-US" w:bidi="ar-SA"/>
        </w:rPr>
        <w:t>Ochoa</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 v. Big White Ski Resort Ltd.</w:t>
      </w:r>
      <w:r>
        <w:rPr>
          <w:rFonts w:ascii="arial" w:eastAsia="arial" w:hAnsi="arial" w:cs="arial"/>
          <w:color w:val="000000"/>
          <w:sz w:val="20"/>
          <w:lang w:val="en-US" w:eastAsia="en-US" w:bidi="ar-SA"/>
        </w:rPr>
        <w:t xml:space="preserve"> </w:t>
      </w:r>
      <w:hyperlink r:id="rId1071" w:history="1">
        <w:r>
          <w:rPr>
            <w:rFonts w:ascii="arial" w:eastAsia="arial" w:hAnsi="arial" w:cs="arial"/>
            <w:i/>
            <w:color w:val="0077CC"/>
            <w:sz w:val="20"/>
            <w:u w:val="single"/>
            <w:shd w:val="clear" w:color="auto" w:fill="FFFFFF"/>
            <w:lang w:val="en-US" w:eastAsia="en-US" w:bidi="ar-SA"/>
          </w:rPr>
          <w:t>(1998), 112 B.C.A.C. 288</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Delaney v. Cascade River Holidays Ltd</w:t>
      </w:r>
      <w:r>
        <w:rPr>
          <w:rFonts w:ascii="arial" w:eastAsia="arial" w:hAnsi="arial" w:cs="arial"/>
          <w:color w:val="000000"/>
          <w:sz w:val="20"/>
          <w:lang w:val="en-US" w:eastAsia="en-US" w:bidi="ar-SA"/>
        </w:rPr>
        <w:t xml:space="preserve">. </w:t>
      </w:r>
      <w:hyperlink r:id="rId1072" w:history="1">
        <w:r>
          <w:rPr>
            <w:rFonts w:ascii="arial" w:eastAsia="arial" w:hAnsi="arial" w:cs="arial"/>
            <w:i/>
            <w:color w:val="0077CC"/>
            <w:sz w:val="20"/>
            <w:u w:val="single"/>
            <w:shd w:val="clear" w:color="auto" w:fill="FFFFFF"/>
            <w:lang w:val="en-US" w:eastAsia="en-US" w:bidi="ar-SA"/>
          </w:rPr>
          <w:t>(1983), 44 B.C.L.R. 24</w:t>
        </w:r>
      </w:hyperlink>
      <w:r>
        <w:rPr>
          <w:rFonts w:ascii="arial" w:eastAsia="arial" w:hAnsi="arial" w:cs="arial"/>
          <w:color w:val="000000"/>
          <w:sz w:val="20"/>
          <w:lang w:val="en-US" w:eastAsia="en-US" w:bidi="ar-SA"/>
        </w:rPr>
        <w:t xml:space="preserve"> (C.A.) [</w:t>
      </w:r>
      <w:r>
        <w:rPr>
          <w:rFonts w:ascii="arial" w:eastAsia="arial" w:hAnsi="arial" w:cs="arial"/>
          <w:i/>
          <w:color w:val="000000"/>
          <w:sz w:val="20"/>
          <w:lang w:val="en-US" w:eastAsia="en-US" w:bidi="ar-SA"/>
        </w:rPr>
        <w:t>Delaney</w:t>
      </w:r>
      <w:r>
        <w:rPr>
          <w:rFonts w:ascii="arial" w:eastAsia="arial" w:hAnsi="arial" w:cs="arial"/>
          <w:color w:val="000000"/>
          <w:sz w:val="20"/>
          <w:lang w:val="en-US" w:eastAsia="en-US" w:bidi="ar-SA"/>
        </w:rPr>
        <w:t xml:space="preserve">], and </w:t>
      </w:r>
      <w:r>
        <w:rPr>
          <w:rFonts w:ascii="arial" w:eastAsia="arial" w:hAnsi="arial" w:cs="arial"/>
          <w:i/>
          <w:color w:val="000000"/>
          <w:sz w:val="20"/>
          <w:lang w:val="en-US" w:eastAsia="en-US" w:bidi="ar-SA"/>
        </w:rPr>
        <w:t>Dyck v. Manitoba Snowmobile Assn.</w:t>
      </w:r>
      <w:r>
        <w:rPr>
          <w:rFonts w:ascii="arial" w:eastAsia="arial" w:hAnsi="arial" w:cs="arial"/>
          <w:color w:val="000000"/>
          <w:sz w:val="20"/>
          <w:lang w:val="en-US" w:eastAsia="en-US" w:bidi="ar-SA"/>
        </w:rPr>
        <w:t xml:space="preserve"> </w:t>
      </w:r>
      <w:hyperlink r:id="rId1073" w:history="1">
        <w:r>
          <w:rPr>
            <w:rFonts w:ascii="arial" w:eastAsia="arial" w:hAnsi="arial" w:cs="arial"/>
            <w:i/>
            <w:color w:val="0077CC"/>
            <w:sz w:val="20"/>
            <w:u w:val="single"/>
            <w:shd w:val="clear" w:color="auto" w:fill="FFFFFF"/>
            <w:lang w:val="en-US" w:eastAsia="en-US" w:bidi="ar-SA"/>
          </w:rPr>
          <w:t>[1985] 1 S.C.R. 589</w:t>
        </w:r>
      </w:hyperlink>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Dyck</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Plaintiffs acknowledge signing of the Release. They submit, however, that the Release is ineffective for the following reasons:</w:t>
      </w:r>
      <w:r>
        <w:rPr>
          <w:rFonts w:ascii="arial" w:eastAsia="arial" w:hAnsi="arial" w:cs="arial"/>
          <w:sz w:val="20"/>
          <w:lang w:val="en-US" w:eastAsia="en-US" w:bidi="ar-SA"/>
        </w:rPr>
        <w:cr/>
      </w:r>
    </w:p>
    <w:p>
      <w:pPr>
        <w:numPr>
          <w:numId w:val="51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is unenforceable because a reasonable person should and would have known that the Plaintiffs were not consenting to the terms at issue and the defendant failed to take steps to apprise the Plaintiffs of the terms, constituting misrepresentation by omission;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is unconscionable;</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as a result of deceptive and/or unconscionable acts committed by the defendant, the Release is invalidated by s. 3 of the </w:t>
      </w:r>
      <w:r>
        <w:rPr>
          <w:rFonts w:ascii="arial" w:eastAsia="arial" w:hAnsi="arial" w:cs="arial"/>
          <w:i/>
          <w:color w:val="000000"/>
          <w:sz w:val="20"/>
          <w:lang w:val="en-US" w:eastAsia="en-US" w:bidi="ar-SA"/>
        </w:rPr>
        <w:t>Business Practices and Consumer Protection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S.B.C. 2004, c. 2</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Release is invalid as having been obtained without any, or only past,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Plaintiffs submit that the cases relied on by the defendant are distinguishable. They involve releases in regards to activities in which the participant has some measure of control. They contrast such activities with ziplining in which the participant hands over her personal safety to the zipline operator and its employees and has no control over the nature of the risk.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DISCUSSION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 Enforceability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McLachlin C.J.S.C. (as she then was) discussed when a plaintiff will be bound by the terms of a release. In the course of her reasons, she reviewed and reconciled two distinct lines of authorities. The first supports the principle of general contract law that where a party signs a document which he or she knows affects his or her legal rights, the party is bound by the document in the absence of fraud or misrepresentation, even though the party may not have read or understood the document: </w:t>
      </w:r>
      <w:r>
        <w:rPr>
          <w:rFonts w:ascii="arial" w:eastAsia="arial" w:hAnsi="arial" w:cs="arial"/>
          <w:i/>
          <w:color w:val="000000"/>
          <w:sz w:val="20"/>
          <w:lang w:val="en-US" w:eastAsia="en-US" w:bidi="ar-SA"/>
        </w:rPr>
        <w:t>L'Estrange v. F. Graucob Ltd.</w:t>
      </w:r>
      <w:r>
        <w:rPr>
          <w:rFonts w:ascii="arial" w:eastAsia="arial" w:hAnsi="arial" w:cs="arial"/>
          <w:color w:val="000000"/>
          <w:sz w:val="20"/>
          <w:lang w:val="en-US" w:eastAsia="en-US" w:bidi="ar-SA"/>
        </w:rPr>
        <w:t>, [1934] 2 K.B. 394 at 403 (C.A.) [</w:t>
      </w:r>
      <w:r>
        <w:rPr>
          <w:rFonts w:ascii="arial" w:eastAsia="arial" w:hAnsi="arial" w:cs="arial"/>
          <w:i/>
          <w:color w:val="000000"/>
          <w:sz w:val="20"/>
          <w:lang w:val="en-US" w:eastAsia="en-US" w:bidi="ar-SA"/>
        </w:rPr>
        <w:t>L'Estrange</w:t>
      </w:r>
      <w:r>
        <w:rPr>
          <w:rFonts w:ascii="arial" w:eastAsia="arial" w:hAnsi="arial" w:cs="arial"/>
          <w:color w:val="000000"/>
          <w:sz w:val="20"/>
          <w:lang w:val="en-US" w:eastAsia="en-US" w:bidi="ar-SA"/>
        </w:rPr>
        <w:t xml:space="preserve">]. The second requires a party seeking to rely on an exclusion of liability, which the signing party has not read, to show that a reasonable attempt has been made to bring the signing party's attention to the terms contained on the form if they wish to rely on the release: </w:t>
      </w:r>
      <w:r>
        <w:rPr>
          <w:rFonts w:ascii="arial" w:eastAsia="arial" w:hAnsi="arial" w:cs="arial"/>
          <w:i/>
          <w:color w:val="000000"/>
          <w:sz w:val="20"/>
          <w:lang w:val="en-US" w:eastAsia="en-US" w:bidi="ar-SA"/>
        </w:rPr>
        <w:t>Union Steamships Ltd. v. Barnes</w:t>
      </w:r>
      <w:r>
        <w:rPr>
          <w:rFonts w:ascii="arial" w:eastAsia="arial" w:hAnsi="arial" w:cs="arial"/>
          <w:color w:val="000000"/>
          <w:sz w:val="20"/>
          <w:lang w:val="en-US" w:eastAsia="en-US" w:bidi="ar-SA"/>
        </w:rPr>
        <w:t xml:space="preserve">, </w:t>
      </w:r>
      <w:hyperlink r:id="rId1074" w:history="1">
        <w:r>
          <w:rPr>
            <w:rFonts w:ascii="arial" w:eastAsia="arial" w:hAnsi="arial" w:cs="arial"/>
            <w:i/>
            <w:color w:val="0077CC"/>
            <w:sz w:val="20"/>
            <w:u w:val="single"/>
            <w:shd w:val="clear" w:color="auto" w:fill="FFFFFF"/>
            <w:lang w:val="en-US" w:eastAsia="en-US" w:bidi="ar-SA"/>
          </w:rPr>
          <w:t>[1956] S.C.R. 842</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McLachlin C.J.S.C. reconciled the decisions at 166. She concluded that an obligation on the party tendering the document for signature to take reasonable steps to apprise the party signing of onerous terms only arises in circumstances that a reasonable person should have known that the party signing was not consenting to the terms.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The Plaintiffs signed the Release knowing that it was a legal document affecting their rights. Under the principles set forth in </w:t>
      </w:r>
      <w:r>
        <w:rPr>
          <w:rFonts w:ascii="arial" w:eastAsia="arial" w:hAnsi="arial" w:cs="arial"/>
          <w:i/>
          <w:color w:val="000000"/>
          <w:sz w:val="20"/>
          <w:lang w:val="en-US" w:eastAsia="en-US" w:bidi="ar-SA"/>
        </w:rPr>
        <w:t>L'Estrange</w:t>
      </w:r>
      <w:r>
        <w:rPr>
          <w:rFonts w:ascii="arial" w:eastAsia="arial" w:hAnsi="arial" w:cs="arial"/>
          <w:color w:val="000000"/>
          <w:sz w:val="20"/>
          <w:lang w:val="en-US" w:eastAsia="en-US" w:bidi="ar-SA"/>
        </w:rPr>
        <w:t xml:space="preserve"> they are bound by its terms unless they can bring themselves within one of the exceptions. This is not a case of </w:t>
      </w:r>
      <w:r>
        <w:rPr>
          <w:rFonts w:ascii="arial" w:eastAsia="arial" w:hAnsi="arial" w:cs="arial"/>
          <w:i/>
          <w:color w:val="000000"/>
          <w:sz w:val="20"/>
          <w:lang w:val="en-US" w:eastAsia="en-US" w:bidi="ar-SA"/>
        </w:rPr>
        <w:t>non est factum</w:t>
      </w:r>
      <w:r>
        <w:rPr>
          <w:rFonts w:ascii="arial" w:eastAsia="arial" w:hAnsi="arial" w:cs="arial"/>
          <w:color w:val="000000"/>
          <w:sz w:val="20"/>
          <w:lang w:val="en-US" w:eastAsia="en-US" w:bidi="ar-SA"/>
        </w:rPr>
        <w:t>. Nor was there active misrepresentation. Unless it is unconscionable or invalid for other reasons, they are bound by the Release unless they can establish:</w:t>
      </w:r>
      <w:r>
        <w:rPr>
          <w:rFonts w:ascii="arial" w:eastAsia="arial" w:hAnsi="arial" w:cs="arial"/>
          <w:sz w:val="20"/>
          <w:lang w:val="en-US" w:eastAsia="en-US" w:bidi="ar-SA"/>
        </w:rPr>
        <w:cr/>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circumstances a reasonable person in the place of the defendant would have known that they did not intend to agree to the Release they signed; and</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that in the circumstances the defendant failed to take reasonable steps to bring the content of the Release to their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Release was consistent with the purpose of the contract, which was to permit the Plaintiffs to engage in a hazardous activity upon which they, of their own volition, had decided to embark. The most casual review of the document would have revealed to the Plaintiffs that the Release was a legal document impacting on their legal rights to sue or claim compensation following an accident. They asked no questions concerning the terms of the Release. They never indicated to Cougar that they were not prepared to sign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There is nothing in the circumstances that would lead Cougar to conclude that the Plaintiffs did not intend to agree to what they signed. In these circumstances, Cougar was under no obligation to take reasonable steps to bring the terms of the Release to the Plaintiffs' attention.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That said, Cougar did in fact take reasonable steps to bring the contents of the Release to the Plaintiffs' attention. Both were given sufficient time to read the Release. The heading at the top of the document and the admonition to read carefully alerted the Plaintiffs that it was a legal document intended to prevent the Plaintiffs from suing or claiming compensation following an accident. Both Plaintiffs acknowledge that they knew from their reading of the Release that it limited in certain circumstances their legal rights to sue. In </w:t>
      </w:r>
      <w:r>
        <w:rPr>
          <w:rFonts w:ascii="arial" w:eastAsia="arial" w:hAnsi="arial" w:cs="arial"/>
          <w:i/>
          <w:color w:val="000000"/>
          <w:sz w:val="20"/>
          <w:lang w:val="en-US" w:eastAsia="en-US" w:bidi="ar-SA"/>
        </w:rPr>
        <w:t>Mayer</w:t>
      </w:r>
      <w:r>
        <w:rPr>
          <w:rFonts w:ascii="arial" w:eastAsia="arial" w:hAnsi="arial" w:cs="arial"/>
          <w:color w:val="000000"/>
          <w:sz w:val="20"/>
          <w:lang w:val="en-US" w:eastAsia="en-US" w:bidi="ar-SA"/>
        </w:rPr>
        <w:t>, which concerned a release in relation to obtaining a ski pass, the release contained terms in bold lettering similar to that in the case at bar. The court noted that the large bold print should have alerted the most casual reader of the release's terms. The same considerations apply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I do not accept the Plaintiffs' submission that the reasoning in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should be limited to cases involving hazardous activities in which the participant has some measure of control. </w:t>
      </w:r>
      <w:r>
        <w:rPr>
          <w:rFonts w:ascii="arial" w:eastAsia="arial" w:hAnsi="arial" w:cs="arial"/>
          <w:i/>
          <w:color w:val="000000"/>
          <w:sz w:val="20"/>
          <w:lang w:val="en-US" w:eastAsia="en-US" w:bidi="ar-SA"/>
        </w:rPr>
        <w:t>Karroll</w:t>
      </w:r>
      <w:r>
        <w:rPr>
          <w:rFonts w:ascii="arial" w:eastAsia="arial" w:hAnsi="arial" w:cs="arial"/>
          <w:color w:val="000000"/>
          <w:sz w:val="20"/>
          <w:lang w:val="en-US" w:eastAsia="en-US" w:bidi="ar-SA"/>
        </w:rPr>
        <w:t xml:space="preserve"> is a case of general application. Its reasoning applies to all contracts.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Subject to the remaining submissions discussed below, I find the Release is enforceable. A reasonable person in the position of Cougar would not have known that the Plaintiffs were not consenting to the terms of the Release. Cougar took appropriate steps to apprise the Plaintiffs of the terms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 Unconscionability of the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Plaintiffs submit that the Release is unconscionable. In support of their submission, they rely on the Law Reform Commission of British Columbia's Report on </w:t>
      </w:r>
      <w:r>
        <w:rPr>
          <w:rFonts w:ascii="arial" w:eastAsia="arial" w:hAnsi="arial" w:cs="arial"/>
          <w:i/>
          <w:color w:val="000000"/>
          <w:sz w:val="20"/>
          <w:lang w:val="en-US" w:eastAsia="en-US" w:bidi="ar-SA"/>
        </w:rPr>
        <w:t>Recreational Injuries: Liability and Waivers in Commercial Leisure Activities</w:t>
      </w:r>
      <w:r>
        <w:rPr>
          <w:rFonts w:ascii="arial" w:eastAsia="arial" w:hAnsi="arial" w:cs="arial"/>
          <w:color w:val="000000"/>
          <w:sz w:val="20"/>
          <w:lang w:val="en-US" w:eastAsia="en-US" w:bidi="ar-SA"/>
        </w:rPr>
        <w:t xml:space="preserve"> (Report No. 140, 1994). That report was a response to the Attorney General's request that the Commission examine the law relating to the tort liabilities of commercial recreational operators. The report reviewed in detail the law governing civil liability and waivers in commercial recreation. The report made various recommendations with regard to waivers. The Commission recommended that a commercial recreational operator should not be able to exclude or limit its liability for personal injury or death with respect to operator-controlled incidents. The legislature has taken no steps to implement the Commission's recommendations.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This is not the first time that it has been suggested that a release arising in the context of hazardous activities is unconscionable. However, as noted by Koenisberg J. in </w:t>
      </w:r>
      <w:r>
        <w:rPr>
          <w:rFonts w:ascii="arial" w:eastAsia="arial" w:hAnsi="arial" w:cs="arial"/>
          <w:i/>
          <w:color w:val="000000"/>
          <w:sz w:val="20"/>
          <w:lang w:val="en-US" w:eastAsia="en-US" w:bidi="ar-SA"/>
        </w:rPr>
        <w:t>Ochoa</w:t>
      </w:r>
      <w:r>
        <w:rPr>
          <w:rFonts w:ascii="arial" w:eastAsia="arial" w:hAnsi="arial" w:cs="arial"/>
          <w:color w:val="000000"/>
          <w:sz w:val="20"/>
          <w:lang w:val="en-US" w:eastAsia="en-US" w:bidi="ar-SA"/>
        </w:rPr>
        <w:t xml:space="preserve">, there is a well established line of authority in Canada that such exclusions of liability are not unconscionable. In </w:t>
      </w:r>
      <w:r>
        <w:rPr>
          <w:rFonts w:ascii="arial" w:eastAsia="arial" w:hAnsi="arial" w:cs="arial"/>
          <w:i/>
          <w:color w:val="000000"/>
          <w:sz w:val="20"/>
          <w:lang w:val="en-US" w:eastAsia="en-US" w:bidi="ar-SA"/>
        </w:rPr>
        <w:t>Ochoa</w:t>
      </w:r>
      <w:r>
        <w:rPr>
          <w:rFonts w:ascii="arial" w:eastAsia="arial" w:hAnsi="arial" w:cs="arial"/>
          <w:color w:val="000000"/>
          <w:sz w:val="20"/>
          <w:lang w:val="en-US" w:eastAsia="en-US" w:bidi="ar-SA"/>
        </w:rPr>
        <w:t xml:space="preserve">, she rejected an argument that the release was unconscionable. Similarly in </w:t>
      </w:r>
      <w:r>
        <w:rPr>
          <w:rFonts w:ascii="arial" w:eastAsia="arial" w:hAnsi="arial" w:cs="arial"/>
          <w:i/>
          <w:color w:val="000000"/>
          <w:sz w:val="20"/>
          <w:lang w:val="en-US" w:eastAsia="en-US" w:bidi="ar-SA"/>
        </w:rPr>
        <w:t>Dyck</w:t>
      </w:r>
      <w:r>
        <w:rPr>
          <w:rFonts w:ascii="arial" w:eastAsia="arial" w:hAnsi="arial" w:cs="arial"/>
          <w:color w:val="000000"/>
          <w:sz w:val="20"/>
          <w:lang w:val="en-US" w:eastAsia="en-US" w:bidi="ar-SA"/>
        </w:rPr>
        <w:t>, the Supreme Court of Canada rejected an argument that the release in question was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Plaintiffs seek to distinguish the cases that have upheld releases on the grounds that in those cases the participant was less dependent on the operator and has some measure of control over the risks that were being assumed. The difficulty with that submission is that the releases in the other cases, as in this case, release the operator for its own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party signing the release has no measure of control over the operator's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In my view the cases cannot be distinguished on that basis.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In this case, the Plaintiffs were advised on the website that a waiver of liability was a requirement of participating in the activity. There is no evidence of duress, coercion or unfair advantage resulting from economic or psychological need. The Plaintiffs voluntarily participated in the activity, knowing that to do so they had to agree to the Release. The Plaintiffs had signed releases on other occasions. Ms. Loychuk used them in her business. Ms. Westgeest had just completed her law degree and was fully familiar with legal terminology.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Whether Releases should be limited in the manner recommended by the Commission is a question of public policy. To date the legislature has not chosen to implement the Commission's recommendations. Absent legislative intervention, I am bound by the prior authorities. I find the Release is not unconscionable.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 Release Void under the </w:t>
      </w:r>
      <w:r>
        <w:rPr>
          <w:rFonts w:ascii="arial" w:eastAsia="arial" w:hAnsi="arial" w:cs="arial"/>
          <w:b/>
          <w:i/>
          <w:color w:val="000000"/>
          <w:sz w:val="20"/>
          <w:lang w:val="en-US" w:eastAsia="en-US" w:bidi="ar-SA"/>
        </w:rPr>
        <w:t>Business Practices and Consumer Protection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The Plaintiffs submit the Release is void pursuant to the provisions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Section 3 of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provides that any waiver or release of a person's rights, benefits or protections under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is void except to the extent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expressly permits the waiver or release.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prohibits deceptive and unconscionable acts or practices. Section 4 defines "deceptive act or practice" as meaning an "oral, written, visual, descriptive or other representation by a supplier, or any conduct by a supplier that has the capability, tendency or effect of deceiving or misleading a consumer or guarantor."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Plaintiffs submit that Cougar engaged in deceptive acts by misleading, overtly and by omission, the safety risks involved. They submit that the statement on Cougar's website that it is the safest system in the world is misleading given that there were three accidents on the zipline in August 2007. They also submit that Cougar failed to warn potential customers that the most common accidents in the zipline industry were person to person collisions such as occurred in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Section 8 concerns unconscionable acts or practices. In determining whether an act or practice is unconscionable, a court must consider all of the surrounding circumstances including whether the supplier subjected the consumer to undue pressure to enter into the transaction, whether the supplier took advantage of the consumer's inability to protect his or her own interest and whether the terms or conditions on which the consumer entered the transaction are so harsh or adverse to the consumer as to be inequitable.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The Plaintiffs submit that Cougar placed unfair pressure on them by presenting the Release immediately before the tour was to depart. They submit that Cougar took advantage of the Plaintiffs' ignorance by having them sign away their rights without advising them of the risk and that the terms of the Release are so harsh or adverse to the plaintiffs that they are inequitable.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Plaintiffs acknowledge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has never been applied in a recreational sports context. Assuming that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does apply, the evidence in this case does not support the submission that Cougar committed either deceptive or unconscionable acts. There is no evidence that the representation on the website concerning the safety of the system is anything but true. The answer relates to the structure of the system, not its operation. The fact that there have been some accidents does not lead to a contrary 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The website discloses that participants are to be placed in a harness and travel at speeds of up to 100 km an hour. It would be obvious to any participant that the activity was not free of risk .The Release sets out in detail the many risks and dangers involved. Nobody is forced to participate. Cougar would have given the Plaintiffs a refund if they did not want to sign the Release. Cougar did not take any unfair advantage of the Plaintiffs. The terms of the Release are not inequitable.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If the </w:t>
      </w:r>
      <w:r>
        <w:rPr>
          <w:rFonts w:ascii="arial" w:eastAsia="arial" w:hAnsi="arial" w:cs="arial"/>
          <w:i/>
          <w:color w:val="000000"/>
          <w:sz w:val="20"/>
          <w:lang w:val="en-US" w:eastAsia="en-US" w:bidi="ar-SA"/>
        </w:rPr>
        <w:t>BPCPA</w:t>
      </w:r>
      <w:r>
        <w:rPr>
          <w:rFonts w:ascii="arial" w:eastAsia="arial" w:hAnsi="arial" w:cs="arial"/>
          <w:color w:val="000000"/>
          <w:sz w:val="20"/>
          <w:lang w:val="en-US" w:eastAsia="en-US" w:bidi="ar-SA"/>
        </w:rPr>
        <w:t xml:space="preserve"> does apply to this transaction, I find that Cougar did not breach its provisions.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D. Past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The Plaintiffs submit that they were not given notice of the terms of the Release when they entered the contract. In these circumstances, they submit that the terms of the Release were not part of the contract and since there was no "new" consideration for them, the Release is unenforceable. In support of that submission, they rely on the dissenting reasons of Nemetz C.J.B.C. in </w:t>
      </w:r>
      <w:r>
        <w:rPr>
          <w:rFonts w:ascii="arial" w:eastAsia="arial" w:hAnsi="arial" w:cs="arial"/>
          <w:i/>
          <w:color w:val="000000"/>
          <w:sz w:val="20"/>
          <w:lang w:val="en-US" w:eastAsia="en-US" w:bidi="ar-SA"/>
        </w:rPr>
        <w:t>Delaney</w:t>
      </w:r>
      <w:r>
        <w:rPr>
          <w:rFonts w:ascii="arial" w:eastAsia="arial" w:hAnsi="arial" w:cs="arial"/>
          <w:color w:val="000000"/>
          <w:sz w:val="20"/>
          <w:lang w:val="en-US" w:eastAsia="en-US" w:bidi="ar-SA"/>
        </w:rPr>
        <w:t xml:space="preserve"> at paras. 15-18.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i/>
          <w:color w:val="000000"/>
          <w:sz w:val="20"/>
          <w:lang w:val="en-US" w:eastAsia="en-US" w:bidi="ar-SA"/>
        </w:rPr>
        <w:t>Delaney</w:t>
      </w:r>
      <w:r>
        <w:rPr>
          <w:rFonts w:ascii="arial" w:eastAsia="arial" w:hAnsi="arial" w:cs="arial"/>
          <w:color w:val="000000"/>
          <w:sz w:val="20"/>
          <w:lang w:val="en-US" w:eastAsia="en-US" w:bidi="ar-SA"/>
        </w:rPr>
        <w:t>, the participants did not know that a liability release would be required when they entered into the contract and paid for the trip. The facts in this case are different. The Plaintiffs had both accessed the website which disclosed that all guests were required to sign a liability waiver. The parties were advised before commencement of the activity that they must sign the waiver or they would not be allowed to participate. Further, the Release itself specifically sets out that the consideration for the Release is Cougar's agreement to allow the Plaintiffs to participate in Eco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In these circumstances, I find that the Release does not fail for lack of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u w:val="single"/>
          <w:lang w:val="en-US" w:eastAsia="en-US" w:bidi="ar-SA"/>
        </w:rPr>
        <w:t>SUMMARY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In conclusion, therefore, I find that the Release is valid and enforceable. It provides a complete defence to the Plaintiffs' claims. The action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Unless there are matters of which I am not aware, Cougar is entitled to costs on Scale B. If either side seeks a different determination in regard to costs, they should file written submissions within 21 days. Any responsive submissions should be filed within 14 days thereafter.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R.B.T. GOEPEL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18" style="position:absolute;z-index:25185177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75"/>
          <w:headerReference w:type="default" r:id="rId1076"/>
          <w:footerReference w:type="even" r:id="rId1077"/>
          <w:footerReference w:type="default" r:id="rId1078"/>
          <w:headerReference w:type="first" r:id="rId1079"/>
          <w:footerReference w:type="first" r:id="rId108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81" w:history="1">
        <w:r>
          <w:rPr>
            <w:rFonts w:ascii="arial" w:eastAsia="arial" w:hAnsi="arial" w:cs="arial"/>
            <w:b/>
            <w:bCs/>
            <w:i/>
            <w:color w:val="0077CC"/>
            <w:kern w:val="32"/>
            <w:sz w:val="28"/>
            <w:szCs w:val="32"/>
            <w:u w:val="single"/>
            <w:shd w:val="clear" w:color="auto" w:fill="FFFFFF"/>
            <w:lang w:val="en-US" w:eastAsia="en-US" w:bidi="ar-SA"/>
          </w:rPr>
          <w:t>McKee (Guardian ad litem of) v. McCoy, [2001] B.C.J. No. 2675</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Nanaimo,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Shaw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25 and 26, 1999.</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18,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Nanaimo Registry No. S15769</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[2001] B.C.J. No. 2675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2001 BCSC 1652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9 C.C.L.T. (3d) 294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110 A.C.W.S. (3d) 221</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Shawna McKee, an infant by her Guardian ad litem Steven McKee, plaintiff, and Janet McCoy,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(25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19" style="position:absolute;z-index:2516992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63" w:name="Keywords_39"/>
      <w:bookmarkEnd w:id="263"/>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Causation — Apportionment — Duty of Care — Effect of statutory precautions or safeguards on the scope of the duty of care — Whether defendant took reasonable care — Motor vehicle, pedestrians and bicyclists — Street or highway crossing, intersection — Duty of pedestrians and bicyclists to take reasonable care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 Motor vehicle, standard of care of driver — Keeping a proper lookout — Driving when ability to drive impaired — Duty to pay attention .</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64" w:name="Case Summary_38"/>
            <w:bookmarkEnd w:id="264"/>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McKee, a pedestrian struck and seriously injured by a motor vehicle driven by McCoy, to determine respective degrees of liability. McCoy had been found 100 percent liable based on a finding that McKee was in an unmarked crosswalk when she was struck. On appeal this finding was overturned and the matter sent back for a new trial. McKee, aged 14, was crossing the four lane street at an intersection bordered by grass. The lawn areas were public property. It was after dark but there were street lights. McKee wore dark clothing. McKee stopped at the curb and looked both ways. She saw the lights of McCoy's vehicle but determined that she had enough time to cross safely. She did not look to either side while she was crossing. She was five metres from the curb when she was struck. McCoy, an 81-year-old woman, was driving 45 kph in a 50 kph zone. She never saw McKee, not even when she was struck. McCoy was aware of a "vague shadow" and thought she had hit a squirrel or a cat. There was no braking before the collision. McCoy argued that her conduct should be judged by the standard of an aged person.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65" w:name="Holdings of Court_35"/>
            <w:bookmarkEnd w:id="265"/>
            <w:r>
              <w:rPr>
                <w:rFonts w:ascii="arial" w:eastAsia="arial" w:hAnsi="arial" w:cs="arial"/>
                <w:color w:val="000000"/>
                <w:sz w:val="20"/>
                <w:lang w:val="en-US" w:eastAsia="en-US" w:bidi="ar-SA"/>
              </w:rPr>
              <w:t>HELD: McCoy was 80 percent liable and McKee was 20 percent liable.</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McCoy's conduct was properly judged on the standard of an ordinary person in the operation of a motor vehicle. Had she seen McKee, she had sufficient time to apply her brakes and slow her vehicle enough to let McKee cross safely. It was not impracticable for McCoy to yield the right-of-way and she was negligent in failing to do so. She did not keep a proper lookout. McKee was contributorily negligent. She was not at a crosswalk and therefore did not have the statutory right-of- way. She saw the lights of McCoy's vehicle but did not look again in the direction of McCoy's vehicle while crossing.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McCoy was considerably more serious. She had significant eye problems and presented a significant danger to the public by driving at night. McKee's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was mitigated by the fact that when she started crossing, McCoy's vehicle was far enough away that a slight slowing of the vehicle would have permitted McKee to cross safely and by the fact that she crossed at an intersection where drivers were generally more alert.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66" w:name="Legislation Cited_26"/>
      <w:bookmarkEnd w:id="266"/>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0" style="position:absolute;z-index:2517504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ss. 119(1), 179(2), 182, 183, 183(a).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Municipal Act, ss. 533(1), 534(1).</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67" w:name="Counsel_39"/>
      <w:bookmarkEnd w:id="267"/>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1" style="position:absolute;z-index:251801600"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K.W. Thompson, for the plaintiff. M.J. Hargreaves, for the defendant.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68" w:name="Judgment_39"/>
      <w:bookmarkEnd w:id="268"/>
      <w:r>
        <w:pict>
          <v:line id="_x0000_s1222" style="position:absolute;z-index:251852800"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52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69" w:name="SHAW J."/>
            <w:bookmarkEnd w:id="269"/>
            <w:r>
              <w:rPr>
                <w:rFonts w:ascii="arial" w:eastAsia="arial" w:hAnsi="arial" w:cs="arial"/>
                <w:b/>
                <w:color w:val="000000"/>
                <w:sz w:val="30"/>
                <w:lang w:val="en-US" w:eastAsia="en-US" w:bidi="ar-SA"/>
              </w:rPr>
              <w:t>SHAW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This action involves a claim by the plaintiff, Shawna McKee, a pedestrian struck and seriously injured by a motor vehicle driven by the defendant, Janet McCoy. The accident occurred at the intersection of Shelborne Street and Knight Avenue in Victoria.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By reasons for judgment issued on March 25, 1999, </w:t>
      </w:r>
      <w:hyperlink r:id="rId1082" w:history="1">
        <w:r>
          <w:rPr>
            <w:rFonts w:ascii="arial" w:eastAsia="arial" w:hAnsi="arial" w:cs="arial"/>
            <w:i/>
            <w:color w:val="0077CC"/>
            <w:sz w:val="20"/>
            <w:u w:val="single"/>
            <w:shd w:val="clear" w:color="auto" w:fill="FFFFFF"/>
            <w:lang w:val="en-US" w:eastAsia="en-US" w:bidi="ar-SA"/>
          </w:rPr>
          <w:t>[1999] B.C.J. No. 678</w:t>
        </w:r>
      </w:hyperlink>
      <w:r>
        <w:rPr>
          <w:rFonts w:ascii="arial" w:eastAsia="arial" w:hAnsi="arial" w:cs="arial"/>
          <w:color w:val="000000"/>
          <w:sz w:val="20"/>
          <w:lang w:val="en-US" w:eastAsia="en-US" w:bidi="ar-SA"/>
        </w:rPr>
        <w:t>, this Court held that the defendant Mrs. McCoy was 100 per cent at fault. This decision was based in part on a finding that the plaintiff was in an unmarked crosswalk when she was struck by the defendant's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British Columbia Court of Appeal set aside the finding that an unmarked crosswalk existed where Ms. McKee was struck: </w:t>
      </w:r>
      <w:hyperlink r:id="rId1083" w:history="1">
        <w:r>
          <w:rPr>
            <w:rFonts w:ascii="arial" w:eastAsia="arial" w:hAnsi="arial" w:cs="arial"/>
            <w:i/>
            <w:color w:val="0077CC"/>
            <w:sz w:val="20"/>
            <w:u w:val="single"/>
            <w:shd w:val="clear" w:color="auto" w:fill="FFFFFF"/>
            <w:lang w:val="en-US" w:eastAsia="en-US" w:bidi="ar-SA"/>
          </w:rPr>
          <w:t>[2001] B.C.J. No. 804</w:t>
        </w:r>
      </w:hyperlink>
      <w:r>
        <w:rPr>
          <w:rFonts w:ascii="arial" w:eastAsia="arial" w:hAnsi="arial" w:cs="arial"/>
          <w:color w:val="000000"/>
          <w:sz w:val="20"/>
          <w:lang w:val="en-US" w:eastAsia="en-US" w:bidi="ar-SA"/>
        </w:rPr>
        <w:t>]. Under the Motor Vehicle Act R.S.B.C. 1996, c. 318, s-s. 119(1), an unmarked crosswalk is, in effect, an extension of sidewalks leading up to an intersection. This intersection was bordered by grass rather than paved sidewalks. The Court of Appeal held that the grass was not a sidewalk as defined by the Motor Vehicle Act and therefore, no unmarked crosswalk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light of its ruling on the crosswalk issue, the Court of Appeal sent the case back to this Court for further consideration.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Counsel agreed that instead of appearing before the court, they would make written submissions. They have done so. The present ruling takes into account the Court of Appeal's decision, and deals with the issue of liability only.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Counsel for both parties contend that the other was 100 per cent at fault. I do not agree with either. In the alternative, they argue that I should find that each party was contributorily negligent. They disagree on the respective degrees of fault.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think it is useful to reiterate the findings of fact made by me in the reasons for judgment dated March 25, 1999. I will leave out the finding that there was an unmarked crosswalk and proceed on the basis that there was no unmarked crosswalk. The remaining facts as found in that judgment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 The plaintiff Shawna McKee was walking across Shelborne Street at Knight Avenue in Saanich, B.C. when she was struck by a motor vehicle driven by the defendant Janet McCoy. The plaintiff suffered serious injuries including breaks to both legs. She was then 14 years old and is now 16. The defendant Mrs. McCoy was 81 at the time of the accident.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 The collision occurred after dark, at about 6:45 p.m. on November 6, 1996. It was not raining and the street was dry. There was street lighting in the vicinity of the intersection. The plaintiff was wearing dark clothing.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[4] Shelborne is a through street. Knight is a side street with stop signs for vehicular traffic where it intersects with Shelborne. The area in the vicinity of Shelborne Street and Knight Avenue is residential.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[5] Before crossing Shelborne, the plaintiff stopped at the curb and looked both ways, first to the left (the direction from which the defendant's vehicle was coming) and then to the right. She saw the lights of the defendant's vehicle and determined that she had enough time to cross in front of it in safety. She then started across Shelborne. She did not look to either side while she was crossing.</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[6] Shelborne at this point has two lanes in each direction. The plaintiff crossed the curb lane and more than half of the centre lane when she was struck by the defendant's vehicle. In all, the plaintiff travelled approximately 5 metres from the curb to the point of impact.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[7] The defendant was driving at about 45 kph in a zone with a speed limit of 50 kph. She never saw the plaintiff, not even when she was directly in front of the car and in the process of being struck. The defendant was then aware of only "a vague shadow" and felt she may have struck a squirrel or a cat. However, she did stop her car and get out. She then found the plaintiff lying on the roadway and realized what had happened.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[11] . . .For pedestrian traffic along both sides of Knight Avenue as it approaches Shelborne there are no paved sidewalks. The area between the paved surface of Knight Avenue and the property lines of adjacent homes is covered mostly in lawn and in some places gravel.</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[12] An exception is an asphalt pathway parallel to Knight Avenue leading towards Shelborne but ending about 15 metres short of Shelborne. Any pedestrian on the asphalt pathway walking towards Shelborne would naturally continue on the grass between the property line and the roadway while traversing the last 15 metres before arriving at Shelborne. That is the route that was followed by the plaintiff in reaching the Knight and Shelborne intersection.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[17] I find that the lawn areas between the roadway of Knight Avenue and the property lines are public property. According to plans put in evidence, those areas are part of the highway road allowance. Under the Municipal Act </w:t>
      </w:r>
      <w:r>
        <w:rPr>
          <w:rFonts w:ascii="arial" w:eastAsia="arial" w:hAnsi="arial" w:cs="arial"/>
          <w:i/>
          <w:color w:val="000000"/>
          <w:sz w:val="20"/>
          <w:lang w:val="en-US" w:eastAsia="en-US" w:bidi="ar-SA"/>
        </w:rPr>
        <w:t>R.S.B.C. 1996, c. 323</w:t>
      </w:r>
      <w:r>
        <w:rPr>
          <w:rFonts w:ascii="arial" w:eastAsia="arial" w:hAnsi="arial" w:cs="arial"/>
          <w:color w:val="000000"/>
          <w:sz w:val="20"/>
          <w:lang w:val="en-US" w:eastAsia="en-US" w:bidi="ar-SA"/>
        </w:rPr>
        <w:t>, title to such land rests in the Provincial Government (s. 534(1)), and the right of possession rests in the local municipality (s. 533(1)). There is no evidence that pedestrians are in any way forbidden to walk on such boulevard areas. I must conclude, therefore, that members of the public are entitled to walk on the boulevards along side Knight Avenue toward Shelborne.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[29] The defendant's contention centres upon the amount of time she would have had to react to the sight of the plaintiff starting to cross Shelborne had the defendant actually seen her. The time the defendant would have had is the time that was actually taken by the plaintiff walking from the curb to the point where she was hit. The distance from the curb to the point of impact, just over one and one-half lanes on Shelborne, was approximately 5 metres. A traffic accident reconstruction expert called by the plaintiff, Mr. Derek Wild, assumed the plaintiff's walking speed was 1.26 metres per second. Based upon this assumption he calculated the lapsed time from start to point of impact to be 4 seconds (5 metres divided by 1.26 metres per second equals approximately 4 seconds) plus an increment for acceleration by the plaintiff from her initial position up to walking speed. Mr. Wild adopted the 1.26 metres per second figure from a study and from an expert's report commissioned by the defendant but not put in evidence.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[30] On cross-examination, defendant's counsel put to Mr. Wild another study which used 1.80 metres per second for an adolescent's walking speed. Mr. Wild did not accept the 1.80 figure as being applicable to the plaintiff. He pointed out that the 1.80 figure made no differentiation between male and female adolescents. I adopt the 1.26 metres per second figure used by Mr. Wild.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[31] As noted earlier, the defendant's vehicle was travelling at approximately 45 kph. There was no braking before the collision. At 45 kph the defendant's vehicle would have travelled approximately 50 metres in 4 seconds. I find, therefore, that the defendant's vehicle was about 50 metres away from the point of impact as the plaintiff started to cross Shelborne.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[32] Mr. Wild explained that a driver needs time for detection, identification, decision and response. He testified that the usual time from detection to response by braking is from 1 &amp; 1/2 seconds and 2 &amp; 1/2 seconds. He chose 2 &amp; 1/2 seconds in the circumstances of this case, but conceded on cross-examination that it could be as long as 3 seconds, taking into account the age of the defendant.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[33] On either of those figures (2 &amp; 1/2 or 3 seconds), I find that the defendant, had she seen the plaintiff starting to cross the road, had sufficient time to apply her brakes and slow her vehicle enough to let the plaintiff cross safely in front of her. Thus, when the plaintiff left the curb, the defendant's vehicle was not so close as to make it impracticable for the defendant to yield the right-of-way.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The relevant provisions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179(2) A pedestrian must not leave a curb or other place of safety and walk or run into the path of a vehicle that is so close it is impracticable for the driver to yield the right of way.</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 .</w:t>
      </w:r>
    </w:p>
    <w:p>
      <w:pPr>
        <w:numPr>
          <w:numId w:val="1"/>
        </w:numPr>
        <w:tabs>
          <w:tab w:val="clear" w:pos="760"/>
          <w:tab w:val="num" w:pos="112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a pedestrian is crossing a highway at a point not in a crosswalk, he shall yield the right of way to a vehicle.</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Notwithstanding sections 180, 181, and 182, a driver of a vehicle shall</w:t>
      </w:r>
    </w:p>
    <w:p>
      <w:pPr>
        <w:numPr>
          <w:numId w:val="3"/>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a highway . .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I find helpful the following excerpts from two decisions of the British Columbia Court of Appeal. In Liston v. Striegler, </w:t>
      </w:r>
      <w:hyperlink r:id="rId1084" w:history="1">
        <w:r>
          <w:rPr>
            <w:rFonts w:ascii="arial" w:eastAsia="arial" w:hAnsi="arial" w:cs="arial"/>
            <w:i/>
            <w:color w:val="0077CC"/>
            <w:sz w:val="20"/>
            <w:u w:val="single"/>
            <w:shd w:val="clear" w:color="auto" w:fill="FFFFFF"/>
            <w:lang w:val="en-US" w:eastAsia="en-US" w:bidi="ar-SA"/>
          </w:rPr>
          <w:t>[1996] B.C.J. No. 1408</w:t>
        </w:r>
      </w:hyperlink>
      <w:r>
        <w:rPr>
          <w:rFonts w:ascii="arial" w:eastAsia="arial" w:hAnsi="arial" w:cs="arial"/>
          <w:color w:val="000000"/>
          <w:sz w:val="20"/>
          <w:lang w:val="en-US" w:eastAsia="en-US" w:bidi="ar-SA"/>
        </w:rPr>
        <w:t>, Prowse J.A. for the Court said, at paras. 13 and 14: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13 In this case, Ms. Liston was not crossing the highway within the unmarked crosswalk and she was, therefore, bound to yield the right of way to vehicles on the highway. She did not do so. Ms. Liston's failure to yield the right of way, however, did not absolve Mr. Striegler from his duty, both at common law and under s. 183(a) of the Act, to exercise due care to avoid colliding with her. In other words, Mr. Striegler could not rely on Ms. Liston's breach of s. 182 to avoid or diminish his own duty to take reasonable care to avoid a collision.</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14 None of the authorities to which we were referred supports the proposition that the duty on a motorist under s. 183(a) to take reasonable care to avoid colliding with a pedestrian is greater than the duty on a pedestrian crossing a highway outside a crosswalk to take reasonable care for her own safety. Each has a duty to exercise care, and the question of the degrees of fault for the resultant accident if these duties are breached must be resolved on the basis of the evidence as a whole. It is not correct to say, as did the trial judge, that Mr. Striegler "was under a greater duty to take care because of s. 183 . . . ." Attributing a greater duty to the motorist as a matter of law would invariably lead to a finding of greater liability against a motorist in breach of s. 183(a) than against a pedestrian in breach of s. 182. The authorities which I have reviewed analyzing the respective fault of a motorist and a pedestrian in situations analogous to that here reveal a broad range of liability attributed to the motorist, from a finding of no fault to 100 per cent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Of similar effect is the following passage in the judgment of Huddart J.A. for the Court in Jordison v. Grabham </w:t>
      </w:r>
      <w:hyperlink r:id="rId1085" w:history="1">
        <w:r>
          <w:rPr>
            <w:rFonts w:ascii="arial" w:eastAsia="arial" w:hAnsi="arial" w:cs="arial"/>
            <w:i/>
            <w:color w:val="0077CC"/>
            <w:sz w:val="20"/>
            <w:u w:val="single"/>
            <w:shd w:val="clear" w:color="auto" w:fill="FFFFFF"/>
            <w:lang w:val="en-US" w:eastAsia="en-US" w:bidi="ar-SA"/>
          </w:rPr>
          <w:t>(1999), 67 B.C.L.R. (3d) 57</w:t>
        </w:r>
      </w:hyperlink>
      <w:r>
        <w:rPr>
          <w:rFonts w:ascii="arial" w:eastAsia="arial" w:hAnsi="arial" w:cs="arial"/>
          <w:color w:val="000000"/>
          <w:sz w:val="20"/>
          <w:lang w:val="en-US" w:eastAsia="en-US" w:bidi="ar-SA"/>
        </w:rPr>
        <w:t>, at p. 62: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Moreover, the fundamental issue before the trial judge was not who should have yielded the right of way to the other but who breached the standard of care owed to others in the circumstances. The trial judge found both parties breached their standard of care, the appellant in failing to keep a proper lookout when she entered the road on a dark and rainy night in the face of an oncoming car whose lights should have been visible to her, and the respondent when he failed to keep a sufficient lookout for someone who was there to be seen for sufficient time that he might have avoided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Both of the foregoing decisions deal with pedestrians crossing roadways where no unmarked crosswalk existed.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xml:space="preserve">  The common law duty applicable to a right-of-way situation was stated by Cartwright J. in Walker v. Brownlee, </w:t>
      </w:r>
      <w:hyperlink r:id="rId838" w:history="1">
        <w:r>
          <w:rPr>
            <w:rFonts w:ascii="arial" w:eastAsia="arial" w:hAnsi="arial" w:cs="arial"/>
            <w:i/>
            <w:color w:val="0077CC"/>
            <w:sz w:val="20"/>
            <w:u w:val="single"/>
            <w:shd w:val="clear" w:color="auto" w:fill="FFFFFF"/>
            <w:lang w:val="en-US" w:eastAsia="en-US" w:bidi="ar-SA"/>
          </w:rPr>
          <w:t>[1952] 2 D.L.R. 450</w:t>
        </w:r>
      </w:hyperlink>
      <w:r>
        <w:rPr>
          <w:rFonts w:ascii="arial" w:eastAsia="arial" w:hAnsi="arial" w:cs="arial"/>
          <w:color w:val="000000"/>
          <w:sz w:val="20"/>
          <w:lang w:val="en-US" w:eastAsia="en-US" w:bidi="ar-SA"/>
        </w:rPr>
        <w:t>, at p. 461: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the decision of every motor vehicle collision case must depend on its particular facts, I am of the opinion that when A, the driver in the servient position, proceeds through an intersection in complete disregard of his statutory duty to yield the right-of-way and a collision results, if he seeks to case any portion of the blame upon B, the driver having the right of way, A must establish that after B became aware, or by the exercise of reasonable care should have become aware, of A's disregard of the law, B had in fact a sufficient opportunity to avoid the accident of which a reasonably careful and skilful driver would have availed himself and I do not think that in such circumstance any doubt should be resolved in favour of A, whose unlawful conduct was fons et origo mali.</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While the Walker decision relates to motor vehicle collisions, in my opinion it applies equally to accidents involving motor vehicles and pedestrians.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Counsel for Mrs. McCoy takes the position that I should judge her conduct by the standard of an aged person, that is, a person whose capacities are reduced because of age. Mrs. McCoy's age at the time of the accident was 81.</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my view, the test that must be applied is the ordinary person standard. This standard has deep roots in the law. In Vaughan v. Menlove, (1837) 3 Bing. (N.C.) 468, Tindal C.J. dealt with a submission that a man whose intelligence was less than average and whose conduct led to the occurrence of a fire, should be judged by the standard of acting in "good faith" and to "the best of his own judgment." Tindal C.J. rejected this argument and said at p. 475: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Instead, therefore, of saying that the liability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should be co-extensive with the judgment of each individual, which would be as variable as the length of the foot of each individual, we ought rather to adhere to the rule which requires in all cases a regard to caution such as a man of ordinary prudence would observe.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xml:space="preserve">  The law in Canada is essentially the same. In McErlean v. Sarel et al. </w:t>
      </w:r>
      <w:hyperlink r:id="rId1086" w:history="1">
        <w:r>
          <w:rPr>
            <w:rFonts w:ascii="arial" w:eastAsia="arial" w:hAnsi="arial" w:cs="arial"/>
            <w:i/>
            <w:color w:val="0077CC"/>
            <w:sz w:val="20"/>
            <w:u w:val="single"/>
            <w:shd w:val="clear" w:color="auto" w:fill="FFFFFF"/>
            <w:lang w:val="en-US" w:eastAsia="en-US" w:bidi="ar-SA"/>
          </w:rPr>
          <w:t>(1987), 61 O.R. (2d) 396</w:t>
        </w:r>
      </w:hyperlink>
      <w:r>
        <w:rPr>
          <w:rFonts w:ascii="arial" w:eastAsia="arial" w:hAnsi="arial" w:cs="arial"/>
          <w:color w:val="000000"/>
          <w:sz w:val="20"/>
          <w:lang w:val="en-US" w:eastAsia="en-US" w:bidi="ar-SA"/>
        </w:rPr>
        <w:t xml:space="preserve"> (C.A.) (leave to appeal to S.C.C. refused, </w:t>
      </w:r>
      <w:hyperlink r:id="rId1087" w:history="1">
        <w:r>
          <w:rPr>
            <w:rFonts w:ascii="arial" w:eastAsia="arial" w:hAnsi="arial" w:cs="arial"/>
            <w:i/>
            <w:color w:val="0077CC"/>
            <w:sz w:val="20"/>
            <w:u w:val="single"/>
            <w:shd w:val="clear" w:color="auto" w:fill="FFFFFF"/>
            <w:lang w:val="en-US" w:eastAsia="en-US" w:bidi="ar-SA"/>
          </w:rPr>
          <w:t>[1988] 1 S.C.R. xi</w:t>
        </w:r>
      </w:hyperlink>
      <w:r>
        <w:rPr>
          <w:rFonts w:ascii="arial" w:eastAsia="arial" w:hAnsi="arial" w:cs="arial"/>
          <w:color w:val="000000"/>
          <w:sz w:val="20"/>
          <w:lang w:val="en-US" w:eastAsia="en-US" w:bidi="ar-SA"/>
        </w:rPr>
        <w:t>), the plaintiff was nearly 15 years of age when he suffered brain injuries from a collision while riding a motorized trail bicycle. The trial judge found that the plaintiff was contributorily negligent but, in assessing his degree of fault, took into account his youth and inexperience. On appeal, the Court considered the issue of the proper standard to be applied to the plaintiff's conduct. Five judges of the Ontario Court of Appeal heard the appeal. The Court held, at p. 412:</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Where a child engages in what may be classified as an "adult activity", he or she will not be accorded special treatment, and no allowance will be made for his or her immaturity. In those circumstances, the minor will be held to the same standard of care as an adult engaged in the same activity.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Further, at p. 413:</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While teenagers may in other instances be judged by standards commensurate with their age, intelligence and experience, it would be unfair and, indeed, dangerous to the public to permit them in the operation of these power-driven vehicles to observe any lesser standard than that required of all other drivers of such vehicles. The circumstances of contemporary life require a single standard of care with respect to such activities.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And at p. 415: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Recognizing, for the reasons set forth earlier, the applicability of the reasonable person standard to a 15-year-old boy engaged in the operating of a motor bike, the question to be asked with respect to the respondent's liability for the accident is: "What would a reasonable and prudent driver of this type of vehicle have done in these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xml:space="preserve">  The Court applied these principles and increased the degree of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American cases involving young drivers have adopted the same standard. See: Daniels v. Evans (1966) 223 A. 2d 63, 107 N.H. 407 (Supreme Court of New Hampshire); Neudeck v. Bransten (1965) 233 Cal. App. 2d 17, 43 Cal. Rptr. 250 (Dist. Court of Appeal of California, 1st Appellate Dist.); Harrelson v. Whitehead (1963) 365 S.W. 2d 868 (Supreme Court of Arkansas); Dellow v. Pearson (1961) 107 N.W. 2d 859, 259 Minn. 452 (Supreme Court of Minnesota).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The question raised in this case is whether the reasonable person standard should be applied to an aged driver. In my view, the considerations articulated in the above-cited cases logically apply with equal force to all persons of any age or capacity who drive motor vehicles. I conclude, therefore, that the standard of the reasonable person must be applied to the defendant Mrs. McCoy.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is no doubt that Mrs. McCoy was negligent. Her lookout was obviously deficient as she failed to see the plaintiff who, at a walking pace, had already crossed more than one and a half traffic lanes and was directly in front of her vehicle when the collision took place. Mrs. McCoy had over four seconds to see the plaintiff, yet she never did. Mrs. McCoy did not even see the plaintiff when the collision took place. She was only aware of a vague shadow and thought she may have struck a squirrel or a cat. A driver of ordinary capacity would have had seen Ms. McKee and, with a slight slowing of the vehicle, allowed her to cross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Ms. McKee was also at fault. She was not in a crosswalk and therefore did not have the statutory right-of-way. Before she stepped onto the roadway she saw the lights of Mrs. McCoy's approaching vehicle. However, while she was walking across the street, she did not look again in the direction of Mrs. McCoy's car. The combination of not having the right-of-way and deficient lookout lead me to conclude that she was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xml:space="preserve">  As for degrees of fault, I find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Mrs. McCoy, was considerably more serious than that of the plaintiff. Mrs. McCoy had significant eye problems, including bilateral cataracts, cloudy peripheral vision, bilateral nuclear sclerosis and early macular depigmentation. Her vision was 6/12 in each eye, the bare minimum standard to hold a driver's licence. Taking into account Mrs. McCoy's age, the impaired condition of her eyes, and her complete failure to see Ms. McKee, even when she was in the process of being struck, I am of the view that Mrs. McCoy presented a significant danger to the public by driving at night.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As for Ms. McKee, there are certain mitigating factors. First, when she started to cross the street, the approaching vehicle was far enough away that a slight slowing of the vehicle would have permitted a safe crossing. Second, Ms. McKee was crossing the street at an intersection. Even though at law she did not have the right-of-way, she crossed at a place where drivers are generally more alert for pedestrians. In Callaghan (Guardian Ad Litem of) v. Cairns </w:t>
      </w:r>
      <w:hyperlink r:id="rId1088" w:history="1">
        <w:r>
          <w:rPr>
            <w:rFonts w:ascii="arial" w:eastAsia="arial" w:hAnsi="arial" w:cs="arial"/>
            <w:i/>
            <w:color w:val="0077CC"/>
            <w:sz w:val="20"/>
            <w:u w:val="single"/>
            <w:shd w:val="clear" w:color="auto" w:fill="FFFFFF"/>
            <w:lang w:val="en-US" w:eastAsia="en-US" w:bidi="ar-SA"/>
          </w:rPr>
          <w:t>(1995), 17 B.C.L.R. (3d) 168</w:t>
        </w:r>
      </w:hyperlink>
      <w:r>
        <w:rPr>
          <w:rFonts w:ascii="arial" w:eastAsia="arial" w:hAnsi="arial" w:cs="arial"/>
          <w:color w:val="000000"/>
          <w:sz w:val="20"/>
          <w:lang w:val="en-US" w:eastAsia="en-US" w:bidi="ar-SA"/>
        </w:rPr>
        <w:t xml:space="preserve"> (C.A.), a pedestrian crossed a highway at a point where a crosswalk might well have been expected to exist, but did not. Lambert, J.A. for the Court, in judging the conduct of the plaintiff pedestrian, took into account the fact that she crossed the highway at a place where any sensible adult would have done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Based upon the facts of this case, I assess the degrees of fault at 80 per cent on the part of Mrs. McCoy and 20 per cent on the part of Ms. McKee.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 parties may address the Court on the matter of costs should it be necessary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SHAW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3" style="position:absolute;z-index:25189171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089"/>
          <w:headerReference w:type="default" r:id="rId1090"/>
          <w:footerReference w:type="even" r:id="rId1091"/>
          <w:footerReference w:type="default" r:id="rId1092"/>
          <w:headerReference w:type="first" r:id="rId1093"/>
          <w:footerReference w:type="first" r:id="rId109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095" w:history="1">
        <w:r>
          <w:rPr>
            <w:rFonts w:ascii="arial" w:eastAsia="arial" w:hAnsi="arial" w:cs="arial"/>
            <w:b/>
            <w:bCs/>
            <w:i/>
            <w:color w:val="0077CC"/>
            <w:kern w:val="32"/>
            <w:sz w:val="28"/>
            <w:szCs w:val="32"/>
            <w:u w:val="single"/>
            <w:shd w:val="clear" w:color="auto" w:fill="FFFFFF"/>
            <w:lang w:val="en-US" w:eastAsia="en-US" w:bidi="ar-SA"/>
          </w:rPr>
          <w:t>Mitchell (Guardian ad litem of) v. James, [2007] B.C.J. No. 1337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Hinkson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23 - 27,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19, 2007.</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M051180</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[2007] B.C.J. No. 1337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BCSC 878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47 M.V.R. (5th) 237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158 A.C.W.S. (3d) 1029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2007 CarswellBC 1406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Kelsey Mitchell, an infant by her Guardian ad litem, Shirley Mitchell, Plaintiff, and Brian William James and Jennifer Ann Pagan, Defendants, and Insurance Corporation of British Columbia, Third Party, and Christine Frances Mitchell and Andrew Mitchell,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(82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4" style="position:absolute;z-index:2517002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0" w:name="Keywords_40"/>
      <w:bookmarkEnd w:id="270"/>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Motor vehicles — Liability of driver — Standard of care — Action for personal injuries suffered by six-year-old plaintiff when she was struck by defendant's vehicle — Plaintiff attempted to cross street in front of her house when she was struck by defendants' vehicle — Action allowed — Plaintiff 25 per cent negligent — Third party claim against parents dismissed — Defendant failed to keep proper lookout on street where children often crossed — Plaintiff's entry onto street was not conduct to be expected from reasonable child of her age, intelligence and experience.</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1" w:name="Case Summary_39"/>
            <w:bookmarkEnd w:id="271"/>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personal injuries suffered by six-year-old plaintiff when she was struck by defendant's vehicle -- Plaintiff attempted to cross street in front of her house when she was struck by defendants' vehicle -- Defendant was not speeding -- Defendant did not see plaintiff until she was one foot in front of his vehicle -- HELD: Action allowed -- Third party claim against child's parents dismissed -- Defendant knew that street in area of accident was area in which children played and crossed the street -- Defendant required to exercise special precautions for safety of children whose entrance onto roadway was reasonably foreseeable -- Defendant did not exercise special precautions -- Plaintiff should have been visible to defendant earlier -- Failure to see plaintiff in time constituted failure to maintain a proper lookout -- Plaintiff, by her age, intelligence and experience, was capable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accident -- Plaintiff's entry onto street was not conduct to be expected from reasonable child of her age, intelligence and experience -- Plaintiff found 25 per cent liable for accident -- Plaintiff's parents not negligent in supervising or instructing child on road safety.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2" w:name="Counsel_40"/>
      <w:bookmarkEnd w:id="27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25" style="position:absolute;z-index:25175142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Ian R. Sisett.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Brian William James: Michael Murphy, Anna Sekunova.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Jennifer Ann Pagan and Insurance Corporation of British Columbia: Gary Somers, Q.C..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Christine and Andrew Mitchell: Peter Buxton.</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3" w:name="Judgment_40"/>
      <w:bookmarkEnd w:id="273"/>
      <w:r>
        <w:pict>
          <v:line id="_x0000_s1226" style="position:absolute;z-index:251802624"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98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74" w:name="HINKSON J."/>
            <w:bookmarkEnd w:id="274"/>
            <w:r>
              <w:rPr>
                <w:rFonts w:ascii="arial" w:eastAsia="arial" w:hAnsi="arial" w:cs="arial"/>
                <w:b/>
                <w:color w:val="000000"/>
                <w:sz w:val="30"/>
                <w:lang w:val="en-US" w:eastAsia="en-US" w:bidi="ar-SA"/>
              </w:rPr>
              <w:t>HINKSON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May 17, 2004 was a sunny day. On that day, Kelsey Mitchell was 15 days shy of her sixth birthday. She was struck in the early evening hours of that day, in front of her house at 2608 Harrier Drive in Port Coquitlam, by a vehicle owned by the defendant, Jennifer Ann Pagan, and driven with her permission by the defendant, Brian William James.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Mr. James, Ms. Pagan, and the third party, ICBC, say that the collision was Kelsey's fault, but that if Mr. James was at fault in whole or in part, then Kelsey's parents, Christine Frances Mitchell and Andrew Mitchell, are also at fault for failing to properly instruct and supervise their daughter with respect to road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issue to be decided is the liability of the various parties for the collision which caused Kelsey's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Christine and Andrew Mitchell have two children; Connor, who was born on February 10, 1997, and Kelsey who was born on June 1, 1998.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Connor Mitchell has been diagnosed with some degree of Tourette's syndrome. As a result of his diagnosis, Connor's parents said that they were particularly careful to instruct and supervise him with respect to road safety issues. They told Connor to always look both ways before crossing the street, and that if a car appeared to stop for him, to make sure that he made eye contact with the driver before stepping out onto the road. Mrs. Mitchell said that she told Connor never to run across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Mrs. Mitchell explained that her instructions to Connor about road safety were given in Kelsey's presence, and that as Kelsey got a little older, she, like her brother, was advised and cautioned in the same way about road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At their respective examinations for discovery, both Mr. and Mrs. Mitchell gave evidence that, prior to May 17, 2004, they were scrupulous about always accompanying their children when crossing any road, but at trial both conceded that that evidence was overstated. Each said that since they were examined, they had reflected on that part of their evidence, and concluded that it was incorrect.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Mitchells' next door neighbour at 2606 Harrier Drive gave evidence. He is a retired bus driver. One of his stepdaughters has three children who visit him and his wife on weekends. These children were allowed to play at the Mitchells' home, and as he was at home a great deal following his retirement, the neighbour said that he had many occasions to observe Kelsey Mitchell crossing Harrier Drive both before and after May 17,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neighbour said that before her accident, Kelsey often crossed the street walking or running with her bicycle, and that on most occasions she did not look to see if cars were coming. He estimated that she looked for cars only 10 percent of the time. He said that after the accident, Kelsey looked more often than before prior to crossing the road, but did not do so consistently. He conceded in cross-examination that if Kelsey was outdoors, she may have been supervised by an adult.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At the time of the accident, Mr. Gregory Garnet Coulter, lived further east of the Mitchells at 2604 Harrier Drive with his wife, Kathleen Ann Coulter. He said that before the accident both Kelsey and her brother ran across Harrier Drive without looking both ways. He said that this went on for about one year before the accident in Kelsey's case, but that she was more cautious after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Mrs. Coulter said that it was not at all unusual to see Kelsey run across Harrier Drive before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In cross-examination Mr. Coulter conceded that when Kelsey and her brother crossed Harrier Drive, one or both of Mr. and Mrs. Mitchell were usually in their front yard, and he was unable to say that the children were crossing the Drive unsupervised at all.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Brian Cyril Swan lived at 2607 Harrier Drive, at the time of the accident. His home was across the Drive from the Mitchells', and his daughter Erin, one year younger than Kelsey, was a playmate of Kelsey. He was not asked about Kelsey's habits in crossing the road, but gave evidence that just before she was struck, Kelsey had been at his home, and said that she was going to "run home" to get her bicycle. There was no suggestion that she needed him to assist her to cross the Drive. His memory as to where Mrs. Mitchell was at the time was imperfect.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Mr. Mitchell's mother, Shirley Ann Mitchell, stated that she and her husband visited the residence at Harrier Drive every two months or so, and that when they did so, they would stay for the weekend. She described Kelsey as very attentive, and said that both she and Connor looked both ways before crossing the road with her, and that she reinforced that they should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Mrs. Megan Diane Harley lived at 2611 Harrier Drive at the time in question. She is a registered nurse and the mother of four children. She knew both of the Mitchell children, and said that they were cooperative and respectful. She said that her children were allowed to go to the Mitchell home, and that she considered that they would be well looked out for at that home, from what she had seen of the Mitchells.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Mrs. Harley said that she and Mrs. Mitchell walked their children to school approximately two days a week, both before and after the accident, and that Kelsey held her mother's hand when crossing the road. She described Mrs. Mitchell as a good parent, protective of her children, and said that she respected the way Mrs. Mitchell parented. She said her own style of parenting was similar, and that she was never concerned about her own children when they were in the care of Mrs.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Jennifer Swan is the wife of Mr. Swan referred to above. She gave evidence that the Mitchell parents spent a lot of time outside with their children, and that Mrs. Mitchell seemed "paranoid" about where her children were. She said that when her own daughter Erin played with Kelsey, she had no concerns about her safety when she was supervised by the Mitchells.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SCENE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Harrier Drive is a street that begins and ends where it connects with Falcon Drive. Condor Crescent begins and ends where it in turn connects with Harrier Drive.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Harrier Drive is also interrupted by Kestral Court, to the southeast of the Mitchell home, and there is a playground to the southeast of Kestral Court where the posted speed limit is 30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 speed limit on Harrier Drive in the area of the Mitchell home is 50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Harrier Drive is lined by homes on each side, and some of the residents and those visiting them, park vehicles on the street in front of those homes.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travelled portion of the Drive in the area of the Mitchell and Swan homes is approximately 8.8 meters in width from curb to curb. The only visual obstructions in the area would be parked cars.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The Swans' driveway is not directly across from the Mitchells', and if Kelsey took a direct route from the former to the latter, she would have had to traverse a little more than 8.8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 distance between the Swans' driveway and the next driveway to the east of it is 8.7 meters.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There were no witnesses to events immediately prior to the collision. Kelsey apparently has no memory of the events before and after the collision. Mr. James said that he did not see Kelsey until she was one foot in front of his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Mr. James passenger, Mr. LaFlamme, said he guessed that Mr. James was travelling 30 to 40 kmh prior to the impact, and that although he was looking ahead himself, he saw nothing on the road until there was a flash in front of the driver's side front fender of the vehicle, and then a "bang".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Mr. LaFlamme also said that there was pretty much one parked car per home on the street at the time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Swan gave a statement to the police in which he said that prior to the collision Kelsey was "running back home to get her bicycle", but at trial he explained that he did not see Kelsey leave his garage, and that his reference to "running" was not literal. I am satisfied that he did not see Kelsey running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Mrs. Mitchell gave evidence that just before the collision, she was going to go and get Kelsey from the Swans', but that her effort to do so was interrupted by the noise of an accelerating vehicle, which turned out to be that driven by Mr. James, and that she followed its course until she saw her daughter thrown into the air.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reject the submission made on behalf of the defendants that Mrs. Mitchell called Kelsey to cross Harrier Drive just before the collision. Although Mrs. Mitchell said on at least one occasion that it was her intention to do so, had events not unfolded as they did, she denied actually doing so, and there is no evidence to the contrary.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It was not until his cross-examination that Mr. James gave evidence that there were so many parked cars in the area that he thought someone must have been hosting a party. I do not accept his evidence in this regard, as it was inconsistent with that of every other witness who gave evidence about the parked cars. That Mr. James gave this evidence, does not weigh in his favour, as it is so obviously self serving.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Mr. James conceded that he was familiar with the area of the accident, and that he knew that the area was a residential one, busy with children. He agreed that on May 17, 2004 that there were probably children in the area playing in their yards. He agreed that there were caution signs warning of children in the area, and for that reason, he was driving slowly. He initially estimated his speed at no more than 35 kmh, but later in cross-examination, said it was perhaps as low as 20 to 25 kmh.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Both Mr. Murphy and Mr. Sisett produced engineering reports that purported to address the speed of Mr. James vehicle, and the opportunity that Mr. James had to react to a child in front of him on the road. The factual foundations that one of the engineers, Mr. Brown was asked to make, as the basis for his report are so unreliable that I am not prepared to place any weight upon the speed estimates that he reached.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 am, however, prepared to accept Mr. Brown's evidence that the time required by a driver in the 50th percentile to perceive the presence of a hazard and execute an avoidance manoeuvre in daylight conditions is 1.1 seconds.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I also accept Mr. Brown's evidence that the average width of a Mazda motor vehicle is 1.8 meters, despite the evidence of a second engineer, Mr. Toor, that this may be a slight over estimate.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also accept Mr. Brown's evidence that the 50th percentile running speed of a five year old female is 3.85 meters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 find that when Kelsey attempted to cross the Drive, there was a vehicle parked in the area to the east of Mr. Swan's driveway, on the north side of Harrier Drive, occupying a width of approximately 1.8 meters, leaving a remaining 7 meters of unrestricted road surface, but a greater length if the path taken to cross Harrier Drive is more diagonal.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I have concluded that, prior to the collision Mr. James was travelling at a speed of approximately 35 kmh, occupying one-half of the available travelled portion of the roadway. As his vehicle was approximately 1.8 meters in width, and Kelsey was struck, as I find she was, by his left front bumper, she had crossed over 6.2 meters from the Swan's driveway; the width of the parked vehicle, plus half the remaining distance plus the latter half of the width of Mr. James vehicle before she was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STATUTORY AND LEGAL OBLIGATIONS OF MR. JAMES AND KELSEY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Obviously the fact that Kelsey was struck by the vehicle driven by Mr. James is not, in and of itself, evidence that Mr. James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Spencer J. observed in </w:t>
      </w:r>
      <w:r>
        <w:rPr>
          <w:rFonts w:ascii="arial" w:eastAsia="arial" w:hAnsi="arial" w:cs="arial"/>
          <w:b/>
          <w:i/>
          <w:color w:val="000000"/>
          <w:sz w:val="20"/>
          <w:lang w:val="en-US" w:eastAsia="en-US" w:bidi="ar-SA"/>
        </w:rPr>
        <w:t>Parm v. Pinnock</w:t>
      </w:r>
      <w:r>
        <w:rPr>
          <w:rFonts w:ascii="arial" w:eastAsia="arial" w:hAnsi="arial" w:cs="arial"/>
          <w:color w:val="000000"/>
          <w:sz w:val="20"/>
          <w:lang w:val="en-US" w:eastAsia="en-US" w:bidi="ar-SA"/>
        </w:rPr>
        <w:t xml:space="preserve">, </w:t>
      </w:r>
      <w:hyperlink r:id="rId1096" w:history="1">
        <w:r>
          <w:rPr>
            <w:rFonts w:ascii="arial" w:eastAsia="arial" w:hAnsi="arial" w:cs="arial"/>
            <w:i/>
            <w:color w:val="0077CC"/>
            <w:sz w:val="20"/>
            <w:u w:val="single"/>
            <w:shd w:val="clear" w:color="auto" w:fill="FFFFFF"/>
            <w:lang w:val="en-US" w:eastAsia="en-US" w:bidi="ar-SA"/>
          </w:rPr>
          <w:t>[1987] B.C.J. No. 1749</w:t>
        </w:r>
      </w:hyperlink>
      <w:r>
        <w:rPr>
          <w:rFonts w:ascii="arial" w:eastAsia="arial" w:hAnsi="arial" w:cs="arial"/>
          <w:color w:val="000000"/>
          <w:sz w:val="20"/>
          <w:lang w:val="en-US" w:eastAsia="en-US" w:bidi="ar-SA"/>
        </w:rPr>
        <w:t xml:space="preserve">, that the common law requires that even where a person has the right-of-way under the statute he must still exercise due care for the safety of others, and that that obligation is reflected in what is now s.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Sections 180 and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provide: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180 When a pedestrian is crossing a highway at a point not in a crosswalk, the pedestrian must yield the right of way to a vehicle.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181 Despite sections 178, 179 and 180, a driver of a vehicle must</w:t>
      </w:r>
    </w:p>
    <w:p>
      <w:pPr>
        <w:numPr>
          <w:numId w:val="5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exercise due care to avoid colliding with a pedestrian who is on the highway,</w:t>
      </w:r>
    </w:p>
    <w:p>
      <w:pPr>
        <w:numPr>
          <w:numId w:val="5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give warning by sounding the horn of the vehicle when necessary, and</w:t>
      </w:r>
    </w:p>
    <w:p>
      <w:pPr>
        <w:numPr>
          <w:numId w:val="5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observe proper precaution on observing a child or apparently confused or incapacitated person on the highway.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Liston v. Striegler</w:t>
      </w:r>
      <w:r>
        <w:rPr>
          <w:rFonts w:ascii="arial" w:eastAsia="arial" w:hAnsi="arial" w:cs="arial"/>
          <w:color w:val="000000"/>
          <w:sz w:val="20"/>
          <w:lang w:val="en-US" w:eastAsia="en-US" w:bidi="ar-SA"/>
        </w:rPr>
        <w:t xml:space="preserve">, </w:t>
      </w:r>
      <w:hyperlink r:id="rId1084" w:history="1">
        <w:r>
          <w:rPr>
            <w:rFonts w:ascii="arial" w:eastAsia="arial" w:hAnsi="arial" w:cs="arial"/>
            <w:i/>
            <w:color w:val="0077CC"/>
            <w:sz w:val="20"/>
            <w:u w:val="single"/>
            <w:shd w:val="clear" w:color="auto" w:fill="FFFFFF"/>
            <w:lang w:val="en-US" w:eastAsia="en-US" w:bidi="ar-SA"/>
          </w:rPr>
          <w:t>[1996] B.C.J. No. 1408</w:t>
        </w:r>
      </w:hyperlink>
      <w:r>
        <w:rPr>
          <w:rFonts w:ascii="arial" w:eastAsia="arial" w:hAnsi="arial" w:cs="arial"/>
          <w:color w:val="000000"/>
          <w:sz w:val="20"/>
          <w:lang w:val="en-US" w:eastAsia="en-US" w:bidi="ar-SA"/>
        </w:rPr>
        <w:t xml:space="preserve"> the BC Court of Appeal rejected the argument that s. 183 (now s. 181)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imposes a greater duty of care on a motorist than it does on a pedestrian.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Counsel in this case referred me to a multitude of cases, many of which involved cases where pedestrians were struck by motor vehicles. All of these cases are dependant upon their unique facts, but many involved circumstances where the vehicle was travelling on a through street, where vehicles routinely travel at the posted speed limit. These cases are of less assistance than those where the collision occurred in the relative quiet of a residential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I recognize that the street where Kelsey was struck was used by car dealers to allow prospective buyers to test their vehicles, but the location of Harrier Drive is in an area near a playground, and has signs, known to Mr. James, warning of the presence of children.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Some of the cases relied upon by the defendants resulted in a finding of no liability where the driver could not have seen or anticipated a child coming onto the roadway in sufficient time to avoid a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I was referred to the decision of A.F. Wilson J., in the case of </w:t>
      </w:r>
      <w:r>
        <w:rPr>
          <w:rFonts w:ascii="arial" w:eastAsia="arial" w:hAnsi="arial" w:cs="arial"/>
          <w:b/>
          <w:i/>
          <w:color w:val="000000"/>
          <w:sz w:val="20"/>
          <w:lang w:val="en-US" w:eastAsia="en-US" w:bidi="ar-SA"/>
        </w:rPr>
        <w:t>Currie (Guardian ad litem of) v. Fitt</w:t>
      </w:r>
      <w:r>
        <w:rPr>
          <w:rFonts w:ascii="arial" w:eastAsia="arial" w:hAnsi="arial" w:cs="arial"/>
          <w:color w:val="000000"/>
          <w:sz w:val="20"/>
          <w:lang w:val="en-US" w:eastAsia="en-US" w:bidi="ar-SA"/>
        </w:rPr>
        <w:t xml:space="preserve">, </w:t>
      </w:r>
      <w:hyperlink r:id="rId1097" w:history="1">
        <w:r>
          <w:rPr>
            <w:rFonts w:ascii="arial" w:eastAsia="arial" w:hAnsi="arial" w:cs="arial"/>
            <w:i/>
            <w:color w:val="0077CC"/>
            <w:sz w:val="20"/>
            <w:u w:val="single"/>
            <w:shd w:val="clear" w:color="auto" w:fill="FFFFFF"/>
            <w:lang w:val="en-US" w:eastAsia="en-US" w:bidi="ar-SA"/>
          </w:rPr>
          <w:t>[1996] B.C.J. No. 2882</w:t>
        </w:r>
      </w:hyperlink>
      <w:r>
        <w:rPr>
          <w:rFonts w:ascii="arial" w:eastAsia="arial" w:hAnsi="arial" w:cs="arial"/>
          <w:color w:val="000000"/>
          <w:sz w:val="20"/>
          <w:lang w:val="en-US" w:eastAsia="en-US" w:bidi="ar-SA"/>
        </w:rPr>
        <w:t xml:space="preserve">, where the claim of a four year old pedestrian against the driver of a motor vehicle that struck him was dismissed, in part relying upon the trial decision in </w:t>
      </w:r>
      <w:r>
        <w:rPr>
          <w:rFonts w:ascii="arial" w:eastAsia="arial" w:hAnsi="arial" w:cs="arial"/>
          <w:b/>
          <w:i/>
          <w:color w:val="000000"/>
          <w:sz w:val="20"/>
          <w:lang w:val="en-US" w:eastAsia="en-US" w:bidi="ar-SA"/>
        </w:rPr>
        <w:t>Carvell v. Lai</w:t>
      </w:r>
      <w:r>
        <w:rPr>
          <w:rFonts w:ascii="arial" w:eastAsia="arial" w:hAnsi="arial" w:cs="arial"/>
          <w:color w:val="000000"/>
          <w:sz w:val="20"/>
          <w:lang w:val="en-US" w:eastAsia="en-US" w:bidi="ar-SA"/>
        </w:rPr>
        <w:t xml:space="preserve">, </w:t>
      </w:r>
      <w:hyperlink r:id="rId1098" w:history="1">
        <w:r>
          <w:rPr>
            <w:rFonts w:ascii="arial" w:eastAsia="arial" w:hAnsi="arial" w:cs="arial"/>
            <w:i/>
            <w:color w:val="0077CC"/>
            <w:sz w:val="20"/>
            <w:u w:val="single"/>
            <w:shd w:val="clear" w:color="auto" w:fill="FFFFFF"/>
            <w:lang w:val="en-US" w:eastAsia="en-US" w:bidi="ar-SA"/>
          </w:rPr>
          <w:t>[1987] B.C.J. No. 148</w:t>
        </w:r>
      </w:hyperlink>
      <w:r>
        <w:rPr>
          <w:rFonts w:ascii="arial" w:eastAsia="arial" w:hAnsi="arial" w:cs="arial"/>
          <w:color w:val="000000"/>
          <w:sz w:val="20"/>
          <w:lang w:val="en-US" w:eastAsia="en-US" w:bidi="ar-SA"/>
        </w:rPr>
        <w:t xml:space="preserve">. The successful appeal of that decision, </w:t>
      </w:r>
      <w:hyperlink r:id="rId1099" w:history="1">
        <w:r>
          <w:rPr>
            <w:rFonts w:ascii="arial" w:eastAsia="arial" w:hAnsi="arial" w:cs="arial"/>
            <w:i/>
            <w:color w:val="0077CC"/>
            <w:sz w:val="20"/>
            <w:u w:val="single"/>
            <w:shd w:val="clear" w:color="auto" w:fill="FFFFFF"/>
            <w:lang w:val="en-US" w:eastAsia="en-US" w:bidi="ar-SA"/>
          </w:rPr>
          <w:t>[1988] B.C.J. No. 1390</w:t>
        </w:r>
      </w:hyperlink>
      <w:r>
        <w:rPr>
          <w:rFonts w:ascii="arial" w:eastAsia="arial" w:hAnsi="arial" w:cs="arial"/>
          <w:color w:val="000000"/>
          <w:sz w:val="20"/>
          <w:lang w:val="en-US" w:eastAsia="en-US" w:bidi="ar-SA"/>
        </w:rPr>
        <w:t>, was not apparently brought to the attention of the Court.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Nonetheless, in that case the infant plaintiff ran out onto the main road in Burns Lake, a busy street, and the Court found that the defendant driver did not, and could not have seen him in sufficient time to take evasive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xml:space="preserve">  I was also referred to the case of </w:t>
      </w:r>
      <w:r>
        <w:rPr>
          <w:rFonts w:ascii="arial" w:eastAsia="arial" w:hAnsi="arial" w:cs="arial"/>
          <w:b/>
          <w:i/>
          <w:color w:val="000000"/>
          <w:sz w:val="20"/>
          <w:lang w:val="en-US" w:eastAsia="en-US" w:bidi="ar-SA"/>
        </w:rPr>
        <w:t>Singh (Guardian ad litem of) v. Saragoca</w:t>
      </w:r>
      <w:r>
        <w:rPr>
          <w:rFonts w:ascii="arial" w:eastAsia="arial" w:hAnsi="arial" w:cs="arial"/>
          <w:color w:val="000000"/>
          <w:sz w:val="20"/>
          <w:lang w:val="en-US" w:eastAsia="en-US" w:bidi="ar-SA"/>
        </w:rPr>
        <w:t xml:space="preserve">, </w:t>
      </w:r>
      <w:hyperlink r:id="rId1100" w:history="1">
        <w:r>
          <w:rPr>
            <w:rFonts w:ascii="arial" w:eastAsia="arial" w:hAnsi="arial" w:cs="arial"/>
            <w:i/>
            <w:color w:val="0077CC"/>
            <w:sz w:val="20"/>
            <w:u w:val="single"/>
            <w:shd w:val="clear" w:color="auto" w:fill="FFFFFF"/>
            <w:lang w:val="en-US" w:eastAsia="en-US" w:bidi="ar-SA"/>
          </w:rPr>
          <w:t>[2004] B.C.J. No. 2126</w:t>
        </w:r>
      </w:hyperlink>
      <w:r>
        <w:rPr>
          <w:rFonts w:ascii="arial" w:eastAsia="arial" w:hAnsi="arial" w:cs="arial"/>
          <w:color w:val="000000"/>
          <w:sz w:val="20"/>
          <w:lang w:val="en-US" w:eastAsia="en-US" w:bidi="ar-SA"/>
        </w:rPr>
        <w:t>, where the claim of an infant pedestrian against a driver whose vehicle struck him was dismissed. In that case the defendant had not seen the infant plaintiff or any other children in the area, and the Court found that there was no evidence that the driver knew, or ought to have known, that there were children playing in the area.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Lemieux</w:t>
      </w:r>
      <w:r>
        <w:rPr>
          <w:rFonts w:ascii="arial" w:eastAsia="arial" w:hAnsi="arial" w:cs="arial"/>
          <w:color w:val="000000"/>
          <w:sz w:val="20"/>
          <w:lang w:val="en-US" w:eastAsia="en-US" w:bidi="ar-SA"/>
        </w:rPr>
        <w:t xml:space="preserve"> (</w:t>
      </w:r>
      <w:r>
        <w:rPr>
          <w:rFonts w:ascii="arial" w:eastAsia="arial" w:hAnsi="arial" w:cs="arial"/>
          <w:b/>
          <w:i/>
          <w:color w:val="000000"/>
          <w:sz w:val="20"/>
          <w:lang w:val="en-US" w:eastAsia="en-US" w:bidi="ar-SA"/>
        </w:rPr>
        <w:t>Guardian ad litem of) v. Evers</w:t>
      </w:r>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2000 BCSC 1464</w:t>
        </w:r>
      </w:hyperlink>
      <w:r>
        <w:rPr>
          <w:rFonts w:ascii="arial" w:eastAsia="arial" w:hAnsi="arial" w:cs="arial"/>
          <w:color w:val="000000"/>
          <w:sz w:val="20"/>
          <w:lang w:val="en-US" w:eastAsia="en-US" w:bidi="ar-SA"/>
        </w:rPr>
        <w:t xml:space="preserve">, </w:t>
      </w:r>
      <w:hyperlink r:id="rId1101" w:history="1">
        <w:r>
          <w:rPr>
            <w:rFonts w:ascii="arial" w:eastAsia="arial" w:hAnsi="arial" w:cs="arial"/>
            <w:i/>
            <w:color w:val="0077CC"/>
            <w:sz w:val="20"/>
            <w:u w:val="single"/>
            <w:shd w:val="clear" w:color="auto" w:fill="FFFFFF"/>
            <w:lang w:val="en-US" w:eastAsia="en-US" w:bidi="ar-SA"/>
          </w:rPr>
          <w:t>[2000] B.C.J. No. 2099</w:t>
        </w:r>
      </w:hyperlink>
      <w:r>
        <w:rPr>
          <w:rFonts w:ascii="arial" w:eastAsia="arial" w:hAnsi="arial" w:cs="arial"/>
          <w:color w:val="000000"/>
          <w:sz w:val="20"/>
          <w:lang w:val="en-US" w:eastAsia="en-US" w:bidi="ar-SA"/>
        </w:rPr>
        <w:t>, at para. 33, Martinson J. referred to a number of authorities that support the proposition that once the presence of a child or children on a road is known or should have been known to the driver of a vehicle proceeding through a residential area where children live, that driver must take special precautions for the safety of the child or children seen, or any other child or children yet unseen whose possible appearance or entrance onto the road is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Selles (Guardian ad litem of) v. Ling</w:t>
      </w:r>
      <w:r>
        <w:rPr>
          <w:rFonts w:ascii="arial" w:eastAsia="arial" w:hAnsi="arial" w:cs="arial"/>
          <w:color w:val="000000"/>
          <w:sz w:val="20"/>
          <w:lang w:val="en-US" w:eastAsia="en-US" w:bidi="ar-SA"/>
        </w:rPr>
        <w:t xml:space="preserve">, </w:t>
      </w:r>
      <w:hyperlink r:id="rId1102" w:history="1">
        <w:r>
          <w:rPr>
            <w:rFonts w:ascii="arial" w:eastAsia="arial" w:hAnsi="arial" w:cs="arial"/>
            <w:i/>
            <w:color w:val="0077CC"/>
            <w:sz w:val="20"/>
            <w:u w:val="single"/>
            <w:shd w:val="clear" w:color="auto" w:fill="FFFFFF"/>
            <w:lang w:val="en-US" w:eastAsia="en-US" w:bidi="ar-SA"/>
          </w:rPr>
          <w:t>[1999] B.C.J. No. 993</w:t>
        </w:r>
      </w:hyperlink>
      <w:r>
        <w:rPr>
          <w:rFonts w:ascii="arial" w:eastAsia="arial" w:hAnsi="arial" w:cs="arial"/>
          <w:color w:val="000000"/>
          <w:sz w:val="20"/>
          <w:lang w:val="en-US" w:eastAsia="en-US" w:bidi="ar-SA"/>
        </w:rPr>
        <w:t>, a nine year old boy was struck by the defendant's motor vehicle 80 to 90 feet from the closest intersection and well away from any marked crosswalk. Seventy-five percent liability was found against the driver for failing to pay attention to what was happening ahead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Lungu v. Popatia</w:t>
      </w:r>
      <w:r>
        <w:rPr>
          <w:rFonts w:ascii="arial" w:eastAsia="arial" w:hAnsi="arial" w:cs="arial"/>
          <w:color w:val="000000"/>
          <w:sz w:val="20"/>
          <w:lang w:val="en-US" w:eastAsia="en-US" w:bidi="ar-SA"/>
        </w:rPr>
        <w:t xml:space="preserve">, </w:t>
      </w:r>
      <w:hyperlink r:id="rId1103" w:history="1">
        <w:r>
          <w:rPr>
            <w:rFonts w:ascii="arial" w:eastAsia="arial" w:hAnsi="arial" w:cs="arial"/>
            <w:i/>
            <w:color w:val="0077CC"/>
            <w:sz w:val="20"/>
            <w:u w:val="single"/>
            <w:shd w:val="clear" w:color="auto" w:fill="FFFFFF"/>
            <w:lang w:val="en-US" w:eastAsia="en-US" w:bidi="ar-SA"/>
          </w:rPr>
          <w:t>[1998] B.C.J. No. 731</w:t>
        </w:r>
      </w:hyperlink>
      <w:r>
        <w:rPr>
          <w:rFonts w:ascii="arial" w:eastAsia="arial" w:hAnsi="arial" w:cs="arial"/>
          <w:color w:val="000000"/>
          <w:sz w:val="20"/>
          <w:lang w:val="en-US" w:eastAsia="en-US" w:bidi="ar-SA"/>
        </w:rPr>
        <w:t>, a pedestrian was struck while crossing the street outside the marked crosswalk. Notwithstanding the pedestrian's statutory duty to yield to the right-of-way of the defendant's motor vehicle, liability for the accident was found against the driver for failing to be more vigilant and for looking only straight ahead rather than looking at what was happening in the lanes to either side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Clint (Guardian ad litem of) v. McKeigan</w:t>
      </w:r>
      <w:r>
        <w:rPr>
          <w:rFonts w:ascii="arial" w:eastAsia="arial" w:hAnsi="arial" w:cs="arial"/>
          <w:color w:val="000000"/>
          <w:sz w:val="20"/>
          <w:lang w:val="en-US" w:eastAsia="en-US" w:bidi="ar-SA"/>
        </w:rPr>
        <w:t xml:space="preserve">, </w:t>
      </w:r>
      <w:hyperlink r:id="rId1104" w:history="1">
        <w:r>
          <w:rPr>
            <w:rFonts w:ascii="arial" w:eastAsia="arial" w:hAnsi="arial" w:cs="arial"/>
            <w:i/>
            <w:color w:val="0077CC"/>
            <w:sz w:val="20"/>
            <w:u w:val="single"/>
            <w:shd w:val="clear" w:color="auto" w:fill="FFFFFF"/>
            <w:lang w:val="en-US" w:eastAsia="en-US" w:bidi="ar-SA"/>
          </w:rPr>
          <w:t>[1998] B.C.J. No. 1265</w:t>
        </w:r>
      </w:hyperlink>
      <w:r>
        <w:rPr>
          <w:rFonts w:ascii="arial" w:eastAsia="arial" w:hAnsi="arial" w:cs="arial"/>
          <w:color w:val="000000"/>
          <w:sz w:val="20"/>
          <w:lang w:val="en-US" w:eastAsia="en-US" w:bidi="ar-SA"/>
        </w:rPr>
        <w:t>, Cole J.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14 In the case of </w:t>
      </w:r>
      <w:r>
        <w:rPr>
          <w:rFonts w:ascii="arial" w:eastAsia="arial" w:hAnsi="arial" w:cs="arial"/>
          <w:i/>
          <w:color w:val="000000"/>
          <w:sz w:val="20"/>
          <w:lang w:val="en-US" w:eastAsia="en-US" w:bidi="ar-SA"/>
        </w:rPr>
        <w:t>Chohan et al. v. Wayenberg</w:t>
      </w:r>
      <w:r>
        <w:rPr>
          <w:rFonts w:ascii="arial" w:eastAsia="arial" w:hAnsi="arial" w:cs="arial"/>
          <w:color w:val="000000"/>
          <w:sz w:val="20"/>
          <w:lang w:val="en-US" w:eastAsia="en-US" w:bidi="ar-SA"/>
        </w:rPr>
        <w:t xml:space="preserve"> </w:t>
      </w:r>
      <w:hyperlink r:id="rId835" w:history="1">
        <w:r>
          <w:rPr>
            <w:rFonts w:ascii="arial" w:eastAsia="arial" w:hAnsi="arial" w:cs="arial"/>
            <w:i/>
            <w:color w:val="0077CC"/>
            <w:sz w:val="20"/>
            <w:u w:val="single"/>
            <w:shd w:val="clear" w:color="auto" w:fill="FFFFFF"/>
            <w:lang w:val="en-US" w:eastAsia="en-US" w:bidi="ar-SA"/>
          </w:rPr>
          <w:t>(1990), 67 D.L.R. (4th) 318</w:t>
        </w:r>
      </w:hyperlink>
      <w:r>
        <w:rPr>
          <w:rFonts w:ascii="arial" w:eastAsia="arial" w:hAnsi="arial" w:cs="arial"/>
          <w:color w:val="000000"/>
          <w:sz w:val="20"/>
          <w:lang w:val="en-US" w:eastAsia="en-US" w:bidi="ar-SA"/>
        </w:rPr>
        <w:t xml:space="preserve"> (B.C.C.A.), Taylor J.A. stated at p. 319:</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of course, a need for constant vigilance for children on the roads, especially in suburban areas, for the very reason that they cannot be expected always to act with the same care that is expected of adults. Once observed in a dangerous situation, the children must be given special attention, so that any precautionary or evasive action indicated will be taken in time.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15 Considering the nature and character of this neighbourhood, the knowledge that the defendant had of this area, her knowledge that young children played along this street, that there were children in the immediate area, the defendant was required to take special precautions. I find that she failed to take any special precautions, she failed to slow down, sound her horn and failed to keep a proper lookout for these children. The time that she took her eyes off the road is indicated by the fact that Jonnathan had time to walk from the ditch area half-way across the road. I find that the defendant was negligent.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16 I find on all of the evidence that the defendant was much more at fault in these circumstances than was Mrs. Clint and I apportion liability 75% to the defendant and 25% to Mrs. Clint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If liability is found against Mr. James, can there be a finding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Kelsey Mitchell?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Where a child of more than tender years is alleged to be contributorily negligent,</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most common formulation of the test is to ask whether the child exercised the care expected from a child of like age, intelligence and experience." (</w:t>
      </w:r>
      <w:r>
        <w:rPr>
          <w:rFonts w:ascii="arial" w:eastAsia="arial" w:hAnsi="arial" w:cs="arial"/>
          <w:i/>
          <w:color w:val="000000"/>
          <w:sz w:val="20"/>
          <w:lang w:val="en-US" w:eastAsia="en-US" w:bidi="ar-SA"/>
        </w:rPr>
        <w:t>Linden in Canadian Tort Law</w:t>
      </w:r>
      <w:r>
        <w:rPr>
          <w:rFonts w:ascii="arial" w:eastAsia="arial" w:hAnsi="arial" w:cs="arial"/>
          <w:color w:val="000000"/>
          <w:sz w:val="20"/>
          <w:lang w:val="en-US" w:eastAsia="en-US" w:bidi="ar-SA"/>
        </w:rPr>
        <w:t>, 8th edition, at p. 153).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classic statement of the law relating to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children is found in the decision of the Supreme Court of Canada in </w:t>
      </w:r>
      <w:r>
        <w:rPr>
          <w:rFonts w:ascii="arial" w:eastAsia="arial" w:hAnsi="arial" w:cs="arial"/>
          <w:b/>
          <w:i/>
          <w:color w:val="000000"/>
          <w:sz w:val="20"/>
          <w:lang w:val="en-US" w:eastAsia="en-US" w:bidi="ar-SA"/>
        </w:rPr>
        <w:t>McEllistrum Estate v. Etches</w:t>
      </w:r>
      <w:r>
        <w:rPr>
          <w:rFonts w:ascii="arial" w:eastAsia="arial" w:hAnsi="arial" w:cs="arial"/>
          <w:color w:val="000000"/>
          <w:sz w:val="20"/>
          <w:lang w:val="en-US" w:eastAsia="en-US" w:bidi="ar-SA"/>
        </w:rPr>
        <w:t xml:space="preserve">, </w:t>
      </w:r>
      <w:hyperlink r:id="rId1105" w:history="1">
        <w:r>
          <w:rPr>
            <w:rFonts w:ascii="arial" w:eastAsia="arial" w:hAnsi="arial" w:cs="arial"/>
            <w:i/>
            <w:color w:val="0077CC"/>
            <w:sz w:val="20"/>
            <w:u w:val="single"/>
            <w:shd w:val="clear" w:color="auto" w:fill="FFFFFF"/>
            <w:lang w:val="en-US" w:eastAsia="en-US" w:bidi="ar-SA"/>
          </w:rPr>
          <w:t>[1956] S.C.R. 787</w:t>
        </w:r>
      </w:hyperlink>
      <w:r>
        <w:rPr>
          <w:rFonts w:ascii="arial" w:eastAsia="arial" w:hAnsi="arial" w:cs="arial"/>
          <w:color w:val="000000"/>
          <w:sz w:val="20"/>
          <w:lang w:val="en-US" w:eastAsia="en-US" w:bidi="ar-SA"/>
        </w:rPr>
        <w:t xml:space="preserve"> at 793, where Chief Justice Kerwin for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should now be laid down that where the age is not such as to make a discussion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absurd, it is a question for the jury in each case whether the infant exercised the care to be expected from a child of like age, intelligence and experience. In the present case the trial judge so charged the 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MacDonald (Guardian ad litem of) v. Manson</w:t>
      </w:r>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2000 BCCA 114</w:t>
        </w:r>
      </w:hyperlink>
      <w:r>
        <w:rPr>
          <w:rFonts w:ascii="arial" w:eastAsia="arial" w:hAnsi="arial" w:cs="arial"/>
          <w:color w:val="000000"/>
          <w:sz w:val="20"/>
          <w:lang w:val="en-US" w:eastAsia="en-US" w:bidi="ar-SA"/>
        </w:rPr>
        <w:t xml:space="preserve">, </w:t>
      </w:r>
      <w:hyperlink r:id="rId1106" w:history="1">
        <w:r>
          <w:rPr>
            <w:rFonts w:ascii="arial" w:eastAsia="arial" w:hAnsi="arial" w:cs="arial"/>
            <w:i/>
            <w:color w:val="0077CC"/>
            <w:sz w:val="20"/>
            <w:u w:val="single"/>
            <w:shd w:val="clear" w:color="auto" w:fill="FFFFFF"/>
            <w:lang w:val="en-US" w:eastAsia="en-US" w:bidi="ar-SA"/>
          </w:rPr>
          <w:t>[2000] B.C.J. No. 291</w:t>
        </w:r>
      </w:hyperlink>
      <w:r>
        <w:rPr>
          <w:rFonts w:ascii="arial" w:eastAsia="arial" w:hAnsi="arial" w:cs="arial"/>
          <w:color w:val="000000"/>
          <w:sz w:val="20"/>
          <w:lang w:val="en-US" w:eastAsia="en-US" w:bidi="ar-SA"/>
        </w:rPr>
        <w:t>, the British Columbia Court of Appeal dismissed an appeal from a finding that a seven year old was not negligent when struck crossing a highway when she had no right-of-way, despite concluding that a ten year old would, in the same circumstances, have been held to have been contributorily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Messenger et al. v. Sears and Murray Knowles, Ltd.</w:t>
      </w:r>
      <w:r>
        <w:rPr>
          <w:rFonts w:ascii="arial" w:eastAsia="arial" w:hAnsi="arial" w:cs="arial"/>
          <w:color w:val="000000"/>
          <w:sz w:val="20"/>
          <w:lang w:val="en-US" w:eastAsia="en-US" w:bidi="ar-SA"/>
        </w:rPr>
        <w:t xml:space="preserve"> </w:t>
      </w:r>
      <w:hyperlink r:id="rId1107" w:history="1">
        <w:r>
          <w:rPr>
            <w:rFonts w:ascii="arial" w:eastAsia="arial" w:hAnsi="arial" w:cs="arial"/>
            <w:i/>
            <w:color w:val="0077CC"/>
            <w:sz w:val="20"/>
            <w:u w:val="single"/>
            <w:shd w:val="clear" w:color="auto" w:fill="FFFFFF"/>
            <w:lang w:val="en-US" w:eastAsia="en-US" w:bidi="ar-SA"/>
          </w:rPr>
          <w:t>(1960), 23 D.L.R. (2d) 297</w:t>
        </w:r>
      </w:hyperlink>
      <w:r>
        <w:rPr>
          <w:rFonts w:ascii="arial" w:eastAsia="arial" w:hAnsi="arial" w:cs="arial"/>
          <w:color w:val="000000"/>
          <w:sz w:val="20"/>
          <w:lang w:val="en-US" w:eastAsia="en-US" w:bidi="ar-SA"/>
        </w:rPr>
        <w:t xml:space="preserve">, the Nova Scotia Supreme Court, </w:t>
      </w:r>
      <w:r>
        <w:rPr>
          <w:rFonts w:ascii="arial" w:eastAsia="arial" w:hAnsi="arial" w:cs="arial"/>
          <w:i/>
          <w:color w:val="000000"/>
          <w:sz w:val="20"/>
          <w:lang w:val="en-US" w:eastAsia="en-US" w:bidi="ar-SA"/>
        </w:rPr>
        <w:t>en banc</w:t>
      </w:r>
      <w:r>
        <w:rPr>
          <w:rFonts w:ascii="arial" w:eastAsia="arial" w:hAnsi="arial" w:cs="arial"/>
          <w:color w:val="000000"/>
          <w:sz w:val="20"/>
          <w:lang w:val="en-US" w:eastAsia="en-US" w:bidi="ar-SA"/>
        </w:rPr>
        <w:t xml:space="preserve">, found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boy aged five years and nine months for running across the street behind a car without being able to see and without regard to approaching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xml:space="preserve">  In </w:t>
      </w:r>
      <w:r>
        <w:rPr>
          <w:rFonts w:ascii="arial" w:eastAsia="arial" w:hAnsi="arial" w:cs="arial"/>
          <w:b/>
          <w:i/>
          <w:color w:val="000000"/>
          <w:sz w:val="20"/>
          <w:lang w:val="en-US" w:eastAsia="en-US" w:bidi="ar-SA"/>
        </w:rPr>
        <w:t>Bourne (Guardian ad litem of) v. Anderson</w:t>
      </w:r>
      <w:r>
        <w:rPr>
          <w:rFonts w:ascii="arial" w:eastAsia="arial" w:hAnsi="arial" w:cs="arial"/>
          <w:color w:val="000000"/>
          <w:sz w:val="20"/>
          <w:lang w:val="en-US" w:eastAsia="en-US" w:bidi="ar-SA"/>
        </w:rPr>
        <w:t xml:space="preserve">, </w:t>
      </w:r>
      <w:hyperlink r:id="rId1108" w:history="1">
        <w:r>
          <w:rPr>
            <w:rFonts w:ascii="arial" w:eastAsia="arial" w:hAnsi="arial" w:cs="arial"/>
            <w:i/>
            <w:color w:val="0077CC"/>
            <w:sz w:val="20"/>
            <w:u w:val="single"/>
            <w:shd w:val="clear" w:color="auto" w:fill="FFFFFF"/>
            <w:lang w:val="en-US" w:eastAsia="en-US" w:bidi="ar-SA"/>
          </w:rPr>
          <w:t>[1997] B.C.J. No. 915</w:t>
        </w:r>
      </w:hyperlink>
      <w:r>
        <w:rPr>
          <w:rFonts w:ascii="arial" w:eastAsia="arial" w:hAnsi="arial" w:cs="arial"/>
          <w:color w:val="000000"/>
          <w:sz w:val="20"/>
          <w:lang w:val="en-US" w:eastAsia="en-US" w:bidi="ar-SA"/>
        </w:rPr>
        <w:t xml:space="preserve">, Hood J. refused to find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a seven year old boy or his parents when the child ran into the street from between two parked cars, while playing a chasing game. The learned trial judge concluded that the child was capable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but that his conduct was no different from that which might be expected of a reasonable seven year old with his intelligence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Instead Hood J. found that once the presence of children on a road is known, or should be known to the driver of a vehicle proceeding through a residential area, that driver had to take special precautions for the safety of children whose entrance onto the road was reasonably foreseeable, including keeping a sharp look-out and reducing the speed of his/her vehicle so as to be able to take evasive action if necessary.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Insofar as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parents for training and supervising the street safety of their children is concerned, the standard of care to be expected is that of parents generally in the community in question; </w:t>
      </w:r>
      <w:r>
        <w:rPr>
          <w:rFonts w:ascii="arial" w:eastAsia="arial" w:hAnsi="arial" w:cs="arial"/>
          <w:b/>
          <w:i/>
          <w:color w:val="000000"/>
          <w:sz w:val="20"/>
          <w:lang w:val="en-US" w:eastAsia="en-US" w:bidi="ar-SA"/>
        </w:rPr>
        <w:t>Arnold v. Teno (Next friend of)</w:t>
      </w:r>
      <w:r>
        <w:rPr>
          <w:rFonts w:ascii="arial" w:eastAsia="arial" w:hAnsi="arial" w:cs="arial"/>
          <w:color w:val="000000"/>
          <w:sz w:val="20"/>
          <w:lang w:val="en-US" w:eastAsia="en-US" w:bidi="ar-SA"/>
        </w:rPr>
        <w:t xml:space="preserve">, </w:t>
      </w:r>
      <w:hyperlink r:id="rId1109"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 accept Mr. Swan's explanation for his statement to Constable Mehner that he did not literally mean to communicate that Kelsey ran from his driveway toward her home.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Kelsey did not give evidence and Mr. James did not see her until she was but one foot in front of him, so there is a complete absence of any evidence as to whether she walked or ran onto the street.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Based upon the evidence of Mr. Swan and on the relative location of his driveway, and that of the Mitchells', I conclude that Kelsey was attempting to cross Harrier Drive on a diagonal path, thus exposing her to the view of a west bound vehicle for slightly longer than if she were crossing directly. I conclude that she was moving at faster than a walking pace, at a speed of no more than 3.85 meters per second.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 find that Mr. James should have and did appreciate that Harrier Drive, in the area of the accident, is an area where children play and cross the roadway, and that he ought to have, as he maintained he did, exercise special precautions for the safety of children whose entrance onto the roadway was reasonably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fact that Mr. LaFlamme apparently failed to see Kelsey until just before she was struck does not persuade me that Mr. James can be excused for a similar failure. Mr. LaFlamme was under no duty to maintain a look-out as the vehicle in which he was a passenger proceeded along Harrier Drive. Mr. James was.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I do not accept Mr. James' evidence that he exercised the special precautions that he said he 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I find that Kelsey Mitchell should have been visible to Mr. James as she was to Mr. Coulter (albeit from a different vantage point) as she proceeded down the Swan's driveway and onto Harrier Drive, despite the location of the single parked vehicle to the east of the Swan driveway. His failure to observe her until she was but one foot in front of his vehicle, was a failure on his part to maintain a proper look-out.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I conclude that Mr. James had the opportunity to observe Kelsey as she proceeded down the Swan's driveway, and at least two seconds to see her after she left the Swan's driveway before hitting her. I conclude that had he kept a proper look-out, any braking on his part would have avoided the collision, in that Kelsey had almost crossed the path of his vehicle when it struck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xml:space="preserve">  Although Kelsey Mitchell was only 15 days from her sixth birthday at the time of the accident, I find that she was, by her age, intelligence and experience, capable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the accident which injured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I find that Kelsey was an intelligent, obedient and respectful girl. I accept the evidence of her parents, her grandmother, and Mrs. Harley that Kelsey had been taught and understood about road safety, and knew better than to try to cross the road if there were any cars approaching.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Absent any evidence as to how she reached the portion of Harrier Drive where she was struck by Mr. James' vehicle as that vehicle proceeded down Harrier Drive, I conclude that Kelsey failed to follow the safety rules that she had been taught, and that she understood.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I do not consider that her entry onto Harrier Drive is what could be expected of a reasonable girl of her age, intelligence and experience.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I have concluded that the greater liability for the accident which injured Kelsey Mitchell rests upon Mr. James. His unexplained failure to see Kelsey until she was but one foot in front of his vehicle satisfies me that he failed significantly to exercise the caution that he asserted he was observing, and I assess liability for the accident at 75 percent against him and 25 percent against Kelsey.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I find that Ms. Pagan, as the owner of the vehicle driven by Mr. James, is vicariously liable for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xml:space="preserve">  Despite the evidence of the resident of 2606 Harrier Drive and the Coulters, I am unable to find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or Mrs. Mitchell. I do not accept that Kelsey was as careless as portrayed by the Mitchells' immediate neighbour, who seemed to have formed some antipathy for the Mitchells following this accident. If he truly felt the Mitchells were as careless as he indicated, he would not, in my view, allow his stepdaughter's children to have been supervised by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xml:space="preserve">  The evidence of Mr. Coulter was far more measured, but curiously unique in his report that there was not one car, but two proceeding west on Harrier Drive just before Kelsey was hit. He was alone in this detail, and I find that he was simply wrong about it. Neither his evidence, nor that of his wife, when closely scrutinized, support the allegations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the Mitchells.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Counsel for the defendants urged the Court to find that both Mr. and Mrs. Mitchell were not credible witnesses, based upon the differences in their evidence of their supervision of Kelsey at their examinations for discovery and at trial. I accept that there were differences, but not that the differences are such as to affect the credibility of the Mitchells, given their explanation for those differences. In the result, I accept the evidence of both Mr. and Mrs. Mitchell as to their knowledge of Kelsey's street crossing prior to May 17, 2004.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xml:space="preserve">  It is my conclusion that the standard established for parental supervision in the community where the Mitchells resided at the material time set by </w:t>
      </w:r>
      <w:r>
        <w:rPr>
          <w:rFonts w:ascii="arial" w:eastAsia="arial" w:hAnsi="arial" w:cs="arial"/>
          <w:b/>
          <w:i/>
          <w:color w:val="000000"/>
          <w:sz w:val="20"/>
          <w:lang w:val="en-US" w:eastAsia="en-US" w:bidi="ar-SA"/>
        </w:rPr>
        <w:t>Arnold v. Teno (Next friend of)</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supra</w:t>
      </w:r>
      <w:r>
        <w:rPr>
          <w:rFonts w:ascii="arial" w:eastAsia="arial" w:hAnsi="arial" w:cs="arial"/>
          <w:color w:val="000000"/>
          <w:sz w:val="20"/>
          <w:lang w:val="en-US" w:eastAsia="en-US" w:bidi="ar-SA"/>
        </w:rPr>
        <w:t>, was met by the Mitchells.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I therefore dismiss the third party proceedings.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Mr. Murphy invited the Court to declare that at the time that the accident occurred, Mr. James had a valid British Columbia driver's license and that the third party proceedings should be dismissed against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On the pleadings, no such issue arose, and I decline to make the requested declaration, given the limited scope of the proceedings that I was asked to determine.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Counsel asked that the issue of costs be addressed once these Reasons for Judgment have been published, and I advised them that that could be done. I will leave it to counsel to arrange for either written submissions on costs, or to arrange for a date to make oral submissions, should they wish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HINKSON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27" style="position:absolute;z-index:25185382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10"/>
          <w:headerReference w:type="default" r:id="rId1111"/>
          <w:footerReference w:type="even" r:id="rId1112"/>
          <w:footerReference w:type="default" r:id="rId1113"/>
          <w:headerReference w:type="first" r:id="rId1114"/>
          <w:footerReference w:type="first" r:id="rId1115"/>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16" w:history="1">
        <w:r>
          <w:rPr>
            <w:rFonts w:ascii="arial" w:eastAsia="arial" w:hAnsi="arial" w:cs="arial"/>
            <w:b/>
            <w:bCs/>
            <w:i/>
            <w:color w:val="0077CC"/>
            <w:kern w:val="32"/>
            <w:sz w:val="28"/>
            <w:szCs w:val="32"/>
            <w:u w:val="single"/>
            <w:shd w:val="clear" w:color="auto" w:fill="FFFFFF"/>
            <w:lang w:val="en-US" w:eastAsia="en-US" w:bidi="ar-SA"/>
          </w:rPr>
          <w:t>National Union Fire Insurance Company of Pittsburgh, PA. v. National Semiconductor Corp., [2006] B.C.J. No. 229</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Williamson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January 23 and 24,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 2006.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S005645</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[2006] B.C.J. No. 229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BCSC 178</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55 B.C.L.R. (4th) 393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29 C.P.C. (6th) 86</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146 A.C.W.S. (3d) 59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2006 CarswellBC 246</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National Union Fire Insurance Company of Pittsburgh, PA., Houston Casualty Company, Assurance France Aviation, Lloyds Underwriters As Follows: R.J. Maylam &amp; Others, Syndicate 270; R.J. Kiln &amp; Others, Syndicate 510; and L.A. Hudson &amp; Others, Syndicate 925, British Aviation Insurance Group, Ltd., Insurance Company of North America (U.K.), Ltd., LA Reunion Aerienne, Wurttembergische Versicherung AG Aviation, AIG Aviation, Inc., GAN Incendie Accidents, GAN Insurance Company Limited and AGF Marine Aviation Transport, plaintiffs, and National Semiconductor Corp., Honeywell Inc. and Honeywell International, Inc., defendants, and Boeing Vertol Company, a Division of the Boeing Company and Helifor Industries Limited, third party</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(18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28" style="position:absolute;z-index:2517012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75" w:name="Keywords_41"/>
      <w:bookmarkEnd w:id="275"/>
      <w:r>
        <w:rPr>
          <w:rFonts w:ascii="arial" w:eastAsia="arial" w:hAnsi="arial" w:cs="arial"/>
          <w:b/>
          <w:color w:val="000000"/>
          <w:sz w:val="20"/>
          <w:lang w:val="en-US" w:eastAsia="en-US" w:bidi="ar-SA"/>
        </w:rPr>
        <w:t xml:space="preserve">Civil procedure — Parties — Third party procedure — When available — The application to dismiss third party proceedings was dismissed — Even if Boeing had contracted out of liability to the defendant under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it was possible that the defendant would be found to have a right to indemnity independent of the Act.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Tort law — Suppliers of goods — Product liability — Manufacturers — The application to dismiss the defendant's third party action against Boeing in the wake of the helicopter crash was dismissed — Even if Boeing had contracted out of liability to the defendant under the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Act, it was possible that the defendant would be found to have a right to indemnity independent of the Act.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76" w:name="Case Summary_40"/>
            <w:bookmarkEnd w:id="27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Following a helicopter crash, the plaintiffs sued the defendant manufacturers of the automatic flight control system that was alleged to have failed, and the defendant brought a third party action against Boeing Vertol Company, who had set the specifications of manufacture -- Boeing submitted it had been released from liability by means of a contract signed with the defendant -- Held: Boeing's application to dismiss the third party proceedings was dismissed -- Should damages be awarded against the defendant, it would have the right to claim relief from Boeing -- Even assuming that pursuant to the agreement signed Boeing could not be found liable under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the court was satisfied that it could be found that the defendant had a right to indemnity from Boeing independent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77" w:name="Legislation Cited_27"/>
      <w:bookmarkEnd w:id="277"/>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29" style="position:absolute;z-index:2517524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78" w:name="Counsel_41"/>
      <w:bookmarkEnd w:id="278"/>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0" style="position:absolute;z-index:25180364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Plaintiffs and Third Party Helifor Industries, Ltd.: Patrick Saul, Darryl Pankratz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 Honeywell Inc. and Honeywell International, Inc.: Robert Ward, Andrea Akelaitis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Third Party Boeing Vertol Company, a Division of The Boeing Company: Avon M. Mersey, Henning Faust</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79" w:name="Judgment_41"/>
      <w:bookmarkEnd w:id="279"/>
      <w:r>
        <w:pict>
          <v:line id="_x0000_s1231" style="position:absolute;z-index:251854848"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5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0" w:name="WILLIAMSON J."/>
            <w:bookmarkEnd w:id="280"/>
            <w:r>
              <w:rPr>
                <w:rFonts w:ascii="arial" w:eastAsia="arial" w:hAnsi="arial" w:cs="arial"/>
                <w:b/>
                <w:color w:val="000000"/>
                <w:sz w:val="30"/>
                <w:lang w:val="en-US" w:eastAsia="en-US" w:bidi="ar-SA"/>
              </w:rPr>
              <w:t>WILLIAMSON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October 30, 1997 a Boeing BV234 helicopter, owned by Columbia Helicopters Leasing Inc. ("CHL"), crashed while involved in helicopter logging operations in British Columbia. At the time, CHL had leased the helicopter back to its parent corporation Columbia Helicopters Inc. ("CHI") who in turn had sub-leased it to Helifor Industries Ltd. ("Helifor"). Helifor, a third party, was operating the helicopter at the time of the crash.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defendant Honeywell Inc. ("Honeywell") manufactured the automatic flight control system ("AFCS") installed in the helicopter at the time it was built. It was the failure of this system which, it is alleged, caused the crash. Honeywell manufactured that component, it submits, to the specifications required by the manufacturer of the helicopter, Boeing Vertol Company ("Boeing").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CHL assigned its rights to sue for the loss of the helicopter to its insurers, the plaintiffs. The plaintiffs then commenced this action, naming Honeywell, among others, as a defendant. Honeywell has in turn brought third party proceedings against Boeing. Honeywell claims that should damages be awarded against it in the principle action, Honeywell is entitled to claim relief over from Boeing.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In this application, Boeing seeks an order that the third party proceedings against it be dismissed. Honeywell opposes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I conclude that the application to dismiss the third party proceedings should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Boeing's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xml:space="preserve">  Boeing says that it entered into an agreement with CHI in 1987, "the D-286 Agreement", by which in consideration for certain services to be provided by Boeing to CHI with respect to its Model 234 helicopters, CHI released Boeing from any legal claims that might arise in relation to the helicopters. Boeing relies upon Giffels Associates Ltd. v. Eastern Construction Co., </w:t>
      </w:r>
      <w:hyperlink r:id="rId1117" w:history="1">
        <w:r>
          <w:rPr>
            <w:rFonts w:ascii="arial" w:eastAsia="arial" w:hAnsi="arial" w:cs="arial"/>
            <w:i/>
            <w:color w:val="0077CC"/>
            <w:sz w:val="20"/>
            <w:u w:val="single"/>
            <w:shd w:val="clear" w:color="auto" w:fill="FFFFFF"/>
            <w:lang w:val="en-US" w:eastAsia="en-US" w:bidi="ar-SA"/>
          </w:rPr>
          <w:t>[1978] 2 S.C.R. 1346</w:t>
        </w:r>
      </w:hyperlink>
      <w:r>
        <w:rPr>
          <w:rFonts w:ascii="arial" w:eastAsia="arial" w:hAnsi="arial" w:cs="arial"/>
          <w:color w:val="000000"/>
          <w:sz w:val="20"/>
          <w:lang w:val="en-US" w:eastAsia="en-US" w:bidi="ar-SA"/>
        </w:rPr>
        <w:t xml:space="preserve">, </w:t>
      </w:r>
      <w:hyperlink r:id="rId1117" w:history="1">
        <w:r>
          <w:rPr>
            <w:rFonts w:ascii="arial" w:eastAsia="arial" w:hAnsi="arial" w:cs="arial"/>
            <w:i/>
            <w:color w:val="0077CC"/>
            <w:sz w:val="20"/>
            <w:u w:val="single"/>
            <w:shd w:val="clear" w:color="auto" w:fill="FFFFFF"/>
            <w:lang w:val="en-US" w:eastAsia="en-US" w:bidi="ar-SA"/>
          </w:rPr>
          <w:t>84 D.L.R. (3d) 344</w:t>
        </w:r>
      </w:hyperlink>
      <w:r>
        <w:rPr>
          <w:rFonts w:ascii="arial" w:eastAsia="arial" w:hAnsi="arial" w:cs="arial"/>
          <w:color w:val="000000"/>
          <w:sz w:val="20"/>
          <w:lang w:val="en-US" w:eastAsia="en-US" w:bidi="ar-SA"/>
        </w:rPr>
        <w:t>. The principle said to be taken from Giffels is that to be liable for contribution or indemnity, a third party must have been liable to the plaintiff at the time of the loss. Boeing submits as the D-286 Agreement releases it from any liability to CHI, third party proceedings cannot lie.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Honeywell's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xml:space="preserve">  Honeywell says that Giffels only applies to claims for contribution or indemnity which arise as a result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w:t>
      </w:r>
      <w:r>
        <w:rPr>
          <w:rFonts w:ascii="arial" w:eastAsia="arial" w:hAnsi="arial" w:cs="arial"/>
          <w:i/>
          <w:color w:val="000000"/>
          <w:sz w:val="20"/>
          <w:lang w:val="en-US" w:eastAsia="en-US" w:bidi="ar-SA"/>
        </w:rPr>
        <w:t>R.S.B.C. 1996, c. 333</w:t>
      </w:r>
      <w:r>
        <w:rPr>
          <w:rFonts w:ascii="arial" w:eastAsia="arial" w:hAnsi="arial" w:cs="arial"/>
          <w:color w:val="000000"/>
          <w:sz w:val="20"/>
          <w:lang w:val="en-US" w:eastAsia="en-US" w:bidi="ar-SA"/>
        </w:rPr>
        <w:t>, and that as its claim arises outside of that Act, Giffels has no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At its simplest, the issue is whether Honeywell's claim for relief over is a claim outside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This necessitates a consideration of Giffels, and other authorities which have referred to Giffels.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xml:space="preserve">  For the purposes of this analysis, I have assumed that because of the D-286 Agreement, Boeing cannot, pursuant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be found liable to CHI. However, given the cases discussed below, I conclude that while Giffels may stand for the proposition that a defendant's claim for contribution from a joint tortfeasor may not stand in the face of an indemnity agreement like the D-286 Agreement, it does not preclude a claim for indemnity from a third party based upon some other right in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xml:space="preserve">  Giffels is a case concerning joint tortfeasors, in which the plaintiff Dominion sued both Giffels, the engineer, and Eastern, the general contractor. The trial judge found both defendants had caused a failed roof. However, Eastern had contracted out of any liability to Dominion, and the trial judge, ruling upon Eastern's possible liability to Giffels, found that as there was no subsisting contract between the two, the claim for contribution could be founded only upon Ontario's Negigence Act. The appeals to the Court of Appeal and to the Supreme Court of Canada were dismissed: </w:t>
      </w:r>
      <w:hyperlink r:id="rId1118" w:history="1">
        <w:r>
          <w:rPr>
            <w:rFonts w:ascii="arial" w:eastAsia="arial" w:hAnsi="arial" w:cs="arial"/>
            <w:i/>
            <w:color w:val="0077CC"/>
            <w:sz w:val="20"/>
            <w:u w:val="single"/>
            <w:shd w:val="clear" w:color="auto" w:fill="FFFFFF"/>
            <w:lang w:val="en-US" w:eastAsia="en-US" w:bidi="ar-SA"/>
          </w:rPr>
          <w:t>(1976), 68 D.L.R. (3d) 385</w:t>
        </w:r>
      </w:hyperlink>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1 C.P.C. 13</w:t>
        </w:r>
      </w:hyperlink>
      <w:r>
        <w:rPr>
          <w:rFonts w:ascii="arial" w:eastAsia="arial" w:hAnsi="arial" w:cs="arial"/>
          <w:color w:val="000000"/>
          <w:sz w:val="20"/>
          <w:lang w:val="en-US" w:eastAsia="en-US" w:bidi="ar-SA"/>
        </w:rPr>
        <w:t xml:space="preserve">, </w:t>
      </w:r>
      <w:hyperlink r:id="rId1118" w:history="1">
        <w:r>
          <w:rPr>
            <w:rFonts w:ascii="arial" w:eastAsia="arial" w:hAnsi="arial" w:cs="arial"/>
            <w:i/>
            <w:color w:val="0077CC"/>
            <w:sz w:val="20"/>
            <w:u w:val="single"/>
            <w:shd w:val="clear" w:color="auto" w:fill="FFFFFF"/>
            <w:lang w:val="en-US" w:eastAsia="en-US" w:bidi="ar-SA"/>
          </w:rPr>
          <w:t>12 O.R. (2d) 201</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In the latter decision, Laskin C.J.C., speaking for the Court, observed at pp. 1355-56: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Giffels had no cross-contractual relationship with Eastern upon which to base a claim for contribution, and once it was clear, as it was here, that Eastern could not be held accountable to the plaintiff for the latter's loss, any ground upon which Giffels could seek to burden Eastern with a share of that loss disappeared.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This implies that if there were a contractual relationship between the joint tortfeasors, that burden might not disappear. Whether that contractual obligation be expressed or implied cannot be determinative.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Laing Property Corp. v. All Seasons Display Inc. </w:t>
      </w:r>
      <w:hyperlink r:id="rId1119" w:history="1">
        <w:r>
          <w:rPr>
            <w:rFonts w:ascii="arial" w:eastAsia="arial" w:hAnsi="arial" w:cs="arial"/>
            <w:i/>
            <w:color w:val="0077CC"/>
            <w:sz w:val="20"/>
            <w:u w:val="single"/>
            <w:shd w:val="clear" w:color="auto" w:fill="FFFFFF"/>
            <w:lang w:val="en-US" w:eastAsia="en-US" w:bidi="ar-SA"/>
          </w:rPr>
          <w:t>2000, 79 B.C.L.R. (3d) 199</w:t>
        </w:r>
      </w:hyperlink>
      <w:r>
        <w:rPr>
          <w:rFonts w:ascii="arial" w:eastAsia="arial" w:hAnsi="arial" w:cs="arial"/>
          <w:color w:val="000000"/>
          <w:sz w:val="20"/>
          <w:lang w:val="en-US" w:eastAsia="en-US" w:bidi="ar-SA"/>
        </w:rPr>
        <w:t xml:space="preserve">, </w:t>
      </w:r>
      <w:hyperlink r:id="rId1119" w:history="1">
        <w:r>
          <w:rPr>
            <w:rFonts w:ascii="arial" w:eastAsia="arial" w:hAnsi="arial" w:cs="arial"/>
            <w:i/>
            <w:color w:val="0077CC"/>
            <w:sz w:val="20"/>
            <w:u w:val="single"/>
            <w:shd w:val="clear" w:color="auto" w:fill="FFFFFF"/>
            <w:lang w:val="en-US" w:eastAsia="en-US" w:bidi="ar-SA"/>
          </w:rPr>
          <w:t>2000 BCCA 467</w:t>
        </w:r>
      </w:hyperlink>
      <w:r>
        <w:rPr>
          <w:rFonts w:ascii="arial" w:eastAsia="arial" w:hAnsi="arial" w:cs="arial"/>
          <w:color w:val="000000"/>
          <w:sz w:val="20"/>
          <w:lang w:val="en-US" w:eastAsia="en-US" w:bidi="ar-SA"/>
        </w:rPr>
        <w:t xml:space="preserve">, Finch J.A. (as he then was), speaking for the Court, noted at para. 53 that the principle to be derived from Giffels is that it is "... a precondition of the right to resort to contribution that there be liability to the plaintiff". However, although invited to do so, the Court declined to rule upon whether the defendant could rely upon a duty owed to it by a third party independent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That question arose in Chinook Group Ltd. v. Foamex International Inc. </w:t>
      </w:r>
      <w:hyperlink r:id="rId1120" w:history="1">
        <w:r>
          <w:rPr>
            <w:rFonts w:ascii="arial" w:eastAsia="arial" w:hAnsi="arial" w:cs="arial"/>
            <w:i/>
            <w:color w:val="0077CC"/>
            <w:sz w:val="20"/>
            <w:u w:val="single"/>
            <w:shd w:val="clear" w:color="auto" w:fill="FFFFFF"/>
            <w:lang w:val="en-US" w:eastAsia="en-US" w:bidi="ar-SA"/>
          </w:rPr>
          <w:t>(2004), 72 O.R. (3d) 381</w:t>
        </w:r>
      </w:hyperlink>
      <w:r>
        <w:rPr>
          <w:rFonts w:ascii="arial" w:eastAsia="arial" w:hAnsi="arial" w:cs="arial"/>
          <w:color w:val="000000"/>
          <w:sz w:val="20"/>
          <w:lang w:val="en-US" w:eastAsia="en-US" w:bidi="ar-SA"/>
        </w:rPr>
        <w:t xml:space="preserve">, in which a Master found that Giffels was limited to cases involving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At para. 9, the Court observed: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is of course obvious, but worth observing that no such rule precludes a claim by a defendant against a third party if the duty to indemnify or contribute is independent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If the defendant has a claim against a third party that is not based on the allegation that the proposed third party caused the plaintiff's damages, but had an independent duty to the defendant, either in contract or in tort, the rationale in [Giffels] would not apply.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Law Applied to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Honeywell, as manufacturer of a component of the AFCS, had a contractual duty to Boeing to manufacture the AFCS component to the specifications provided by Boeing and as well to provide a "failure modes and effects analysis" which would show the consequences of failures of various components. The position of Honeywell is that it supplied a product that met Boeing's specifications and that it also provided the failure analysis required by Boeing.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Critically, Honeywell submits that Boeing, as the manufacturer of the Model 234 helicopter, owed a duty of care to Honeywell. Honeywell says that duty arose both contractually and at common law. The relevant paragraphs in the Third Party Notice read as follows:</w:t>
      </w:r>
      <w:r>
        <w:rPr>
          <w:rFonts w:ascii="arial" w:eastAsia="arial" w:hAnsi="arial" w:cs="arial"/>
          <w:sz w:val="20"/>
          <w:lang w:val="en-US" w:eastAsia="en-US" w:bidi="ar-SA"/>
        </w:rPr>
        <w:cr/>
      </w:r>
    </w:p>
    <w:p>
      <w:pPr>
        <w:numPr>
          <w:numId w:val="5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duty of Honeywell, as manufacturer of the AFCS, was to Boeing, and was limited to meeting the specifications provided by Boeing and to supplying a Failure Modes and Effects Analysis ("FMEA") on the AFCS to show the consequences of various component failures. Honeywell did, in fact, supply Boeing with the FMEA, which stated, among other things, that certain part failures can lead to a yaw axis hardover signal. Honeywell was not requested to, nor did it, take any further steps after this information was provide to Boeing, which Company agreed to be responsible for the airworthiness of the Model 234.</w:t>
      </w:r>
    </w:p>
    <w:p>
      <w:pPr>
        <w:numPr>
          <w:numId w:val="51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Boeing, as manufacturer of the Model 234, owed a duty of care to Honeywell, such duty arising contractually and at common law, as a result of the matters set out in the Statement of Defence ...</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summary, Honeywell says that Boeing, as manufacturer of the helicopter, pursuant to both the legislative scheme and industry practice involved in the manufacture of aircraft, took upon itself the responsibility for certifying the airworthiness of the helicopter. Honeywell says that in the result there was an implied agreement between Boeing and Honeywell that the overall system safety and airworthiness of the aircraft was the responsibility of Boeing. Thus, it is submitted, Boeing as manufacturer owed a duty to Honeywell to ensure that the end product was air worthy and met all of the standards prescribed by the relative statutes and expected by industry standards and practice.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xml:space="preserve">  I am satisfied upon consideration of the material before me that a right to indemnity of Honeywell by Boeing could be found independent of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Act. I therefore conclude that the principle enunciated in Giffels does not assist Boeing. The application is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WILLIAMSON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2" style="position:absolute;z-index:251892736"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21"/>
          <w:headerReference w:type="default" r:id="rId1122"/>
          <w:footerReference w:type="even" r:id="rId1123"/>
          <w:footerReference w:type="default" r:id="rId1124"/>
          <w:headerReference w:type="first" r:id="rId1125"/>
          <w:footerReference w:type="first" r:id="rId1126"/>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27" w:history="1">
        <w:r>
          <w:rPr>
            <w:rFonts w:ascii="arial" w:eastAsia="arial" w:hAnsi="arial" w:cs="arial"/>
            <w:b/>
            <w:bCs/>
            <w:i/>
            <w:color w:val="0077CC"/>
            <w:kern w:val="32"/>
            <w:sz w:val="28"/>
            <w:szCs w:val="32"/>
            <w:u w:val="single"/>
            <w:shd w:val="clear" w:color="auto" w:fill="FFFFFF"/>
            <w:lang w:val="en-US" w:eastAsia="en-US" w:bidi="ar-SA"/>
          </w:rPr>
          <w:t>Newton v. Newton, [2002] B.C.J. No. 1220</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Burnyeat J. (In Chambers)</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November 23, 2001.</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Written submissions: February 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4,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S061691</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1220</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789</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 B.C.L.R. (4th) 375</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354</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Darlene Vivian Newton, plaintiff, and John Glen Howard Newton and Maria Corazon Bagaoisan Newton,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(43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3" style="position:absolute;z-index:2517022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1" w:name="Keywords_42"/>
      <w:bookmarkEnd w:id="281"/>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Standard of care — Duty of care, particular relationships — Control of conduct of others — Parental control of children.</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2" w:name="Case Summary_41"/>
            <w:bookmarkEnd w:id="282"/>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Motion by the Newtons, defendants in an action brought by Mr. Newton's mother, DN, for summary judgment in DN's action against them. The Newtons were visiting DN's home with their 27-month-old son, MN. Mrs. Newton was upstairs with MN and she walked him to the landing, telling him to go see DN, MN's grandmother. MN had been trained by Mr. and Mrs. Newton to negotiate stairs from a sitting or crawling position, and when they were with him and helping him down the stairs, they told him to use the handrail. He still occasionally would deliberately let his feet slide out from under himself while being assisted down the stairs. Mrs. Newton said that, on the occasion in issue, she told MN to use the rail, but there was no other evidence of this. MN jumped down the stairs, expecting DN to catch him. When DN tried to do this, she fell backwards down the stairs, sustaining serious injuries. She contended that in failing properly to supervise MN, the Newtons breached the standard of care expected of reasonably prudent parents.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83" w:name="Holdings of Court_36"/>
            <w:bookmarkEnd w:id="283"/>
            <w:r>
              <w:rPr>
                <w:rFonts w:ascii="arial" w:eastAsia="arial" w:hAnsi="arial" w:cs="arial"/>
                <w:color w:val="000000"/>
                <w:sz w:val="20"/>
                <w:lang w:val="en-US" w:eastAsia="en-US" w:bidi="ar-SA"/>
              </w:rPr>
              <w:t>HELD: Action allowed in part; Mrs.</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Newton was solely liable to DN. MN had no demonstrated propensity to act destructively, but Mrs. Newton failed to take her usual reasonable measures to make sure that MN negotiated the stairs safely. The risk that he would injure others was foreseeable, and a reasonably careful parent would have made certain that MN used the stairs properly. There was no evidence that Mr. Newton acted negligently.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84" w:name="Legislation Cited_28"/>
      <w:bookmarkEnd w:id="284"/>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4" style="position:absolute;z-index:2517534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18A.</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85" w:name="Counsel_42"/>
      <w:bookmarkEnd w:id="285"/>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35" style="position:absolute;z-index:251804672"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C.M. Murchison, for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N.L. Trevethan,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86" w:name="Judgment_42"/>
      <w:bookmarkEnd w:id="286"/>
      <w:r>
        <w:pict>
          <v:line id="_x0000_s1236" style="position:absolute;z-index:251855872"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2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87" w:name="BURNYEAT J."/>
            <w:bookmarkEnd w:id="287"/>
            <w:r>
              <w:rPr>
                <w:rFonts w:ascii="arial" w:eastAsia="arial" w:hAnsi="arial" w:cs="arial"/>
                <w:b/>
                <w:color w:val="000000"/>
                <w:sz w:val="30"/>
                <w:lang w:val="en-US" w:eastAsia="en-US" w:bidi="ar-SA"/>
              </w:rPr>
              <w:t>BURNYEAT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Defendants apply pursuant to Rule 18A of the Rules of Court to dismiss the action of the Plaintiff. On November 11, 1999, the Plaintiff was injured when Matthew the 2 year and 3 1/2 month old son of the Defendants jumped from one of the top stairs of the stairway leading from the main floor to the second floor of the home of the Defendants. Matthew attempted to jump into the arms of the Plaintiff but, instead, caused the Plaintiff to fall down the stairs thereby causing considerable injury to herself. The Plaintiff is the mother of the Defendant, John Newton and the grandmother of Matthew.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All parties agree that this is an appropriate matter to be heard pursuant to Rule 18A. I agree. I am satisfied that I can find the facts necessary to decide this matter without the necessity of a Trial and I am satisfied that it would not be unfair to do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The issue to be decided is whether, in the circumstances outlined below, the parents of a child this age can be held responsible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a failure to properly supervise and control the activities of their child. The Plaintiff says that the Defendants breached the standard of care expected of reasonably prudent parents. The Defendants submit that they were not negligent in the supervision of their son and it was not reasonably foreseeable that their child would act as he did as he had no prior dangerous propensity for similar unsafe 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BACKGROUND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Defendants' son was born July 30, 1997. On November 11, 1999, the Plaintiff was visiting the townhouse of the Defendants. The injuries sustained by the Plaintiff arose when she fell backwards down the stairs in the townhouse when her grandson leaped towards her on the stairs. The Plaintiff suffered severe multiple injuries as a result of her fall, has been unable to return to work since her fall and has still not fully recovered from her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MARIA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What happened immediately prior to the incident which produced the injuries has been variously described. Matthew's mother states in her Affidavits:</w:t>
      </w:r>
      <w:r>
        <w:rPr>
          <w:rFonts w:ascii="arial" w:eastAsia="arial" w:hAnsi="arial" w:cs="arial"/>
          <w:sz w:val="20"/>
          <w:lang w:val="en-US" w:eastAsia="en-US" w:bidi="ar-SA"/>
        </w:rPr>
        <w:cr/>
      </w:r>
    </w:p>
    <w:p>
      <w:pPr>
        <w:numPr>
          <w:numId w:val="5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he was ready, I walked him to the top of the stairwell. I then said "go see nannan" or something similar. When I said this I believed my mother-in-law was downstairs waiting for us. Once I directed Matthew to go to his grandmother he proceeded down the stairwell. In doing so I instructed him to use the handrail. I watched him grasp the handrail and proceed down the first stair. I then turned to return to the bathroom. I was not in a position to seen any thing further until I heard Matthew crying.</w:t>
      </w:r>
    </w:p>
    <w:p>
      <w:pPr>
        <w:numPr>
          <w:numId w:val="518"/>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stood behind him and watched him step down to the first step. At this point I could see the right side of Darlene Newton's body coming up the spiral of the staircase.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At her examination for discovery, Maria Newton stated that when she was at the top of the stairs with her son and when her son was still "on top with me", she could not see her mother-in-law "yet". She stated that, when she said to Matthew "go to Nannan", both she and her son were at the top of the stairs. She described her mother-in-law's presence on the steps when she left Matthew as being: "She was still several steps away from him" although she could not recall whether she made eye contact with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She confirmed that she did not tell her son to wait for the Plaintiff to come up the stairs and she agreed that she had directed him to go to her: "I just said, "go to Nannan"". She also confirmed that she did not wait to make sure that Matthew went down the stairs safely. She stated that after she left Matthew she went back into the bathroom: "I was just starting to brush, I think", and then "I heard a bump".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Maria Newton was also asked the following questions and gave the following answers at her Discovery:</w:t>
      </w:r>
      <w:r>
        <w:rPr>
          <w:rFonts w:ascii="arial" w:eastAsia="arial" w:hAnsi="arial" w:cs="arial"/>
          <w:sz w:val="20"/>
          <w:lang w:val="en-US" w:eastAsia="en-US" w:bidi="ar-SA"/>
        </w:rPr>
        <w:cr/>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you didn't feel comfortable with him going down the stairs by himself even up to a month before the accident, did you? He either had to sit down or he had to take your hand and hold on to the rail?</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So why did you walk away when this accident happened and leave him standing there just holding the rail; why didn't you stay and watch that he got down the stairs safely?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 I think I was just comfortable that my mother-in-law is just coming to get him.</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Did you warn Mrs. Newton that you were going to leave before you walked away?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warn but I was just assuming that she knows that Matthew's coming, that's why she's coming up.</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You assumed that?</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 going to say Mrs. Newton, but whatever you refer to you mother-in-law as, you're in charge of Matthew, I've got to go, you didn't say anything like that, did you?</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didn't say anything.</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 You just assumed and walked away?</w:t>
      </w:r>
    </w:p>
    <w:p>
      <w:pPr>
        <w:numPr>
          <w:numId w:val="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JOHN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his Affidavits, John Newton, states that his mother and father came to the townhouse so that all of them could go shop for a new "vanity" that his parents were going to buy them as a Christmas present. After completing some measurements of the existing vanity, he went to the master bedroom to get ready to go to purchase the new vanity. He did not witness the incident. He described what he heard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Within a matter of minutes I heard Maria's voice saying, "go see nannan". Then I heard a thump, another couple of thumps, then a crying scream. I recognized the screaming and crying as Matthew's voice.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OF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stairs from the main level to the second floor form a right angle with approximately six steps on each portion with a landing area in between. Darlene Newton states that she began to go up the stairs when the following occurred:</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climbed a couple of stairs when I heard the Defendant, Maria Newton, say to the Infant "Go see Nan".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looked up towards the top of the stairs and noticed the Infant near the top of the stairs. When I saw the Infant, I also saw the side of the face of the Defendant, Maria Newton as she walked away from the Infant.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never saw the Infant with his hand on the handrail nor did I hear any direction from the Defendant Maria in this regard. I verily believe the only words spoken by the Defendant, Maria to the Infant at the top of the stairs were "Go to Nan".</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looked up immediately upon hearing the Defendant, say "Go to Nan" by which time the said Defendant was already turned and walking away from the Infant. I verily believe there was insufficient time after instructing the Infant to "Go see Nana" and before I looked up, for the Defendant to have given further instruction to the Infant to hold the handrail and to watch the Infant step down a step. Had such instruction been given, I verily believe I would have heard it.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Almost simultaneously with my observation of the said Defendant walking away from the Infant, I saw the Infant put his chest out and both of his arms forward and it was apparent to me that he was about to leap down the stairs. I never saw the Infant with his hand on the handrail prior to his leap towards me.</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never observed the Infant step down one step, and I verily believe that he may have been placed on the first step by the Defendant, Maria.</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the Infant leaped towards me, he was on the first step near the top of the stairs with neither hand on the handrail.</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had no time to say or do anything to prevent the Infant from making the leap.</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In an effort to prevent injury to the Infant I took my hand off the handrail and tried to catch the Infant.</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When I took my left hand off the handrail in an attempt to catch the Infant, the Infant was already airborne. I attempted to catch the Infant as he leaped towards me, and I fell backwards down the stairs.</w:t>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felt the fingertips of the Infant as he jumped but I was unable to catch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After a review of the evidence, I find the following sequence occurred:</w:t>
      </w:r>
      <w:r>
        <w:rPr>
          <w:rFonts w:ascii="arial" w:eastAsia="arial" w:hAnsi="arial" w:cs="arial"/>
          <w:sz w:val="20"/>
          <w:lang w:val="en-US" w:eastAsia="en-US" w:bidi="ar-SA"/>
        </w:rPr>
        <w:cr/>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His mother walked Matthew to the top of the stairwell and told him to "Go see Nannan";</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While no instruction was given to Matthew to use the handrail, his mother saw him grasp the handrail and proceed from the landing down to the first step at the top of the staircase;</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Matthew's mother then returned to the bathroom without watching Matthew make his way down the stairs, without assuring herself that Matthew continued to use the handrail, and without warning the plaintiff that she was not accompanying Matthew down the stairs;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was just coming into view when Matthew's mother turned to go back to the bathroom;</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By the time that Matthew came into the view of the Plaintiff, he did not have his hand on the handrail although he was still at the top of the staircase on the first or second stair;</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his mother was turning to leave and as his grandmother was proceeding from the lower landing up the stairs, Matthew decided to leap into his grandmother's arms;</w:t>
      </w:r>
    </w:p>
    <w:p>
      <w:pPr>
        <w:numPr>
          <w:numId w:val="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 removed her own hand off the handrail, attempted to brace herself and catch Matthew but was propelled backwards by either Matthew or after losing her balance.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Having made those findings, the questions which then arise are whether the Defendants breached the standard of care expected of reasonably prudent parents. In reviewing that question, I will first review the steps that his parents had taken to "train" Matthew in the use of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TRAINING OF MATTHEW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There are differences of opinion about the progress that Matthew was making to become ambulatory and the training he received about how to go up and down stairs. In her Affidavits, Maria Newton states:</w:t>
      </w:r>
      <w:r>
        <w:rPr>
          <w:rFonts w:ascii="arial" w:eastAsia="arial" w:hAnsi="arial" w:cs="arial"/>
          <w:sz w:val="20"/>
          <w:lang w:val="en-US" w:eastAsia="en-US" w:bidi="ar-SA"/>
        </w:rPr>
        <w:cr/>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By November 10, 1999, I had full confidence in Matthew's ability to utilize the stairs in a safe manner. On occasion, he would forget to use the handrail and even though he was quite able by November of 1999, I would remind him. The need for using the handrail was simply a general concern.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certainly had never experienced Matthew jump at someone in a dangerous manner on the stairs or at any other location.</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Matthew started walking at around thirteen or fourteen months of age. Ever since he learned to walk, my husband and I began teaching him how to use the stairs. It took until he was about eighteen months to two years old before he could use the stairs.</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During the time where he was just learning to use the stairs, we used a system of gates to keep him off the stairs at unsupervised times. We stopped using the gates once Matthew knew how to go up and down the stairs without us having to worry that he might fall. The gates were removed before the accident, perhaps early in 1999.</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When we were teaching Matthew to use the stairs, we instructed him that he could descend sitting down on his buttocks, and, after removal of the gates, we instructed him to go down the stairs using the handrail.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In the month prior to the accident Matthew would either descend on his own by sitting down on the stairs, or would be accompanied by me holding his hand. There were also a few occasions on which he descended the stairs on his own, holding the rail.</w:t>
      </w:r>
    </w:p>
    <w:p>
      <w:pPr>
        <w:numPr>
          <w:numId w:val="5"/>
        </w:numPr>
        <w:tabs>
          <w:tab w:val="num" w:pos="1120"/>
          <w:tab w:val="clear" w:pos="148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On the day of the accident, I allowed Matthew to proceed using the handrail because I was confident that my mother-in-law was coming to get him, and that since Matthew knew how to go down the stairs, they would meet each other safely.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At her discovery, Maria Newton confirmed Matthew was taught to go down the stairs sitting down and that this practice continued to the time of and "even past the accident date". She also confirmed that Matthew was still reminded of this method as at the date of the discovery (February 20, 2001). She confirmed that the reason that she told him to sit down was "for his safety" and that she was concerned he might fall. Immediately before the accident, she stated that "we always remind him" about how to go down the stairs: "like to hold the rail and if you go down sit on his bum". She could not confirm that she was only aware of times when Matthew would go down the stairs holding someone's hand or sitting down.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At their discoveries, both Defendants recalled being advised by the Plaintiff of an incident where Matthew was going down the stairs in the presence of his grandmother and letting his legs go out in order to slide down the stairs. At her discovery, Maria Newton confirmed having received the advice from the Plaintiff recommending: "...steps that you should take about curbing that behaviour". Maria Newton was also asked the following questions and gave the following answers:</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two year olds, you'll agree with me, can be very unpredictable when it comes to their behaviour.</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right.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Sometimes they do things and you are totally surprised by their behaviour and it can be very unsafe what they do; agree?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 I agree.</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And that's why you have to be in control of their behaviour at all times, don't you?</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So they don't hurt themselves and they don't hurt others.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That's right.</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Who was in control of Matthew when you walked away from the top of the stairs?</w:t>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I think nobody.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John Newton described the progress that his son was making as follows:</w:t>
      </w:r>
      <w:r>
        <w:rPr>
          <w:rFonts w:ascii="arial" w:eastAsia="arial" w:hAnsi="arial" w:cs="arial"/>
          <w:sz w:val="20"/>
          <w:lang w:val="en-US" w:eastAsia="en-US" w:bidi="ar-SA"/>
        </w:rPr>
        <w:cr/>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Matthew began walking at approximately thirteen months. Once he was walking he quickly began exploring the stairs. Initially, either Maria or I would escort him up and down the stairs. We trained Matthew to use the stairs in one of several methods. The first entailed him sitting on his bum and advancing up or down the stairs by sitting up or down on a stair as the case may be. To Matthew this became known as going down on his "bum bum". He occasionally also did a crawling motion up the stairs. This would not be used for going down the stairs. The second method Matthew utilized was using the hand rail in his progression up or down the stairs. Matthew would reach up with both hands to the hand rail and advance one hand over the other as he progressed up or down the stairs. Matthew's ability to manoeuvre safely by himself advanced rapidly in 1999. Indeed, from the age of two to the age of two and one half, Matthew's ability to walk about and use the stairs had increased greatly. By November 10, 1999, my wife and I were confident in his ability to navigate the stairs in a predictable and safe manner.</w:t>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November 11, 1999, neither my wife or I ever say Matthew jump at another person on a stairwell prior to November 11, 1999. The only action of note that Matthew did was, at the age of two years old, when he was holding my hand to attempt to slide down the stairs while I was holding him. He certainly never did it when there was not someone holding his hand nor was he doing it at the time of the incident involving my mother.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At his discovery, John Newton was asked the following questions and gave the following answers:</w:t>
      </w:r>
      <w:r>
        <w:rPr>
          <w:rFonts w:ascii="arial" w:eastAsia="arial" w:hAnsi="arial" w:cs="arial"/>
          <w:sz w:val="20"/>
          <w:lang w:val="en-US" w:eastAsia="en-US" w:bidi="ar-SA"/>
        </w:rPr>
        <w:cr/>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And prior to this accident in 1999 had your son gone up and down the stairs in your home without any assistance?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How often do you think he would do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Not very often.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Why is it that that wouldn't occur very often?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 still hold his hand going down the stairs.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Now, in that period of time if he was going to come down the stairs and you weren't actually going to hang on to him and would still encourage him to tell him to sit down to come down?</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Or hang on to the rail?</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Yes.</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Okay. So during the period in 1999 before this accident how often do you think you had your son go down the stairs in that fashion where you allowed him not to hold on to the handrail, you're walking backwards and he's walking towards you within reaching distance, how many times do you think he had done that?</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wasn't many.</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Less than five?</w:t>
      </w:r>
    </w:p>
    <w:p>
      <w:pPr>
        <w:numPr>
          <w:numId w:val="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Yeah. It was -- I just -- yeah, it was less than five. It was less than five.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The Plaintiff described the progress that her grandson was making as follows:</w:t>
      </w:r>
      <w:r>
        <w:rPr>
          <w:rFonts w:ascii="arial" w:eastAsia="arial" w:hAnsi="arial" w:cs="arial"/>
          <w:sz w:val="20"/>
          <w:lang w:val="en-US" w:eastAsia="en-US" w:bidi="ar-SA"/>
        </w:rPr>
        <w:cr/>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As at the Date of Loss the Infant had not mastered ascending and descending stairs safely. He was unsteady and still required constant reminders as to how to safely behave on the stairs. Sometimes he would follow instructions regarding how to safely use the stairs, and other times he would not follow the instructions. His behaviour in that regard was not predictable.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Up to the Date of Loss I had advised the Defendants many times to ensure that the Infant descended the stairs on his buttocks or alternatively, crawled down the stairs on his hands and knees facing the stairs.</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unsafe behaviour which I reported to the Defendants occurred when the Infant, while holding my hand and descending stairs, suddenly let his legs slide out from under him. Had I not been holding the hand rail the Infant and I quite possibly would have fallen down the stairs together.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Without the assistance of an adult's hand or the use of the handrail, I observed the Infant to be very unsteady and unsafe on the stairs, and for this reason he was always reminded how to safely descend the stairs and rarely permitted to do so no his own. Unpredictable, unsafe behaviour by the Infant had occurred with me on the stairs within 2 - 3 months prior to the Date of Loss. The Defendants were made aware of this unsafe behaviour by me, thus reinforcing the continuing need for constant supervision of the Infant on the stairs. Notwithstanding reprimands concerning unsafe behaviour on the stairs, I verily believe the Defendants knew that reminders and closer supervision of the Infant continued to be required both before and after the Date of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 make the following findings regarding the progress of the education of Matthew in how to use stairs and the degree of supervision thought appropriate by Mr. and Mrs. Newton in that regard.</w:t>
      </w:r>
      <w:r>
        <w:rPr>
          <w:rFonts w:ascii="arial" w:eastAsia="arial" w:hAnsi="arial" w:cs="arial"/>
          <w:sz w:val="20"/>
          <w:lang w:val="en-US" w:eastAsia="en-US" w:bidi="ar-SA"/>
        </w:rPr>
        <w:cr/>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both Defendants would remind Matthew of the need to use the handrail when he was going up and down stairs and when he was not descending on his buttocks;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had been no previous incidents where Matthew jumped at someone while on the stairs;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Matthew would descend on his own either by sitting down on the stairs or being accompanied by one of his parents holding his hand;</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that there were only a few occasions when he was allowed to descend the stairs on his own but holding the handrail after being instructed to do so by one of his parents;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even after the accident, Matthew was instructed to go down the stairs while sitting on his buttocks;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it was the invariable practice of his parents to instruct Matthew to either hold onto the handrail or to sit on his buttocks when he was going down the stairs;</w:t>
      </w:r>
    </w:p>
    <w:p>
      <w:pPr>
        <w:numPr>
          <w:numId w:val="1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were very few occasions when Matthew was allowed to go down the stairs without holding the handrail while an adult accompanied him walking backwards but within reaching distance of Matthew.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DISCUSSION AND CASE AUTHORITIES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xml:space="preserve">  Parents are required to supervise their children but will not be vicariously liable merely because of the parental relationship: Arnold v. Teno </w:t>
      </w:r>
      <w:hyperlink r:id="rId1109" w:history="1">
        <w:r>
          <w:rPr>
            <w:rFonts w:ascii="arial" w:eastAsia="arial" w:hAnsi="arial" w:cs="arial"/>
            <w:i/>
            <w:color w:val="0077CC"/>
            <w:sz w:val="20"/>
            <w:u w:val="single"/>
            <w:shd w:val="clear" w:color="auto" w:fill="FFFFFF"/>
            <w:lang w:val="en-US" w:eastAsia="en-US" w:bidi="ar-SA"/>
          </w:rPr>
          <w:t>[1978] 2 S.C.R. 287</w:t>
        </w:r>
      </w:hyperlink>
      <w:r>
        <w:rPr>
          <w:rFonts w:ascii="arial" w:eastAsia="arial" w:hAnsi="arial" w:cs="arial"/>
          <w:color w:val="000000"/>
          <w:sz w:val="20"/>
          <w:lang w:val="en-US" w:eastAsia="en-US" w:bidi="ar-SA"/>
        </w:rPr>
        <w:t xml:space="preserve">; Hatfield v. Pearson </w:t>
      </w:r>
      <w:hyperlink r:id="rId1128" w:history="1">
        <w:r>
          <w:rPr>
            <w:rFonts w:ascii="arial" w:eastAsia="arial" w:hAnsi="arial" w:cs="arial"/>
            <w:i/>
            <w:color w:val="0077CC"/>
            <w:sz w:val="20"/>
            <w:u w:val="single"/>
            <w:shd w:val="clear" w:color="auto" w:fill="FFFFFF"/>
            <w:lang w:val="en-US" w:eastAsia="en-US" w:bidi="ar-SA"/>
          </w:rPr>
          <w:t>(1956), 6 D.L.R. (2d) 593</w:t>
        </w:r>
      </w:hyperlink>
      <w:r>
        <w:rPr>
          <w:rFonts w:ascii="arial" w:eastAsia="arial" w:hAnsi="arial" w:cs="arial"/>
          <w:color w:val="000000"/>
          <w:sz w:val="20"/>
          <w:lang w:val="en-US" w:eastAsia="en-US" w:bidi="ar-SA"/>
        </w:rPr>
        <w:t xml:space="preserve"> (B.C.C.A.); Moon v. Towers (1860) 151 E.R. 1306; Segstro v. McLean, </w:t>
      </w:r>
      <w:hyperlink r:id="rId1129" w:history="1">
        <w:r>
          <w:rPr>
            <w:rFonts w:ascii="arial" w:eastAsia="arial" w:hAnsi="arial" w:cs="arial"/>
            <w:i/>
            <w:color w:val="0077CC"/>
            <w:sz w:val="20"/>
            <w:u w:val="single"/>
            <w:shd w:val="clear" w:color="auto" w:fill="FFFFFF"/>
            <w:lang w:val="en-US" w:eastAsia="en-US" w:bidi="ar-SA"/>
          </w:rPr>
          <w:t>[1990] B.C.J. No. 2477</w:t>
        </w:r>
      </w:hyperlink>
      <w:r>
        <w:rPr>
          <w:rFonts w:ascii="arial" w:eastAsia="arial" w:hAnsi="arial" w:cs="arial"/>
          <w:color w:val="000000"/>
          <w:sz w:val="20"/>
          <w:lang w:val="en-US" w:eastAsia="en-US" w:bidi="ar-SA"/>
        </w:rPr>
        <w:t xml:space="preserve"> (B.C.S.C.). The potential liability is personal and not vicarious. Parents have a parental duty of care to supervise and control the activities of a child and, if they do so to an acceptable standard, then they are also using reasonable care to prevent foreseeable damage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xml:space="preserve">  In Lelarge v. Blackney, </w:t>
      </w:r>
      <w:hyperlink r:id="rId1130" w:history="1">
        <w:r>
          <w:rPr>
            <w:rFonts w:ascii="arial" w:eastAsia="arial" w:hAnsi="arial" w:cs="arial"/>
            <w:i/>
            <w:color w:val="0077CC"/>
            <w:sz w:val="20"/>
            <w:u w:val="single"/>
            <w:shd w:val="clear" w:color="auto" w:fill="FFFFFF"/>
            <w:lang w:val="en-US" w:eastAsia="en-US" w:bidi="ar-SA"/>
          </w:rPr>
          <w:t>(1978), 92 D.L.R. (3d) 440</w:t>
        </w:r>
      </w:hyperlink>
      <w:r>
        <w:rPr>
          <w:rFonts w:ascii="arial" w:eastAsia="arial" w:hAnsi="arial" w:cs="arial"/>
          <w:color w:val="000000"/>
          <w:sz w:val="20"/>
          <w:lang w:val="en-US" w:eastAsia="en-US" w:bidi="ar-SA"/>
        </w:rPr>
        <w:t xml:space="preserve"> (N.B.C.A.), Hughes, C.J.N.B. on behalf of the Court described the parental duty of care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parental duty of care is a duty personally imposed upon the parent irrespective of the wrongdoing or the liability of a child. The duty is to supervise and control the activities of the child and, in doing so, to use reasonable care to prevent foreseeable damage to others. The extent of the duty varies with the age of the child. The degree of supervision and control required of a young child may be very different from that required of a child approaching the age of majority. As the age of the child increases and the expectation that he will conform to adult standards of behaviour also increases, the parental duty to supervise and control his activities tends to diminish. (at pp. 446-7).</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Spence, J. on behalf of the majority in Arnold, supra, concluded that the appropriate test of whether the parents would be liable would be whether they had fulfilled the: "...the accepted standard of care of parents generally in the community." "... the standard to be expected from a reasonably prudent mother under the circumstances. (at p. 312)</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xml:space="preserve">  Mere errors of judgment alone will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Laplante (Guardian ad Litem of) v. Leplante </w:t>
      </w:r>
      <w:hyperlink r:id="rId1131" w:history="1">
        <w:r>
          <w:rPr>
            <w:rFonts w:ascii="arial" w:eastAsia="arial" w:hAnsi="arial" w:cs="arial"/>
            <w:i/>
            <w:color w:val="0077CC"/>
            <w:sz w:val="20"/>
            <w:u w:val="single"/>
            <w:shd w:val="clear" w:color="auto" w:fill="FFFFFF"/>
            <w:lang w:val="en-US" w:eastAsia="en-US" w:bidi="ar-SA"/>
          </w:rPr>
          <w:t>(1995), 8 B.C.L.R. (3d) 119</w:t>
        </w:r>
      </w:hyperlink>
      <w:r>
        <w:rPr>
          <w:rFonts w:ascii="arial" w:eastAsia="arial" w:hAnsi="arial" w:cs="arial"/>
          <w:color w:val="000000"/>
          <w:sz w:val="20"/>
          <w:lang w:val="en-US" w:eastAsia="en-US" w:bidi="ar-SA"/>
        </w:rPr>
        <w:t xml:space="preserve"> (B.C.C.A.), Taylor, J.A. on behalf of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that "error of judgment" alone will not amount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must, of course, be right, in the sense that there may be several courses of conduct any of which a reasonably careful parent might follow in a given situation, and it will be enough to answer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 course adopted by the defendant parent was one of those which the reasonable, careful parent might have taken, even though events may, of course, have shown the choice to have been unfortunate. (at p. 123)</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test to be applied in determining whether that duty has been discharged is an "objective" one in the sense that the parent is expected to do, or not to do, that which, according to community standards of the time, the ordinary reasonably careful parent would do, or not do, in the same circumstances. But the test if "subjective" to the extent that the reasonable parent must be put in the position in which the defendant found himself or herself, and given on by that knowledge which the defendant parent had, when deciding what the reasonable parent in Mr. LaPlante's position would have understood or believed, and as a consequence have done or not have done. (at p. 123)</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xml:space="preserve">  In order to make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parents, the harm must have been reasonably foreseeable so that there was a duty of care to use reasonable care to prevent the foreseeable damage. What is reasonable was explained in Klar, Linden, Cherniak, and Kryworuk,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Thomson Canada, 1995:</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reasonable person must govern his conduct so as to avoid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or conduct involving an unreasonable risk of harm. Thus, the standard of care varies with the circumstances. In determining whether a risk is unreasonable, three factors are considered: the magnitude of the risk, the importance of the conduct, and the cost of eliminating the risk. In terms of likelihood, there must be more than a mere theoretical chance that harm will occur, for people are not obliged to guard against fantastic possibilities. There must be a real risk of injury. (at paras. 58-59).</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xml:space="preserve">  A child's propensity to act destructively is one key factor in determining foreseeability. The standard of care for parents is elevated if the child has a specific propensity to act destructively: Segstro v. McLean, </w:t>
      </w:r>
      <w:hyperlink r:id="rId1129" w:history="1">
        <w:r>
          <w:rPr>
            <w:rFonts w:ascii="arial" w:eastAsia="arial" w:hAnsi="arial" w:cs="arial"/>
            <w:i/>
            <w:color w:val="0077CC"/>
            <w:sz w:val="20"/>
            <w:u w:val="single"/>
            <w:shd w:val="clear" w:color="auto" w:fill="FFFFFF"/>
            <w:lang w:val="en-US" w:eastAsia="en-US" w:bidi="ar-SA"/>
          </w:rPr>
          <w:t>[1990] B.C.J. No. 2477</w:t>
        </w:r>
      </w:hyperlink>
      <w:r>
        <w:rPr>
          <w:rFonts w:ascii="arial" w:eastAsia="arial" w:hAnsi="arial" w:cs="arial"/>
          <w:color w:val="000000"/>
          <w:sz w:val="20"/>
          <w:lang w:val="en-US" w:eastAsia="en-US" w:bidi="ar-SA"/>
        </w:rPr>
        <w:t xml:space="preserve"> (B.C.S.C.). In MacAlpine, v. H(T), </w:t>
      </w:r>
      <w:hyperlink r:id="rId1132" w:history="1">
        <w:r>
          <w:rPr>
            <w:rFonts w:ascii="arial" w:eastAsia="arial" w:hAnsi="arial" w:cs="arial"/>
            <w:i/>
            <w:color w:val="0077CC"/>
            <w:sz w:val="20"/>
            <w:u w:val="single"/>
            <w:shd w:val="clear" w:color="auto" w:fill="FFFFFF"/>
            <w:lang w:val="en-US" w:eastAsia="en-US" w:bidi="ar-SA"/>
          </w:rPr>
          <w:t>(1991) 82 D.L.R. (4th) 609</w:t>
        </w:r>
      </w:hyperlink>
      <w:r>
        <w:rPr>
          <w:rFonts w:ascii="arial" w:eastAsia="arial" w:hAnsi="arial" w:cs="arial"/>
          <w:color w:val="000000"/>
          <w:sz w:val="20"/>
          <w:lang w:val="en-US" w:eastAsia="en-US" w:bidi="ar-SA"/>
        </w:rPr>
        <w:t xml:space="preserve"> (B.C.C.A.), Macfarlane, J.A.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extent of supervision and control will vary with the risks to be reasonably anticipated. A parent will be responsible for those risks or propensities of the child of which he has or ought to have knowledge. (at p. 626)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In Segstro, supra, Lander, J.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extent to which a parent is expected to supervise the activities of a child varies with the age of the child. The duty is heaviest when the child is very young since it is both vulnerable (due to its na've actions) and dangerous to others (due to its unpredictable and impulsive acts). As the child grows older the expectation that it will adhere to mature conduct increases and the duty to supervise in order to prevent harm declines.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 general principle linking age to degree of supervision required applies with respect to the "ordinary" child. Two elements will modify the application of the general rule. Where a child has a specific propensity to act destructively or where the child is in possession of dangerous goods then the standard of care expected of a parent may be elevated. This latter aspect does not apply in the case at bar.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Where it can be demonstrated that a child has a propensity to act destructively (Thibodeau v. Cheff </w:t>
      </w:r>
      <w:hyperlink r:id="rId1133" w:history="1">
        <w:r>
          <w:rPr>
            <w:rFonts w:ascii="arial" w:eastAsia="arial" w:hAnsi="arial" w:cs="arial"/>
            <w:i/>
            <w:color w:val="0077CC"/>
            <w:sz w:val="20"/>
            <w:u w:val="single"/>
            <w:shd w:val="clear" w:color="auto" w:fill="FFFFFF"/>
            <w:lang w:val="en-US" w:eastAsia="en-US" w:bidi="ar-SA"/>
          </w:rPr>
          <w:t>(1911) 24 O.L.R. 214</w:t>
        </w:r>
      </w:hyperlink>
      <w:r>
        <w:rPr>
          <w:rFonts w:ascii="arial" w:eastAsia="arial" w:hAnsi="arial" w:cs="arial"/>
          <w:color w:val="000000"/>
          <w:sz w:val="20"/>
          <w:lang w:val="en-US" w:eastAsia="en-US" w:bidi="ar-SA"/>
        </w:rPr>
        <w:t xml:space="preserve"> (Div. Ct. App.)) then the duty to supervise (and to take other reasonable steps to avoid foreseeable loss) is heightened. At p. 221 the learned Judge stated that a parent is exposed to liability:</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"...if he [the parent] knows of a child's frequent wrongdoing in a particular direction and, by his inaction (when he is able to restrain and confine the child), he indicates his willingness that the misconduct should be repeated."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Special circumstances must be proved, however, and the parent is not accountable for every action of a child.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To succeed a plaintiff must show (1) that the defendant child had a dangerous propensity; (2) that the parents knew of the propensity; (3) that the parents could reasonably anticipate another occurrence; (4) that reasonable steps could have been taken to avoid a recurrence, and (6) that the parents failed to take such steps. (Streifl v. Strotz et al </w:t>
      </w:r>
      <w:hyperlink r:id="rId1134" w:history="1">
        <w:r>
          <w:rPr>
            <w:rFonts w:ascii="arial" w:eastAsia="arial" w:hAnsi="arial" w:cs="arial"/>
            <w:i/>
            <w:color w:val="0077CC"/>
            <w:sz w:val="20"/>
            <w:u w:val="single"/>
            <w:shd w:val="clear" w:color="auto" w:fill="FFFFFF"/>
            <w:lang w:val="en-US" w:eastAsia="en-US" w:bidi="ar-SA"/>
          </w:rPr>
          <w:t>(1958) 11 D.L.R. (2d) 667</w:t>
        </w:r>
      </w:hyperlink>
      <w:r>
        <w:rPr>
          <w:rFonts w:ascii="arial" w:eastAsia="arial" w:hAnsi="arial" w:cs="arial"/>
          <w:color w:val="000000"/>
          <w:sz w:val="20"/>
          <w:lang w:val="en-US" w:eastAsia="en-US" w:bidi="ar-SA"/>
        </w:rPr>
        <w:t xml:space="preserve"> (B.C.S.C.). (at pp. 7-8)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The first question is whether Matthew has exhibited a propensity to act destructively. If that question can be answered positively, then the duty to supervise and take reasonable steps to avoid foreseeable loss will be heightened. If that question is answered negatively, then the general principle linking age to degree of supervision will apply with the assumption that Matthew is an "ordinary" child who is two years and three and a half months old. Regarding the propensity to act destructively, there must be a sufficient nexus between the prior acts and the act at issue to prove the harm was foreseeable.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In Robertson v. Adigbite </w:t>
      </w:r>
      <w:hyperlink r:id="rId1135" w:history="1">
        <w:r>
          <w:rPr>
            <w:rFonts w:ascii="arial" w:eastAsia="arial" w:hAnsi="arial" w:cs="arial"/>
            <w:i/>
            <w:color w:val="0077CC"/>
            <w:sz w:val="20"/>
            <w:u w:val="single"/>
            <w:shd w:val="clear" w:color="auto" w:fill="FFFFFF"/>
            <w:lang w:val="en-US" w:eastAsia="en-US" w:bidi="ar-SA"/>
          </w:rPr>
          <w:t>[2000] B.C.J. No. 1192</w:t>
        </w:r>
      </w:hyperlink>
      <w:r>
        <w:rPr>
          <w:rFonts w:ascii="arial" w:eastAsia="arial" w:hAnsi="arial" w:cs="arial"/>
          <w:color w:val="000000"/>
          <w:sz w:val="20"/>
          <w:lang w:val="en-US" w:eastAsia="en-US" w:bidi="ar-SA"/>
        </w:rPr>
        <w:t xml:space="preserve"> (B.C.S.C.), Macaulay, J. dealt with a "mentally disabled adult male" who attacked the plaintiff without warning. There was a finding that the defendant previously demonstrated a propensity to react negatively and sometimes aggressively. After noting that both of those observations were correct, Macaulay, J. concluded that Mr. A: "... never demonstrated any propensity for acting aggressively in public towards strangers."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 cannot conclude that there was a demonstrated propensity of Matthew to act destructively which required his parents to take heightened reasonable steps to avoid foreseeable loss. While I am satisfied that there were several incidents of Matthew breaking away from the grip of an adult's hand by dropping to the stairs beneath him, I am satisfied that the number of incidents (probably two) where this occurred would not amount to a "propensity". Even if it did amount to a propensity, that propensity related to situations when he was accompanied by an adult rather than situations where he was not. A specific "propensity" to act impulsively when his hand was being held by an adult does not allow me to draw the conclusion that there would then be a general "propensity" to act in other unpredictable and impulsive ways while on stairs. I cannot find a sufficient nexus between these two previous actions of Matthew and jumping as he did to then find that Matthew had a propensity for unsafe acts on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cannot find that there was a heightened need to supervise arising out of any propensity. I cannot find that there was a "frequent wrongdoing" so as to conclude that Mr. and Ms. Newton could reasonably anticipate another occurrence of a similar type or of a different unsafe action by Matthew on stairs. I am satisfied that Matthew can be treated as an "ordinary" child so that the duty imposed upon his parents is to supervise and control his activities to use reasonable care to prevent foreseeable damage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To succeed, the Plaintiff must show that one or both of the Defendants failed to meet the standard of care of parents generally in the community: Arnold, supra. At the time of the accident Matthew was two years and three and a half months old. The duty imposed upon his parents to supervise his activities is heavy as the unpredictable and impulsive acts of a child that age pose a danger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order to find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the parents, there must be "substantial evidence": Herrell v. Nickerson </w:t>
      </w:r>
      <w:hyperlink r:id="rId1136" w:history="1">
        <w:r>
          <w:rPr>
            <w:rFonts w:ascii="arial" w:eastAsia="arial" w:hAnsi="arial" w:cs="arial"/>
            <w:i/>
            <w:color w:val="0077CC"/>
            <w:sz w:val="20"/>
            <w:u w:val="single"/>
            <w:shd w:val="clear" w:color="auto" w:fill="FFFFFF"/>
            <w:lang w:val="en-US" w:eastAsia="en-US" w:bidi="ar-SA"/>
          </w:rPr>
          <w:t>(1979), 26 N.B.R. (2d) 42</w:t>
        </w:r>
      </w:hyperlink>
      <w:r>
        <w:rPr>
          <w:rFonts w:ascii="arial" w:eastAsia="arial" w:hAnsi="arial" w:cs="arial"/>
          <w:color w:val="000000"/>
          <w:sz w:val="20"/>
          <w:lang w:val="en-US" w:eastAsia="en-US" w:bidi="ar-SA"/>
        </w:rPr>
        <w:t xml:space="preserve"> (N.B.Q.B.); and Arnold, supra. I am satisfied that there is such substantial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It is clear that Matthew had not developed to the stage where he could be left alone to go up or down stairs. According to Maria Newton, she would always remind Matthew to use the handrail. This time, she did not. Neither the Plaintiff nor the Defendant, John Newton, heard her use those words and, while she suggests in her affidavits that she did give that reminder, Maria Newton does not go so far as to quote the words she uses. This is contrasted with those words which were heard by both the Plaintiff and Mr. Newton: "Go to Nannan".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Both Defendants encouraged Matthew to sit down or to hang onto the handrail if they were not holding his hand while they accompanied him on the stairs. On the day in question, Marie Newton did not follow any of this past invariable practice. She left Matthew alone without insisting that he sit down on the stairs as she would not be accompanying him. At her discovery, Maria Newton confirmed that the practice of having Matthew go down the stairs sitting down continued as late as 15 months after the accident, Matthew was still being reminded that this was the appropriate method to go down the stairs. Maria Newton also stated that, immediately before the accident, she would always remind Matthew how to go down the stairs. On the day in question, no such reminder was given.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Maria Newton failed to warn the Plaintiff that she was leaving Matthew alone on the stairs. At her discovery, Maria Newton confirmed that the behaviour of children of similar age was often "very unpredictable", "can be very unsafe what they do", and that is why parents have to exercise control of their behaviour "at all times". The most telling admission by Maria Newton was the statement that "nobody" was in control of Matthew when she walked away from him on the day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While John Newton stated that he and his wife were "confident in his ability to navigate the stairs in a predictable and safe manner", John Newton admitted that Matthew had "Not very often" gone up or down the stairs without the assistance of one of his parents. In fact, John Newton indicated at the time of his discovery he was still holding Matthew's hand when Matthew was going down stairs.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In Latimer v. A.E.C. Ltd., [1852] 1 All E.R. 1302, the Court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It seems to me that the learned judge has fallen into error by assuming that it was sufficient to constitute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that there was a foreseeable risk which the defendants could have avoided by some measure or other, however extreme. That is not the law. It is always necessary to consider what measures the defendants could have taken and to say whether they could reasonably be expected of them....</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In every case of foreseeable risk it is a matter of balancing the risk against the measures necessary to eliminate it. It is only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if, on balance, the defendants did something which they ought to have done or omitted to do something which they ought to have done.... (at pp. 1305-6)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Lord Reid in Carmarthenshire County Council v. Lewis, [1955] A.C. 549 (H.L.) stated:</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There is no absolute duty; there is only a duty not to be negligent, and a mother is not negligent unless she fails to do something that a prudent or reasonable mother in her position would have been able to do and would have done. (at p. 566)</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What occurred here was more than an error in judgment. Maria Newton did not follow any of the courses of action which an ordinary reasonably careful parent would have followed if put in the circumstances the Defendants found themselves in that day and she did not follow the procedures that she and John Newton had invariably followed previously. The magnitude of the risk was substantial. The possibility of an older person falling backwards downstairs was a substantial risk if a child was left alone to navigate stairs alone. The "cost" of eliminating the risk was minimal. It merely required Maria Newton to delay her visit to the bathroom by the time it took to accompany Matthew to a safe place on the stairs where his grandmother could then further accompany him down the stairs or the time it would take to instruct Matthew and then assure herself that Matthew was sitting on the stairs. It is because a child is too young to take care of his or her own safety and therefore the safety of others, that parents are under a duty to use reasonable care to supervise and control the activities of a child. I am satisfied that Matthew's parents did not exercise the reasonable care necessary to prevent foreseeable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While the steps that were usually taken by his parents were steps to protect Matthew from being injured, those steps also protected others from reasonably foreseeable risks. Just as it was reasonable to foresee injury to Matthew if he was left alone on the stairs or not left until after he was seated, so also was it reasonable to foresee that his actions if unattended or if not already seated could cause injury to others.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measures that the Defendants could have taken were not ones which were unreasonable and were ones which could reasonably be expected of them. In the circumstances, the Defendants did not choose a course of conduct which a reasonably careful parent would have followed in the particular situation.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The application of the Defendants is dismissed and the claim of the Plaintiff is allowed. However, there is nothing before me which would allow me to conclude that the Defendant, John Newton, breached the standard of care expected of reasonably careful parents. That could only be said of the Defendant, Maria Newton. I am satisfied that it was Maria Newton who had the ability to control Matthew in the particular situation. That day, she bore the duty of care imposed upon both Defendants. It was only Maria Newton who failed to follow the courses of care and control that had been established by both Defendants, with the failure to exercise that care and control resulting in Maria Newton not doing that which an ordinary reasonably careful parent would have followed that day and other days. In the circumstances, the claim of the Plaintiff is allowed only as against Maria Newton.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find that there is no evidence which would support the proposition that the Plaintiff in any way contributed to causing the accident. In fact, that submission was not made by the Defendants. Accordingly, the Plaintiff is entitled to a declaration that the Defendant, Maria Newton, is 100% liable for the accident and the damage suffered by the Plaintiff as a result of the accident. Unless the parties wish to speak to the question of costs, the Plaintiff will be entitled to her Party and Party (Scale 3) costs throughout. While successful in the application to dismiss the action against him, I am satisfied that it would be inappropriate in the circumstances for the Defendant, John Newton, to be entitled to his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BURNYEAT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37" style="position:absolute;z-index:25189376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37"/>
          <w:headerReference w:type="default" r:id="rId1138"/>
          <w:footerReference w:type="even" r:id="rId1139"/>
          <w:footerReference w:type="default" r:id="rId1140"/>
          <w:headerReference w:type="first" r:id="rId1141"/>
          <w:footerReference w:type="first" r:id="rId114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43" w:history="1">
        <w:r>
          <w:rPr>
            <w:rFonts w:ascii="arial" w:eastAsia="arial" w:hAnsi="arial" w:cs="arial"/>
            <w:b/>
            <w:bCs/>
            <w:i/>
            <w:color w:val="0077CC"/>
            <w:kern w:val="32"/>
            <w:sz w:val="28"/>
            <w:szCs w:val="32"/>
            <w:u w:val="single"/>
            <w:shd w:val="clear" w:color="auto" w:fill="FFFFFF"/>
            <w:lang w:val="en-US" w:eastAsia="en-US" w:bidi="ar-SA"/>
          </w:rPr>
          <w:t>O'Ruairc (Guardian ad litem of) v. Pelletier, [2002] B.C.J. No. 953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New Westminster,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Wedge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March 25 and 26,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April 23, 2002.</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New Westminster Registry No. S042234</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[2002] B.C.J. No. 953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2002 BCSC 601</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114 A.C.W.S. (3d) 352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Shane Kevin O'Ruairc, an infant by his Guardian ad litem Deirdre O'Ruairc, plaintiff, and Kenneth Pelletier and Ford Credit Canada Limited - Crédit Ford du Canada limitée,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(44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38" style="position:absolute;z-index:2517032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88" w:name="Keywords_43"/>
      <w:bookmarkEnd w:id="288"/>
      <w:r>
        <w:rPr>
          <w:rFonts w:ascii="arial" w:eastAsia="arial" w:hAnsi="arial" w:cs="arial"/>
          <w:b/>
          <w:color w:val="000000"/>
          <w:sz w:val="20"/>
          <w:lang w:val="en-US" w:eastAsia="en-US" w:bidi="ar-SA"/>
        </w:rPr>
        <w:t xml:space="preserve">Torts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Motor vehicle, rules of the road — Intersections, turning left, right of way.</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289" w:name="Case Summary_42"/>
            <w:bookmarkEnd w:id="289"/>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Trial of an action arising out of a motor vehicle accident in which the plaintiff O'Ruairc's vehicle was struck by the defendant Pelletier's vehicle while Pelletier was attempting a left turn. Pelletier was approaching an intersection while travelling northbound on a street with two through lanes and a designated left turn lane. O'Ruairc was driving southbound on the street approaching the intersection. The accident occurred when Pelletier turned left in the intersection. The front of his vehicle struck the left corner and driver's side of the O'Ruairc vehicle. The traffic light at the intersection for north and southbound traffic was green. Pelletier argued that O'Ruairc did not have his headlights on and/or that O'Ruairc was speeding.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290" w:name="Holdings of Court_37"/>
            <w:bookmarkEnd w:id="290"/>
            <w:r>
              <w:rPr>
                <w:rFonts w:ascii="arial" w:eastAsia="arial" w:hAnsi="arial" w:cs="arial"/>
                <w:color w:val="000000"/>
                <w:sz w:val="20"/>
                <w:lang w:val="en-US" w:eastAsia="en-US" w:bidi="ar-SA"/>
              </w:rPr>
              <w:t>HELD: Action allowed for damages to be assessed.</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Pelletier was the servient driver and the onus was on him to prove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O'Ruairc. Pelletier did not stop before attempting the turn. The damage to the vehicles was consistent with Pelletier turning directly into O'Ruairc's truck rather than into the path of the truck, so that O'Ruairc had no time or opportunity to avoid the accident. Pelletier failed to establish that O'Ruairc did not put his headlights on. No evidence of a post-accident inspection of the headlights was led by Pelletier. Even if the headlights were off, there was some evidence that the intersection was well lit and Pelletier failed to prove that a lack of headlights caused the accident. Pelletier failed to establish that O'Ruairc was speeding. No engineering reconstruction report suggesting excessive speed was led by Pelletier.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291" w:name="Legislation Cited_29"/>
      <w:bookmarkEnd w:id="291"/>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39" style="position:absolute;z-index:2517544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Motor Vehicle Act, s. 174.</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292" w:name="Counsel_43"/>
      <w:bookmarkEnd w:id="292"/>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0" style="position:absolute;z-index:25180569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J.E. Murphy, Q.C., and F. Hayman, for the plaintiff. J. Baker, Q.C., and C. Godwin,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293" w:name="Judgment_43"/>
      <w:bookmarkEnd w:id="293"/>
      <w:r>
        <w:pict>
          <v:line id="_x0000_s1241" style="position:absolute;z-index:25185689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294" w:name="WEDGE J."/>
            <w:bookmarkEnd w:id="294"/>
            <w:r>
              <w:rPr>
                <w:rFonts w:ascii="arial" w:eastAsia="arial" w:hAnsi="arial" w:cs="arial"/>
                <w:b/>
                <w:color w:val="000000"/>
                <w:sz w:val="30"/>
                <w:lang w:val="en-US" w:eastAsia="en-US" w:bidi="ar-SA"/>
              </w:rPr>
              <w:t>WEDGE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Shane O'Ruairc was involved in car accidents on December 9, 1995 and December 16, 1995. In the first accident Mr. O'Ruairc's vehicle was struck from behind by another vehicle. In the second accident, his vehicle was struck by the defendant, Kenneth Pelletier, who was attempting a left turn at a signalized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Actions were commenced on Mr. O'Ruairc's behalf as a result of each accident. An order was made in September 2001, by this court severing liability and quantum of damages in both actions. The defendant in the first accident admitted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ISSUE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At issue in this trial is the liability of Mr. Pelletier for the accident on December 16, 1995.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trial proceeded on the basis of an agreed statement of facts (Exhibit 1) and the evidence of five witnesses: Mr. O'Ruairc; Mr. Pelletier; Ms. Graham, a passenger in the Pelletier truck; Mr. Rowley, an independent witness to the accident; and Constable Amanda Jones, a police officer who attended at the scene of the accident shortly after it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 agreed facts were stated as follows:</w:t>
      </w:r>
      <w:r>
        <w:rPr>
          <w:rFonts w:ascii="arial" w:eastAsia="arial" w:hAnsi="arial" w:cs="arial"/>
          <w:sz w:val="20"/>
          <w:lang w:val="en-US" w:eastAsia="en-US" w:bidi="ar-SA"/>
        </w:rPr>
        <w:cr/>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On Saturday December 16, 1995 at approximately 6:15 p.m., the plaintiff Shane Kevin O'Ruairc ("O'Ruairc") and the defendant Kenneth Pelletier ("Pelletier") were involved in a motor vehicle accident ("the Accident").</w:t>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at the intersection of 200th Street and 53rd Avenue in Langley ("the Intersection").</w:t>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Intersection, 200th Street runs north/south and has two through lanes and a designated left turn lane for both the north and the southbound traffic. At the time of the Accident, the Intersection was controlled by a traffic light.</w:t>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At the time of the Accident, Pelletier was driving a 1994 Ford 4 x 4 Truck leased from the defendant Ford Credit Canada Limited - Credit Ford Du Canada Limitee and bearing B.C. license plate number 5847XY (the "Pelletier Truck"). At all material times, Pelletier had possession of the Pelletier Truck with the consent, express or implied, of the defendant Ford Credit Canada Limited - Credit Ford Du Canada Limitee.</w:t>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Pelletier was travelling northbound on 200th Street approaching the Intersection.</w:t>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Prior to the Accident, O'Ruairc was driving a 1986 Dodge Dakota (the "O'Ruairc Truck") southbound on 200th Street approaching the Intersection.</w:t>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when Pelletier turned left in the Intersection and the front of the Pelletier Truck struck the front left corner and driver's side of the O'Ruairc Truck.</w:t>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Immediately before the Accident, the traffic light for northbound and southbound traffic at the Intersection was green.</w:t>
      </w:r>
    </w:p>
    <w:p>
      <w:pPr>
        <w:numPr>
          <w:numId w:val="519"/>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Accident occurred within the southbound lanes of the Intersection.</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both the Pelletier Truck and the O'Ruairc Truck came to rest in the southbound lanes of 200th Street.</w:t>
      </w:r>
    </w:p>
    <w:p>
      <w:pPr>
        <w:numPr>
          <w:numId w:val="3"/>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the O'Ruairc Truck was towed from the scene of the Accident, inspected by an ICBC estimator, and declared a total loss.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On or about December 19, 1995, six pictures were taken of the O'Ruairc vehicle.</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Following the Accident, three pictures were taken of the Pelletier Truck which showed the damage to the Pelletier Truck as a result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EVIDENCE AT TRIAL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December 16, 1995, was a Saturday. At 6 o-clock that evening, Mr. O'Ruairc was delivering pizza for a pizza shop in Langley where he had been employed for about a week. He was then 16 years of age and had obtained his driver's licence three months earlier.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Mr. O'Ruairc's vehicle was an older model Dodge truck with manually operated headlights. When he obtained his driver's licence he took a defensive driver course where he learned to drive with his car headlights on regardless of the time of day. As a result, he always operated his vehicle with the headlights on. The evening of December 16, 1995, was no exception.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When he reported for work that evening, Mr. O'Ruairc left his truck running and picked up a pizza order for delivery to a customer. He then proceeded south on 200th Street. The intersection of 200th Street and 53rd Avenue was about l kilometre from the pizza shop. As he approached the intersection, he was in the lane closest to the centre line of the road. Although that lane also had a designated left turn lane at the intersection, Mr. O'Ruairc was proceeding straight through the intersection and no part of his vehicle was in the left turn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O'Ruairc recalled that the posted speed limit was about 50 or 60 kilometres per hour. He estimated that he was driving at about the speed limit. The posted speed limit was in fact 50 kilometres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The light was green when Mr. O'Ruairc entered the intersection. He was aware of traffic on the road but did not specifically recall vehicles coming toward him. He did not see the Pelletier truck until it was turning into his truck. Mr. O'Ruairc recalled seeing the bumper of the Pelletier truck a "split second" before the collision. He next recalled someone helping him out of the passenger side of his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Mr. O'Ruairc did not move his vehicle from the place of impact. Neither vehicle was capable of being driven.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Constable Amanda Jones of the Langley R.C.M.P. Detachment was on duty the evening of the accident and was called to the scene shortly after the accident occurred. She had no independent recollection of investigating the accident but took notes during her attendance at the scene, drew a sketch of the vehicles as they were situated in the intersection, and completed a traffic accident work sheet at the scene.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Constable Jones noted that the road surface of 200th Street was dry and the road was well maintained. The evening was partly cloudy and the temperature was 2 Celsius. The traffic light was operating. The intersection had light standards in the southwest and northeast corners and was well lit. Visibility in the intersection was good.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Constable Jones' sketch revealed that both vehicles had come to rest in the southbound lanes of 200th Street. Both vehicles were facing south. Mr. O'Ruairc's vehicle had been spun 180 [degrees] by the impact of the Pelletier truck. The Pelletier truck was closer to the centre of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Constables Jones interviewed Mr. Pelletier, Mr. O'Ruairc and an independent witness, Mr. Rowley. After each interview, she recorded in note form a summary of what each person told her. Her summary of Mr. Pelletier's statement was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CIRCUMSTANCES: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DRIVER #1 Northbound on 200 St. approaching intersection of 200 St. and 53 Ave. Changed lanes into the left hand turning lane to head westbound on 53 Ave. Stated he thought he had plenty of time to make the turn prior to the southbound vehicle entering the intersection. Made his turn and hit the southbound vehicle. Light was green.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On the basis of what Constable Jones observed and was told by witnesses, she issued a Traffic Violation Ticket to Mr. Pelletier.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Rowley witnessed the accident. He was driving north-bound on 200th Street. He lived in Langley at the time and was familiar with the intersection as he drove through it on his way to and from work. On the evening of the accident the intersection was well lit with street lights. As he approached the intersection he could see the road clearly.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Rowley was approximately two car lengths behind the Pelletier truck and to the right of it. He was driving in the lane farthest from the centre line; there was a lane between his vehicle and the Pelletier truck. He saw the Pelletier truck enter the intersection and turn left. Mr. Pelletier did not stop his truck before making the turn. A fraction of a second elapsed between the time the Pelletier truck turned left and the collision with the O'Ruairc truck. The traffic light was green at the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Rowley did not notice Mr. O'Ruairc's truck before the collision. There was little on-coming traffic. He did not recall seeing any other vehicles coming toward him before witnessing the collision. He did not know whether the headlights of either vehicle were on or whether the left turn signal of the Pelletier truck was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Mr. Pelletier testified that shortly before the accident he had delivered his son to the Langley home of his former spouse and was driving north-bound on 200th Street in the direction of his home. His companion, Ms. Graham, was with him. As he approached the intersection at 53rd Avenue he discovered that he had forgotten to leave an item with his former spouse and that he must turn back to her home. He was approaching 53rd Avenue at the time and decided to turn left in order to double back. He recalled there was a moderate level of traffic that evening.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The light at the intersection of 200th Street and 53rd Avenue was green as he approached. He said he entered the left turn lane and, once in the intersection, stopped his truck to allow on-coming cars to clear the intersection. He saw a car coming south-bound toward the intersection but believed it was about a block away. He did not see any other south-bound vehicles near the intersection so began turning left. Almost instantly, he collided with the O'Ruairc vehicle. Just before impact he saw a brilliant flash but did not see the O'Ruairc truck. Immediately after the collision he and Ms. Graham got out of the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Constable Jones arrived about 15 minutes later and took a statement from Mr. Pelletier. He agreed that the statement Constable Jones attributed to him was an accurate summary of what he told her at the time. At trial, however, he said he thought he had seen a set of headlights further down the road and that no other cars were in the vicinity of the intersection before he attempted the left turn. As he had not seen a vehicle close to the intersection, he began to wonder later that evening whether the headlights of the O'Ruairc truck were on at the time the accident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Ms. Graham was riding in the truck with Mr. Pelletier at the time of the accident. She recalled that Mr. Pelletier pulled into the left turn lane and stopped to allow on-coming cars to clear the intersection. She looked down at her hands momentarily as the truck stopped, and looked up again as Mr. Pelletier began the left turn. She did not see any south-bound vehicles before the collision. She saw a bright flash of light the instant before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Photographs were taken of the damage to both vehicles. The Pelletier truck was damaged on the front end, primarily on the passenger side. The O'Ruairc truck was damaged primarily on the front corner of the driver's side and on the door of the driver's side. Damage to the O'Ruairc vehicle was extensive. Mr. O'Ruairc's insurer, the Insurance Corporation of British Columbia, towed the truck from the scene and concluded that it was a total loss. Mr. O'Ruairc was compensated for the loss of the truck at an agreed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POSITIONS OF THE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Counsel for Mr. O'Ruairc submitted that Mr. Pelletier, the left turning driver, negligently failed to yield the right of way to Mr. O'Ruairc whose vehicle was close enough to constitute a hazard.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Counsel for Mr. Pelletier submitted that the accident was unavoidable either because Mr. O'Ruairc was negligently operating his truck without headlights, or at an excessive speed, or both.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ANALYSIS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xml:space="preserve">  A left turning vehicle at an intersection must yield to on-coming traffic that is close enough to constitute a hazard. Section 174 of the Motor Vehicle Act,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is the governing provision. It reads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xml:space="preserve">  The driver attempting to make the left turn is commonly referred to as the "servient driver" and the on-coming driver is referred to as the "dominant driver". The dominant driver is entitled to assume that a servient driver will yield the right of way and the onus of proving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dominant driver rests with the servient driver. Any doubt must be resolved in favour of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Our Court of Appeal, in Pacheco (Guardian ad litem of) v. Robinson, </w:t>
      </w:r>
      <w:hyperlink r:id="rId114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stated this principle at para. 18 of the decision:</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The principle has been applied in numerous cases involving motorists attempting a left turn. See:</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Raie and Raie v. Thorpe (1963), 43 W.W.R. 405 (B.C.C.A.);</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Keen v. Stene </w:t>
      </w:r>
      <w:hyperlink r:id="rId1145" w:history="1">
        <w:r>
          <w:rPr>
            <w:rFonts w:ascii="arial" w:eastAsia="arial" w:hAnsi="arial" w:cs="arial"/>
            <w:i/>
            <w:color w:val="0077CC"/>
            <w:sz w:val="20"/>
            <w:u w:val="single"/>
            <w:shd w:val="clear" w:color="auto" w:fill="FFFFFF"/>
            <w:lang w:val="en-US" w:eastAsia="en-US" w:bidi="ar-SA"/>
          </w:rPr>
          <w:t>(1964), 44 D.L.R. (2d) 350</w:t>
        </w:r>
      </w:hyperlink>
      <w:r>
        <w:rPr>
          <w:rFonts w:ascii="arial" w:eastAsia="arial" w:hAnsi="arial" w:cs="arial"/>
          <w:color w:val="000000"/>
          <w:sz w:val="20"/>
          <w:lang w:val="en-US" w:eastAsia="en-US" w:bidi="ar-SA"/>
        </w:rPr>
        <w:t xml:space="preserve"> (B.C.C.A.), and</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Etter v. Trent, </w:t>
      </w:r>
      <w:hyperlink r:id="rId1146" w:history="1">
        <w:r>
          <w:rPr>
            <w:rFonts w:ascii="arial" w:eastAsia="arial" w:hAnsi="arial" w:cs="arial"/>
            <w:i/>
            <w:color w:val="0077CC"/>
            <w:sz w:val="20"/>
            <w:u w:val="single"/>
            <w:shd w:val="clear" w:color="auto" w:fill="FFFFFF"/>
            <w:lang w:val="en-US" w:eastAsia="en-US" w:bidi="ar-SA"/>
          </w:rPr>
          <w:t>[1991] B.C.J. No. 237</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 vehicle becomes an immediate hazard when it is so close to the intersection that a collision will occur unless there is some violent or sudden action of avoidance on the part of the driver of the approaching car. Speed and distance generally determine what constitutes an immediate hazard. See: Raie and Raie v. Thorpe, supra; Keen v. Stene,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Application of the law to the present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In the present case, the accident occurred as Mr. Pelletier attempted a left turn at an intersection. Mr. Pelletier was the servient driver and the onus is accordingly on him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O'Ruairc.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I have concluded that Mr. Pelletier did not stop before attempting his turn in the intersection. I accept the evidence of Mr. Rowley, an independent witness who saw the accident occur from close range.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Of note is the position of the vehicles after impact and the nature of the damage to the vehicles. The impact must have occurred in the south-bound lane of 200th Street in which the O'Ruairc vehicle was travelling. The damage to the vehicles is consistent with Mr. Pelletier turning directly into Mr. O'Ruairc's truck rather than into the path of his truck. It follows that Mr. O'Ruairc had no time or opportunity to avoid the accident. He was already well into the intersection when Mr. Pelletier attempted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Mr. Pelletier concedes that the front of his vehicle struck the driver's side of the O'Ruairc vehicle as it was proceeding south-bound through the intersection. However, Mr. Pelletier argued that he did not see Mr. O'Ruairc approaching the intersection because the headlights of Mr. O'Ruairc's vehicle were not on, or because Mr. O'Ruairc was travelling at an excessive speed.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Headlights of the O'Ruairc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The onus is on Mr. Pelletier to establish that Mr. O'Ruairc failed to put his headlights on and that the failure caused or contributed to the accident. I conclude that Mr. Pelletier has failed to discharge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Pelletier acknowledged that he told Constable Jones shortly after the accident that he "thought he had plenty of time to make the turn prior to the south-bound vehicle entering the intersection". Had Mr. Pelletier been unable to see Mr. O'Ruairc's truck as it entered the intersection, he would have given that information to Constable Jones. In addition, Mr. Pelletier conceded that he began to speculate some hours after the accident that Mr. O'Ruairc did not have his headlights on. This speculation was an attempt by Mr. Pelletier to explain to himself why he had not seen Mr. O'Ruairc in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Although post-accident inspection of a damaged headlamp can determine whether the headlamp was on at the time of the accident, no such evidence was led by the defence. I.C.B.C took possession of the O'Ruairc truck immediately after the accident but apparently did not conduct any such post-accident inspection.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Direct evidence with respect to the headlights came from Mr. O'Ruairc who said his headlights were on. He always drove with his headlights on, even during the day. That evidence was not undermined in any way by the defence.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Finally, even if the headlights were not on, Mr. Pelletier failed to prove that the lack of headlights caused the accident. Constable Jones testified that the intersection was well lit. The evidence of Mr. Rowley was that although it was dark at time, visibility was good because of the street lamps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Speed of the O'Ruairc vehicle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onus was also on Mr. Pelletier to establish that Mr. O'Ruairc was travelling at an excessive speed and that it caused or contributed to the accident. Again, Mr. Pelletier has failed to discharge that onus.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Mr. O'Ruairc's evidence was that he was travelling at about the speed limit which he thought was between 50 and 60 kilometres per hour. That evidence was not challenged by the defence. The defence led no engineering reconstruction report to suggest excessive speed. The location of the O'Ruairc truck in the intersection after the accident suggests that the truck did not travel a significant distance after impact. Neither vehicle travelled a great distance after impact. In all likelihood the speed of the O'Ruairc truck was not much different than that of the Pelletier 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The evidence of Mr. Rowley, and that of both drivers, was that the impact occurred a fraction of a second after Mr. Pelletier commenced his left turn. That evidence, together with the evidence of the damage to the vehicles and the location of the impact, established that any variation in the speed with which Mr. O'Ruairc was driving would not have prevented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The case law clearly establishes that the onus was on Mr. Pelletier as the servient drive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O'Ruairc and that any doubt must be resolved in favour of Mr. O'Ruairc. Mr. Pelletier failed to prove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O'Ruairc. Accordingly, Mr. O'Ruairc is entitled to judgment against the defendants, Mr. Pelletier and Ford Credit Canada Ltd., for Mr. O'Ruairc's damages, which remain to be assessed.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WEDGE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42" style="position:absolute;z-index:251894784"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47"/>
          <w:headerReference w:type="default" r:id="rId1148"/>
          <w:footerReference w:type="even" r:id="rId1149"/>
          <w:footerReference w:type="default" r:id="rId1150"/>
          <w:headerReference w:type="first" r:id="rId1151"/>
          <w:footerReference w:type="first" r:id="rId1152"/>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53" w:history="1">
        <w:r>
          <w:rPr>
            <w:rFonts w:ascii="arial" w:eastAsia="arial" w:hAnsi="arial" w:cs="arial"/>
            <w:b/>
            <w:bCs/>
            <w:i/>
            <w:color w:val="0077CC"/>
            <w:kern w:val="32"/>
            <w:sz w:val="28"/>
            <w:szCs w:val="32"/>
            <w:u w:val="single"/>
            <w:shd w:val="clear" w:color="auto" w:fill="FFFFFF"/>
            <w:lang w:val="en-US" w:eastAsia="en-US" w:bidi="ar-SA"/>
          </w:rPr>
          <w:t>Plakholm v. Victoria (City), [2009] B.C.J. No. 1551</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Victoria,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R. Johnston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July 10, 2009 (The City of Victoria) and July 23,</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2009 (Brenda Ann Plakholm), by written submissions.</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July 30, 2009.</w:t>
      </w:r>
    </w:p>
    <w:p>
      <w:pPr>
        <w:spacing w:before="120" w:line="260" w:lineRule="atLeast"/>
        <w:jc w:val="center"/>
        <w:rPr>
          <w:lang w:val="en-US" w:eastAsia="en-US" w:bidi="ar-SA"/>
        </w:rPr>
      </w:pPr>
      <w:r>
        <w:rPr>
          <w:rFonts w:ascii="arial" w:eastAsia="arial" w:hAnsi="arial" w:cs="arial"/>
          <w:color w:val="000000"/>
          <w:sz w:val="20"/>
          <w:lang w:val="en-US" w:eastAsia="en-US" w:bidi="ar-SA"/>
        </w:rPr>
        <w:t>Docket: 06-3168</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Victoria</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[2009] B.C.J. No. 1551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BCSC 1039</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62 M.P.L.R. (4th) 164</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2009 CarswellBC 2061</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000000"/>
          <w:sz w:val="20"/>
          <w:lang w:val="en-US" w:eastAsia="en-US" w:bidi="ar-SA"/>
        </w:rPr>
        <w:t>179 A.C.W.S. (3d) 724</w:t>
      </w:r>
    </w:p>
    <w:p>
      <w:pPr>
        <w:spacing w:before="120" w:line="260" w:lineRule="atLeast"/>
        <w:rPr>
          <w:lang w:val="en-US" w:eastAsia="en-US" w:bidi="ar-SA"/>
        </w:rPr>
      </w:pPr>
      <w:r>
        <w:rPr>
          <w:rFonts w:ascii="arial" w:eastAsia="arial" w:hAnsi="arial" w:cs="arial"/>
          <w:color w:val="000000"/>
          <w:sz w:val="20"/>
          <w:lang w:val="en-US" w:eastAsia="en-US" w:bidi="ar-SA"/>
        </w:rPr>
        <w:t>Between Brenda Ann Plakholm, Plaintiff, and The City of Victoria, Defendant</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(13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43" style="position:absolute;z-index:251704320"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295" w:name="Keywords_44"/>
      <w:bookmarkEnd w:id="29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Proof of — Duty of care — Pedestrians — Plaintiff's knowledge of danger — Dangerous premises or equipment — Determination of issue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Plea of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as city had not satisfied burden of showing pedestrian failed to take reasonable care for own safety — Pedestrian not negligent in crossing street mid-block as location of accident was residential area with narrow streets and no marked crosswalks — Not unreasonable to cross roadway on diagonal — No evidence pedestrian distracted by anything or doing anything other than paying ordinary attention ordinary citizen would pay crossing quiet residential street mid-block — Pedestrian entitled to assume roadway on day of accident was as had been on previous occasions.</w:t>
      </w:r>
    </w:p>
    <w:p>
      <w:pPr>
        <w:jc w:val="both"/>
        <w:rPr>
          <w:lang w:val="en-US" w:eastAsia="en-US" w:bidi="ar-SA"/>
        </w:rPr>
      </w:pPr>
      <w:bookmarkStart w:id="296" w:name="Counsel_44"/>
      <w:bookmarkEnd w:id="296"/>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44" style="position:absolute;z-index:251755520"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Plaintiff/Respondent: D. Turner.</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Defendant/Applicant: T. DeSouza.</w:t>
      </w:r>
      <w:r>
        <w:rPr>
          <w:lang w:val="en-US" w:eastAsia="en-US" w:bidi="ar-SA"/>
        </w:rPr>
        <w:cr/>
      </w:r>
    </w:p>
    <w:p>
      <w:pPr>
        <w:spacing w:after="240"/>
        <w:rPr>
          <w:lang w:val="en-US" w:eastAsia="en-US" w:bidi="ar-SA"/>
        </w:rPr>
      </w:pPr>
      <w:bookmarkStart w:id="297" w:name="Judgment_44"/>
      <w:bookmarkEnd w:id="297"/>
      <w:r>
        <w:pict>
          <v:line id="_x0000_s1245" style="position:absolute;z-index:251806720"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654"/>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298" w:name="R. JOHNSTON J."/>
            <w:bookmarkEnd w:id="298"/>
            <w:r>
              <w:rPr>
                <w:rFonts w:ascii="arial" w:eastAsia="arial" w:hAnsi="arial" w:cs="arial"/>
                <w:b/>
                <w:color w:val="000000"/>
                <w:sz w:val="30"/>
                <w:lang w:val="en-US" w:eastAsia="en-US" w:bidi="ar-SA"/>
              </w:rPr>
              <w:t>R. JOHNSTON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The City was found liable for the plaintiff's injuries in my reasons found at </w:t>
      </w:r>
      <w:hyperlink r:id="rId1154" w:history="1">
        <w:r>
          <w:rPr>
            <w:rFonts w:ascii="arial" w:eastAsia="arial" w:hAnsi="arial" w:cs="arial"/>
            <w:i/>
            <w:color w:val="0077CC"/>
            <w:sz w:val="20"/>
            <w:u w:val="single"/>
            <w:shd w:val="clear" w:color="auto" w:fill="FFFFFF"/>
            <w:lang w:val="en-US" w:eastAsia="en-US" w:bidi="ar-SA"/>
          </w:rPr>
          <w:t>2008 BCSC 1048</w:t>
        </w:r>
      </w:hyperlink>
      <w:r>
        <w:rPr>
          <w:rFonts w:ascii="arial" w:eastAsia="arial" w:hAnsi="arial" w:cs="arial"/>
          <w:color w:val="000000"/>
          <w:sz w:val="20"/>
          <w:lang w:val="en-US" w:eastAsia="en-US" w:bidi="ar-SA"/>
        </w:rPr>
        <w:t xml:space="preserve">, dated August 1, 2008. Although the City had pleaded the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plaintiff, that was not argued and was therefore left open at the conclusion of those reasons. The parties have now provided written submissions on the question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xml:space="preserve">  The burden of proof is on the City to establish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a balance of probabilities.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City argues that Ms. Plakholm failed to use reasonable care for her own safety because: she crossed Oswego Street in mid-block rather than using a crosswalk; she crossed the street diagonally and she changed course in the middle of the street; and she failed to look down either when she stepped off the curb or while she was walking across Oswego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Whether it is negligent to cross a street at the place other than an intersection depends largely on the circumstances. One of those circumstances may be whether a pedestrian crossing a street in mid-block is hit by a vehicle travelling on the street. Another may be the width of the street and the amount of traffic that might reasonably be expected to travel on the street.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Here, the location of the accident is in a residential area of narrow streets. There are no marked crosswalks at the closest intersections.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I find that it was not unreasonable for Ms. Plakholm, a woman in her middle years, to elect to cross Oswego Street in mid-block rather than walk alongside the open space presented by a school yard in order to cross at an unmarked crosswalk at the nearest intersection. That is particularly so because there was an opening between the cars parked on the opposite side of the street across from where she got off the bus, and she testified it was by no means certain that there would be an opening in parked cars at the nearest intersection.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 do not accept that it is a failure to use reasonable care to cross a roadway on a diagonal or anything other than a line perpendicular to the sidewalk one is leaving. For one, it is not clear how much of a diagonal the plaintiff was travelling. Second, the argument seems to suggest that if the plaintiff had walked in any other angle or direction she might have avoided the unusual danger the City had created. That argument does not commend itself to me.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xml:space="preserve">  I am not persuaded on the evidence that the plaintiff was as indecisive as the City argues while she was crossing the street, or that her indecision occurred at about the place where the City had created the unusual danger. I do not accept that as a basis for the plaintiff's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The last argument advanced by the City is that the plaintiff failed to look down or to keep a reasonably careful watch of where she was walking. The City points out that by the time the plaintiff got to the area of unusual danger where she fell, she had already crossed two previous areas which the City argues were displacements in elevation, without conceding that they were unusual dangers.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While I accept that everyone is obliged to exercise reasonable care for their own safety, I do not accept that, in the absence of any reason to take particular care, it is a failure to take reasonable care if one does not look down as one walks. This, too, depends upon the circumstances. But the circumstances here include that the plaintiff was crossing a paved street that, while it may not have been her usual route home, she had crossed many times in the past. She was thus entitled to assume that the roadway on the day of the accident was as it had been on previous occasions when she had crossed. She had no warning or other reason to believe that the City had dug a hole in the roadway and refilled it since the last time she had crossed there.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City states that, although it was dusk, there was sufficient illumination from street lights and natural light that the plaintiff ought to have seen the colour difference between the undisturbed road surface and the freshly repaved area of work. The evidence is not sufficient for me to conclude that there would have been a visible difference in the lighting conditions existing at the time the plaintiff fell.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I have no evidence that at the time she fell or immediately before the plaintiff was distracted by anything, or was doing anything than paying the ordinary attention that an ordinary citizen would pay crossing a quiet residential street in mid-block.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short, the defendant has not satisfied the burden on it showing that the plaintiff failed to take reasonable care for her own safety and the plea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is dismissed.</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R. JOHNSTON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46" style="position:absolute;z-index:251857920"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55"/>
          <w:headerReference w:type="default" r:id="rId1156"/>
          <w:footerReference w:type="even" r:id="rId1157"/>
          <w:footerReference w:type="default" r:id="rId1158"/>
          <w:headerReference w:type="first" r:id="rId1159"/>
          <w:footerReference w:type="first" r:id="rId1160"/>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61" w:history="1">
        <w:r>
          <w:rPr>
            <w:rFonts w:ascii="arial" w:eastAsia="arial" w:hAnsi="arial" w:cs="arial"/>
            <w:b/>
            <w:bCs/>
            <w:i/>
            <w:color w:val="0077CC"/>
            <w:kern w:val="32"/>
            <w:sz w:val="28"/>
            <w:szCs w:val="32"/>
            <w:u w:val="single"/>
            <w:shd w:val="clear" w:color="auto" w:fill="FFFFFF"/>
            <w:lang w:val="en-US" w:eastAsia="en-US" w:bidi="ar-SA"/>
          </w:rPr>
          <w:t>Qiao v. Buckley, [2008] B.C.J. No. 2533</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J.A. Sinclair Prowse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17-18, 21, 25 and May 27,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December 24,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M063026</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2533</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62" w:history="1">
        <w:r>
          <w:rPr>
            <w:rFonts w:ascii="arial" w:eastAsia="arial" w:hAnsi="arial" w:cs="arial"/>
            <w:i/>
            <w:color w:val="0077CC"/>
            <w:sz w:val="20"/>
            <w:u w:val="single"/>
            <w:shd w:val="clear" w:color="auto" w:fill="FFFFFF"/>
            <w:lang w:val="en-US" w:eastAsia="en-US" w:bidi="ar-SA"/>
          </w:rPr>
          <w:t>2008 BCSC 1782</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Man Qiao, Plaintiff, and Sean Buckley and Judith Lynn Buckley,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(95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47" style="position:absolute;z-index:2517053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299" w:name="Keywords_45"/>
      <w:bookmarkEnd w:id="299"/>
      <w:r>
        <w:rPr>
          <w:rFonts w:ascii="arial" w:eastAsia="arial" w:hAnsi="arial" w:cs="arial"/>
          <w:b/>
          <w:color w:val="000000"/>
          <w:sz w:val="20"/>
          <w:lang w:val="en-US" w:eastAsia="en-US" w:bidi="ar-SA"/>
        </w:rPr>
        <w:t>Damages — Physical and psychological injuries — Physical injuries — Body injuries — Neck — Fibromyalgia or chronic pain — Psychological injuries — Depression — Phobias — Considerations impacting on award — Pre-existing injury — Mitigation — Assessment of special and general damages resulting from a 2004 motor vehicle accident — Plaintiff, now 49, suffered from chronic pain, a disc herniation in neck, soft tissue injury to neck, anxiety, including panic attacks, and depression — Anxiety and depression were pre-existing — Plaintiff awarded $23,152 for her acupuncture, mileage expenses and medication expense — General damages of $50,000 awarded — All physical injuries resulted from accident — Accident worsened pre-existing psychological problems — Damages reduced by 30 per cent due to plaintiff s failure to continue with psychological counselling as recommended by doctors.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Damages — Types of damages — General damages — Categories of — Inconvenience — Loss of enjoyment of life — For personal injuries — Considerations — Aggravation of pre-existing injury — Pre existing medical conditions — Special damages — Expenses and expenditures — Medical — Medications — Transportation — Therapy or rehabilitation Non-pecuniary loss — Pain and suffering — Assessment of special and general damages resulting from a 2004 motor vehicle accident — Plaintiff, now 49, suffered from chronic pain, a disc herniation in neck, soft tissue injury to neck, anxiety, including panic attacks, and depression — Anxiety and depression were pre-existing — Plaintiff awarded $23,152 for her acupuncture, mileage expenses and medication expense — General damages of $50,000 awarded — All physical injuries resulted from accident — Accident worsened pre-existing psychological problems — Damages reduced by 30 per cent due to plaintiff s failure to continue with psychological counselling as recommended by doctors.</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0" w:name="Case Summary_43"/>
            <w:bookmarkEnd w:id="30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for damages for injuries suffered in a motor vehicle accident. The defendants admitted that this collision occurred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plaintiff alleged that she suffered from physical and psychological injuries. The defendants argued that the plaintiff merely suffered a mild soft tissue injury which resolved or should have resolved shortly after the accident. They further submitted that the plaintiff's present complaints were psychological or psychosomatic in nature and were not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also argued that the plaintiff failed to mitigate her damages.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1" w:name="Holdings of Court_38"/>
            <w:bookmarkEnd w:id="301"/>
            <w:r>
              <w:rPr>
                <w:rFonts w:ascii="arial" w:eastAsia="arial" w:hAnsi="arial" w:cs="arial"/>
                <w:color w:val="000000"/>
                <w:sz w:val="20"/>
                <w:lang w:val="en-US" w:eastAsia="en-US" w:bidi="ar-SA"/>
              </w:rPr>
              <w:t>HELD: Action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The plaintiff's physical and psychological injuries were the direct results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defendants established that the plaintiff failed to mitigate her loss by failing to participate in group psychotherapy sessions. The quantum of the damages that would otherwise have been ordered was reduced by 30 percent because of the failure to mitigate. The plaintiff was awarded $23,000 for special expenses and $50,000 for general damages.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2" w:name="Counsel_45"/>
      <w:bookmarkEnd w:id="30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48" style="position:absolute;z-index:251756544"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the Plaintiff: Matthew D.C. Fahey.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the Defendants: Garry J.H. Boswell.</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03" w:name="Judgment_45"/>
      <w:bookmarkEnd w:id="303"/>
      <w:r>
        <w:pict>
          <v:line id="_x0000_s1249" style="position:absolute;z-index:251807744"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4071"/>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04" w:name="J.A. SINCLAIR PROWSE J."/>
            <w:bookmarkEnd w:id="304"/>
            <w:r>
              <w:rPr>
                <w:rFonts w:ascii="arial" w:eastAsia="arial" w:hAnsi="arial" w:cs="arial"/>
                <w:b/>
                <w:color w:val="000000"/>
                <w:sz w:val="30"/>
                <w:lang w:val="en-US" w:eastAsia="en-US" w:bidi="ar-SA"/>
              </w:rPr>
              <w:t>J.A. SINCLAIR PROWSE J.</w:t>
            </w:r>
          </w:p>
        </w:tc>
      </w:tr>
    </w:tbl>
    <w:p>
      <w:pPr>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sz w:val="20"/>
          <w:lang w:val="en-US" w:eastAsia="en-US" w:bidi="ar-SA"/>
        </w:rPr>
        <w:cr/>
      </w:r>
    </w:p>
    <w:p>
      <w:pPr>
        <w:numPr>
          <w:numId w:val="520"/>
        </w:numPr>
        <w:spacing w:before="120" w:line="260" w:lineRule="atLeast"/>
        <w:jc w:val="both"/>
        <w:rPr>
          <w:rFonts w:ascii="arial" w:eastAsia="arial" w:hAnsi="arial" w:cs="arial"/>
          <w:sz w:val="20"/>
          <w:lang w:val="en-US" w:eastAsia="en-US" w:bidi="ar-SA"/>
        </w:rPr>
      </w:pPr>
      <w:r>
        <w:rPr>
          <w:rFonts w:ascii="arial" w:eastAsia="arial" w:hAnsi="arial" w:cs="arial"/>
          <w:b/>
          <w:color w:val="000000"/>
          <w:sz w:val="20"/>
          <w:lang w:val="en-US" w:eastAsia="en-US" w:bidi="ar-SA"/>
        </w:rPr>
        <w:t>NATURE OF THE PROCEEDINGS AND ISSUE RAISED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On August 12, 2004, while driving a motor vehicle owned by the Defendant Judith Lynn Buckley, the Defendant Sean Buckley rear-ended a vehicle driven by the Plaintiff Man Qiao. The Defendants admit that this collision occurred as a result of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This trial pertains to damages only. The issues fall into two categories:</w:t>
      </w:r>
      <w:r>
        <w:rPr>
          <w:rFonts w:ascii="arial" w:eastAsia="arial" w:hAnsi="arial" w:cs="arial"/>
          <w:sz w:val="20"/>
          <w:lang w:val="en-US" w:eastAsia="en-US" w:bidi="ar-SA"/>
        </w:rPr>
        <w:cr/>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nature and extent of the Plaintiff's injuries as caused by the collision; and</w:t>
      </w:r>
    </w:p>
    <w:p>
      <w:pPr>
        <w:numPr>
          <w:numId w:val="2"/>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entitlement and quantum of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Plaintiff presently suffers from chronic pain, a disc herniation in her neck, a soft tissue injury to her neck, anxiety (including panic attacks), and depression. The most debilitating of these symptoms is the chronic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She submits that although she suffered from an anxiety disorder and periodic depression prior to this collision, her condition worsened after the collision. With respect to her physical injuries, the Plaintiff says that all of them were caused by the collision. Specifically, she says that even if the disc herniation was pre-existing, it was asymptomatic and only became symptomatic as a result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xml:space="preserve">  The Defendants, on the other hand, contend that, at the most, the Plaintiff suffered a mild soft tissue injury which resolved or should have resolved shortly after the accident. They further submit that the Plaintiff's present complaints are psychological or psychosomatic in nature and were not caused by their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The Plaintiff has confined her claims to special and general damages.</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BACKGROUND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The Plaintiff is now 49 years old. She was 45 years old when this collision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For 6 years prior to the collision, the Plaintiff had suffered from an anxiety disorder, including panic attacks, and periodic depression. Her symptoms were sufficiently severe that she had to withdraw from the workforce. Prior to the onset of her anxiety disorder, the Plaintiff had trained as a pharmacist and had worked in that profession as well as in other business. However, her symptoms were not so severe that she could not function - that is, she was able to interact with people and maintain friendships.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However, in the 8-month period prior to the collision, the Plaintiff's condition had improved markedly as the result of her new medication, Effexor. Although the precise dosage was still being fined-tuned, her symptoms had abated to the extent that she was actively making plans to return to the workplace and to start her own business.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Before the collision, the Plaintiff did not have any physical problems apart from some periodic pain in her neck. An x-ray taken not long before the collision showed some arthritis, but other than that, her physical health was unremarkable.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collision itself occurred in the early afternoon. The Plaintiff had either stopped or was just beginning to accelerate when the collision occurred. She had no notice of the impending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Though the Defendant driver did not know the exact speed at which he was travelling, he attested that given the congested road conditions, he thought that it was probably in the range of 10 to 12 kph. Whatever his speed, the impact was not sufficient to dislodge the papers that were laying on the passenger seat onto the floor.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However, the impact was severe enough to cause $700 in damage to the Plaintiff's Honda sedan and to twist the front bumper of the Defendants' full-size GMC van.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Immediately upon impact, the Plaintiff experienced a pain running up her neck and a shooting explosive pain in her head. After exchanging information with the Defendant driver, she went to see her doctor.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Initially, her symptoms included headaches, neck pain, back pain, dizziness, left shoulder pain, left knee pain and swelling, nausea, and insomnia.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Over the next few months, her knee and shoulder symptoms resolved. However, her neck and back pain persisted. In addition, the symptoms of her anxiety disorder worsened. She developed additional phobias, including a fear of crowds, a fear of social interaction, and, for a period, a fear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Her family doctor observed that her symptoms interacted with one another. That is, whenever her anxiety disorder symptoms increased (for example, when she was under stress, upset, or anxious), the pain in her back and neck would increase and last for days.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January 2005, the Plaintiff's family doctor referred her to a psychiatrist for treatment for her anxiety disorder. These treatments were subsequently terminated by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Some months after that termination, the Plaintiff asked for another psychiatric referral. However, that referral was not made until August 2006 as the Plaintiff was out of the country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Included in the treatment provided by this second psychiatrist was a recommendation that the Plaintiff participate in the hospital's psychotherapy groups. The Plaintiff failed to follow up with this treatment, explaining that she was uncomfortable and embarrassed with the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Because of the persistence of her neck and back pain symptoms, the Plaintiff underwent a CT scan of her cervical spine on November 26, 2006. That scan revealed a moderate disc herniation at the C5-6 level which was more prominent on the right side. This disc herniation had not been present in the x-ray taken of the Plaintiff's neck a few months prior to the collision, which had revealed the presence of arthritis.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Over the past 4 years, the Plaintiff has undergone numerous acupuncture treatments that have provided her with some temporary relief. Although there has been some improvement with respect to her symptoms overall, the Plaintiff continues to suffer chronic pain in her neck and back which intensifies if she is upset, anxious or under stress.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As was set out earlier in these Reasons, the Plaintiff had not been able to work for some years. However, prior to the collision, her anxiety disorder symptoms had resolved to that point that the Plaintiff considered re-entry to the workforce a realistic option.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Since the collision, however, her new physical injuries combined with the worsening of her psychological symptoms have rendered her return to the workforce unlikely. As a consequence of her chronic pain, she has lost the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Her ongoing symptoms have also adversely affected her quality and enjoyment of life in other ways. For example, her chronic pain and increased anxiety disorder symptoms have caused her to become short-tempered and angry which, in turn, have made it difficult, if not impossible, to make and maintain friendships. She now lives an isolated life, having lost many of her old friends.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(III) THE PLAINTIFF'S INJURIES CAUSED BY THE DEFENDANTS' </w:t>
      </w: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xml:space="preserve">  I am satisfied that as the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 suffered an injury to her shoulder and knee, a soft tissue injury to her neck and back which included a disc herniation; and an aggravation of her anxiety disorder and depression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Specifically, with respect to her psychological injuries, I am satisfied that as a result of the collision her anxiety disorder and depression symptoms worsened, and that the worsening included the development of additional phobias such as a fear of crowds, social interaction, and driving. There has been some improvement with respect to these symptoms. For example, the Plaintiff is now able to drive her vehicle and her fear of social interactions has lessened some.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There has also been some improvement in her physical injuries. In particular, her knee and shoulder injuries resolved within a short period.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As far as her chronic pain injury is concerned, I am satisfied that it arises primarily from the soft tissue injuries to her neck and back and from her disc herniation. However, the severity of the pain from these injuries is aggravated or intensified by her anxiety disorders. As her anxiety or stress levels increase, her chronic pain also increases in severity.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In reaching these conclusions, I relied on the testimony of the Plaintiff and the evidence of Dr. Leong, her family doctor. The Defendants submit that I should not rely upon the Plaintiff's evidence, contending that it was evasive, non-responsive and inconsistent with the clinical records. Moreover, they submit that I should rely upon the evidence of Dr. Schweigel, the orthopaedic surgeon who did an independent medical examination of the Plaintiff and whose report the Defendants tendered in this trial. The Defendants contend that his evidence is more reliable than that of Dr. Leong.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The evidence did not support the Defendants' contentions.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clinical records did, in fact, support the Plaintiff's testimony that she reported her knew injury to her doctor from the outset. The records show that she reported this injury on the day of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Furthermore, the Defendants contend that the Plaintiff was evasive and unresponsive because she admitted during her testimony that she did not always tell her psychotherapy counsellor the truth. The Plaintiff's explanation for this behaviour was that she was ashamed of her condition and did not want that counsellor to think that she was useless. In my view, that admission was neither evasive nor unresponsive. Rather, it was candid.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In any event, on all material issues, the Plaintiff's evidence was consistent with and supported by other evidence. In particular, the evidence of her injuries was supported by the evidence of her family doctor, Dr. Leong - a witness whom I found to be credible and on whose evidence I relied.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As the Plaintiff's treating physician, Dr. Leong had seen the Plaintiff over a long period of time. Dr. Schweigel, on the other hand, only saw the Plaintiff on one occasion for about an hour to an hour and a half.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Throughout her testimony, Dr. Leong presented as a measured person who was endeavouring to be clear, accurate and fair. Her answers were thoughtful and balanced. Her testimony was both internally consistent and consistent with the other evidence.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For example, it was Dr. Leong's opinion that the collision caused the Plaintiff's disc herniation in one of two ways: (1) either the collision caused the herniation completely; or (2) if the herniation pre-dated the collision, then the collision caused the herniation to become symptomatic. This evidence was based on the fact that the Plaintiff did not display any symptoms of cervical disc herniation prior to the collision. Although she had experienced some pain in her neck which had occasioned the earlier x-ray, that pain was occasional rather than chronic. It was also different in kind from the type of pain that can arise from disc herniation and that the Plaintiff experienced after the collision. Furthermore, the x-ray taken shortly before the collision did not show a disc herniation.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Dr. Schweigel, on the other hand, was evasive and argumentative in his evidence. He gave opinions in this trial that were inconsistent with opinions that he had tendered in other trials, demonstrating that he was not impartial but, rather, tailored his evidence to favour the party that had called him. For example, in this trial he opined that arthritis could not be triggered by trauma whereas in another action he gave the opposite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Dr. Schweigel opined that the Plaintiff had suffered a mild soft tissue injury to her neck and back as a result of this collision and that that injury had probably resolved itself within 3 to 4 months. He opined that the disc herniation pre-dated the collision as such conditions can arise from a longstanding arthritic condition and that, in any event, the Plaintiff's chronic pain arose from neither the herniation specifically nor the collision generally but, rather, from her psychological or psychosomatic problems.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However, during cross-examination, he did concede that trauma could trigger further degeneration. He further went on to testify that if this injury did not pre-date the collision, that it would probably have arisen within 2 to 3 years to a maximum of 5 years. In my view, this opinion contradicts his initial opinion that a disc herniation cannot be caused by trauma or become symptomatic because of trauma.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For all of these reasons, I found Dr. Schweigel's evidence to be unreliable. I preferred the opinion of Dr. Leong. Where her opinion differed from the opinion of Dr. Schweigel, I relied upon her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In their arguments as to the Plaintiff's injuries, the Defendants submitted that given the severity of this collision, it is unlikely that the Plaintiff would have suffered any injuries other than a mild soft tissue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As was set out in </w:t>
      </w:r>
      <w:r>
        <w:rPr>
          <w:rFonts w:ascii="arial" w:eastAsia="arial" w:hAnsi="arial" w:cs="arial"/>
          <w:b/>
          <w:i/>
          <w:color w:val="000000"/>
          <w:sz w:val="20"/>
          <w:lang w:val="en-US" w:eastAsia="en-US" w:bidi="ar-SA"/>
        </w:rPr>
        <w:t>Gordon v. Palmer</w:t>
      </w:r>
      <w:r>
        <w:rPr>
          <w:rFonts w:ascii="arial" w:eastAsia="arial" w:hAnsi="arial" w:cs="arial"/>
          <w:color w:val="000000"/>
          <w:sz w:val="20"/>
          <w:lang w:val="en-US" w:eastAsia="en-US" w:bidi="ar-SA"/>
        </w:rPr>
        <w:t xml:space="preserve"> </w:t>
      </w:r>
      <w:hyperlink r:id="rId411" w:history="1">
        <w:r>
          <w:rPr>
            <w:rFonts w:ascii="arial" w:eastAsia="arial" w:hAnsi="arial" w:cs="arial"/>
            <w:i/>
            <w:color w:val="0077CC"/>
            <w:sz w:val="20"/>
            <w:u w:val="single"/>
            <w:shd w:val="clear" w:color="auto" w:fill="FFFFFF"/>
            <w:lang w:val="en-US" w:eastAsia="en-US" w:bidi="ar-SA"/>
          </w:rPr>
          <w:t>(1993), 78 B.C.L.R. (2d) 236</w:t>
        </w:r>
      </w:hyperlink>
      <w:r>
        <w:rPr>
          <w:rFonts w:ascii="arial" w:eastAsia="arial" w:hAnsi="arial" w:cs="arial"/>
          <w:color w:val="000000"/>
          <w:sz w:val="20"/>
          <w:lang w:val="en-US" w:eastAsia="en-US" w:bidi="ar-SA"/>
        </w:rPr>
        <w:t xml:space="preserve"> (S.C.), the fact that the damage to the vehicles is minor does not necessarily mean that the injuries arising from such a collision will also be minor. At paras. 4 and 5 Thackeray J. held:</w:t>
      </w:r>
      <w:r>
        <w:rPr>
          <w:rFonts w:ascii="arial" w:eastAsia="arial" w:hAnsi="arial" w:cs="arial"/>
          <w:sz w:val="20"/>
          <w:lang w:val="en-US" w:eastAsia="en-US" w:bidi="ar-SA"/>
        </w:rPr>
        <w:cr/>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I do not subscribe to the view that if there is no motor vehicle damage then there is no injury. That is a philosophy that the Insurance Corporation of British Columbia may follow, but it has no application in court. It is not a legal principle of which I am aware and I have never heard it endorsed as a medical principle.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Significant injuries can be caused by the most casual of slips and falls. Conversely, accidents causing extensive property damage may leave those involved unscathed. The presence and extent of injuries are to be determined on the basis of evidence given in court. Objectivity is thus preserved and the public does not have to concern itself with extraneous philosophies that some would impose on the judicial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Given these principles, the fact that the impact of this collision was modest does not preclude the Plaintiff from being injured as a result of it. As was set out earlier, the evidence proves that she felt the injury immediately. Her conduct and her symptoms have been consistent with her injuries having arisen as a result of this impact. It may be that the Plaintiff was more vulnerable to injury because of her pre-existing state involving her arthritic neck and her anxiety disorders, but that is irrelevant as every defendant must accept his victim as he finds them.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Furthermore, the Defendants submit that, with respect to her psychological injuries, I should draw an adverse inference because the Plaintiff failed to call any of the psychologists or psychiatrists who had treated 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The Court </w:t>
      </w:r>
      <w:r>
        <w:rPr>
          <w:rFonts w:ascii="arial" w:eastAsia="arial" w:hAnsi="arial" w:cs="arial"/>
          <w:i/>
          <w:color w:val="000000"/>
          <w:sz w:val="20"/>
          <w:lang w:val="en-US" w:eastAsia="en-US" w:bidi="ar-SA"/>
        </w:rPr>
        <w:t>may</w:t>
      </w:r>
      <w:r>
        <w:rPr>
          <w:rFonts w:ascii="arial" w:eastAsia="arial" w:hAnsi="arial" w:cs="arial"/>
          <w:color w:val="000000"/>
          <w:sz w:val="20"/>
          <w:lang w:val="en-US" w:eastAsia="en-US" w:bidi="ar-SA"/>
        </w:rPr>
        <w:t xml:space="preserve"> draw an adverse inference from the failure to call a doctor who has been consulted: </w:t>
      </w:r>
      <w:r>
        <w:rPr>
          <w:rFonts w:ascii="arial" w:eastAsia="arial" w:hAnsi="arial" w:cs="arial"/>
          <w:b/>
          <w:i/>
          <w:color w:val="000000"/>
          <w:sz w:val="20"/>
          <w:lang w:val="en-US" w:eastAsia="en-US" w:bidi="ar-SA"/>
        </w:rPr>
        <w:t>Staples v. Monacelli</w:t>
      </w:r>
      <w:r>
        <w:rPr>
          <w:rFonts w:ascii="arial" w:eastAsia="arial" w:hAnsi="arial" w:cs="arial"/>
          <w:color w:val="000000"/>
          <w:sz w:val="20"/>
          <w:lang w:val="en-US" w:eastAsia="en-US" w:bidi="ar-SA"/>
        </w:rPr>
        <w:t xml:space="preserve"> </w:t>
      </w:r>
      <w:hyperlink r:id="rId1163" w:history="1">
        <w:r>
          <w:rPr>
            <w:rFonts w:ascii="arial" w:eastAsia="arial" w:hAnsi="arial" w:cs="arial"/>
            <w:i/>
            <w:color w:val="0077CC"/>
            <w:sz w:val="20"/>
            <w:u w:val="single"/>
            <w:shd w:val="clear" w:color="auto" w:fill="FFFFFF"/>
            <w:lang w:val="en-US" w:eastAsia="en-US" w:bidi="ar-SA"/>
          </w:rPr>
          <w:t>(1997), 33 B.C.L.R. (3d) 126</w:t>
        </w:r>
      </w:hyperlink>
      <w:r>
        <w:rPr>
          <w:rFonts w:ascii="arial" w:eastAsia="arial" w:hAnsi="arial" w:cs="arial"/>
          <w:color w:val="000000"/>
          <w:sz w:val="20"/>
          <w:lang w:val="en-US" w:eastAsia="en-US" w:bidi="ar-SA"/>
        </w:rPr>
        <w:t xml:space="preserve"> (S.C.); </w:t>
      </w:r>
      <w:r>
        <w:rPr>
          <w:rFonts w:ascii="arial" w:eastAsia="arial" w:hAnsi="arial" w:cs="arial"/>
          <w:b/>
          <w:i/>
          <w:color w:val="000000"/>
          <w:sz w:val="20"/>
          <w:lang w:val="en-US" w:eastAsia="en-US" w:bidi="ar-SA"/>
        </w:rPr>
        <w:t>Ritchie v. Thompson</w:t>
      </w:r>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(1994), 155 N.B.R. (2d) 35</w:t>
        </w:r>
      </w:hyperlink>
      <w:r>
        <w:rPr>
          <w:rFonts w:ascii="arial" w:eastAsia="arial" w:hAnsi="arial" w:cs="arial"/>
          <w:color w:val="000000"/>
          <w:sz w:val="20"/>
          <w:lang w:val="en-US" w:eastAsia="en-US" w:bidi="ar-SA"/>
        </w:rPr>
        <w:t xml:space="preserve">, </w:t>
      </w:r>
      <w:hyperlink r:id="rId1164" w:history="1">
        <w:r>
          <w:rPr>
            <w:rFonts w:ascii="arial" w:eastAsia="arial" w:hAnsi="arial" w:cs="arial"/>
            <w:i/>
            <w:color w:val="0077CC"/>
            <w:sz w:val="20"/>
            <w:u w:val="single"/>
            <w:shd w:val="clear" w:color="auto" w:fill="FFFFFF"/>
            <w:lang w:val="en-US" w:eastAsia="en-US" w:bidi="ar-SA"/>
          </w:rPr>
          <w:t>35 C.P.C. (3d) 333</w:t>
        </w:r>
      </w:hyperlink>
      <w:r>
        <w:rPr>
          <w:rFonts w:ascii="arial" w:eastAsia="arial" w:hAnsi="arial" w:cs="arial"/>
          <w:color w:val="000000"/>
          <w:sz w:val="20"/>
          <w:lang w:val="en-US" w:eastAsia="en-US" w:bidi="ar-SA"/>
        </w:rPr>
        <w:t xml:space="preserve"> (C.A.); </w:t>
      </w:r>
      <w:r>
        <w:rPr>
          <w:rFonts w:ascii="arial" w:eastAsia="arial" w:hAnsi="arial" w:cs="arial"/>
          <w:b/>
          <w:i/>
          <w:color w:val="000000"/>
          <w:sz w:val="20"/>
          <w:lang w:val="en-US" w:eastAsia="en-US" w:bidi="ar-SA"/>
        </w:rPr>
        <w:t>McTavish v. MacGillivray et al.</w:t>
      </w:r>
      <w:r>
        <w:rPr>
          <w:rFonts w:ascii="arial" w:eastAsia="arial" w:hAnsi="arial" w:cs="arial"/>
          <w:color w:val="000000"/>
          <w:sz w:val="20"/>
          <w:lang w:val="en-US" w:eastAsia="en-US" w:bidi="ar-SA"/>
        </w:rPr>
        <w:t xml:space="preserve"> </w:t>
      </w:r>
      <w:hyperlink r:id="rId1165" w:history="1">
        <w:r>
          <w:rPr>
            <w:rFonts w:ascii="arial" w:eastAsia="arial" w:hAnsi="arial" w:cs="arial"/>
            <w:i/>
            <w:color w:val="0077CC"/>
            <w:sz w:val="20"/>
            <w:u w:val="single"/>
            <w:shd w:val="clear" w:color="auto" w:fill="FFFFFF"/>
            <w:lang w:val="en-US" w:eastAsia="en-US" w:bidi="ar-SA"/>
          </w:rPr>
          <w:t>(1997), 38 B.C.L.R. (3d) 306</w:t>
        </w:r>
      </w:hyperlink>
      <w:r>
        <w:rPr>
          <w:rFonts w:ascii="arial" w:eastAsia="arial" w:hAnsi="arial" w:cs="arial"/>
          <w:color w:val="000000"/>
          <w:sz w:val="20"/>
          <w:lang w:val="en-US" w:eastAsia="en-US" w:bidi="ar-SA"/>
        </w:rPr>
        <w:t xml:space="preserve">, </w:t>
      </w:r>
      <w:hyperlink r:id="rId1165" w:history="1">
        <w:r>
          <w:rPr>
            <w:rFonts w:ascii="arial" w:eastAsia="arial" w:hAnsi="arial" w:cs="arial"/>
            <w:i/>
            <w:color w:val="0077CC"/>
            <w:sz w:val="20"/>
            <w:u w:val="single"/>
            <w:shd w:val="clear" w:color="auto" w:fill="FFFFFF"/>
            <w:lang w:val="en-US" w:eastAsia="en-US" w:bidi="ar-SA"/>
          </w:rPr>
          <w:t>28 M.V.R. (3d) 235</w:t>
        </w:r>
      </w:hyperlink>
      <w:r>
        <w:rPr>
          <w:rFonts w:ascii="arial" w:eastAsia="arial" w:hAnsi="arial" w:cs="arial"/>
          <w:color w:val="000000"/>
          <w:sz w:val="20"/>
          <w:lang w:val="en-US" w:eastAsia="en-US" w:bidi="ar-SA"/>
        </w:rPr>
        <w:t xml:space="preserve"> (S.C.); and </w:t>
      </w:r>
      <w:r>
        <w:rPr>
          <w:rFonts w:ascii="arial" w:eastAsia="arial" w:hAnsi="arial" w:cs="arial"/>
          <w:b/>
          <w:i/>
          <w:color w:val="000000"/>
          <w:sz w:val="20"/>
          <w:lang w:val="en-US" w:eastAsia="en-US" w:bidi="ar-SA"/>
        </w:rPr>
        <w:t>Barker v. McQuahe</w:t>
      </w:r>
      <w:r>
        <w:rPr>
          <w:rFonts w:ascii="arial" w:eastAsia="arial" w:hAnsi="arial" w:cs="arial"/>
          <w:color w:val="000000"/>
          <w:sz w:val="20"/>
          <w:lang w:val="en-US" w:eastAsia="en-US" w:bidi="ar-SA"/>
        </w:rPr>
        <w:t xml:space="preserve"> (1964), 49 W.W.R. 685 (B.C.C.A.). However, it may choose not to draw such an inference if the plaintiff has proved her case without the doctor and the defendants knew of these witnesses and had not seen fit to call them themselves: </w:t>
      </w:r>
      <w:r>
        <w:rPr>
          <w:rFonts w:ascii="arial" w:eastAsia="arial" w:hAnsi="arial" w:cs="arial"/>
          <w:b/>
          <w:i/>
          <w:color w:val="000000"/>
          <w:sz w:val="20"/>
          <w:lang w:val="en-US" w:eastAsia="en-US" w:bidi="ar-SA"/>
        </w:rPr>
        <w:t>Ritchie</w:t>
      </w:r>
      <w:r>
        <w:rPr>
          <w:rFonts w:ascii="arial" w:eastAsia="arial" w:hAnsi="arial" w:cs="arial"/>
          <w:color w:val="000000"/>
          <w:sz w:val="20"/>
          <w:lang w:val="en-US" w:eastAsia="en-US" w:bidi="ar-SA"/>
        </w:rPr>
        <w:t xml:space="preserve"> at paras. 7-15.</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In my view, this is the situation that exists in this case. The Plaintiff proved her case without calling these witnesses. There was no indication in the evidence of an improper reason for not calling these witnesses: </w:t>
      </w:r>
      <w:r>
        <w:rPr>
          <w:rFonts w:ascii="arial" w:eastAsia="arial" w:hAnsi="arial" w:cs="arial"/>
          <w:b/>
          <w:i/>
          <w:color w:val="000000"/>
          <w:sz w:val="20"/>
          <w:lang w:val="en-US" w:eastAsia="en-US" w:bidi="ar-SA"/>
        </w:rPr>
        <w:t>West v. Cotton</w:t>
      </w:r>
      <w:r>
        <w:rPr>
          <w:rFonts w:ascii="arial" w:eastAsia="arial" w:hAnsi="arial" w:cs="arial"/>
          <w:color w:val="000000"/>
          <w:sz w:val="20"/>
          <w:lang w:val="en-US" w:eastAsia="en-US" w:bidi="ar-SA"/>
        </w:rPr>
        <w:t xml:space="preserve">, </w:t>
      </w:r>
      <w:hyperlink r:id="rId1166" w:history="1">
        <w:r>
          <w:rPr>
            <w:rFonts w:ascii="arial" w:eastAsia="arial" w:hAnsi="arial" w:cs="arial"/>
            <w:i/>
            <w:color w:val="0077CC"/>
            <w:sz w:val="20"/>
            <w:u w:val="single"/>
            <w:shd w:val="clear" w:color="auto" w:fill="FFFFFF"/>
            <w:lang w:val="en-US" w:eastAsia="en-US" w:bidi="ar-SA"/>
          </w:rPr>
          <w:t>[1993] B.C.J. No. 394</w:t>
        </w:r>
      </w:hyperlink>
      <w:r>
        <w:rPr>
          <w:rFonts w:ascii="arial" w:eastAsia="arial" w:hAnsi="arial" w:cs="arial"/>
          <w:color w:val="000000"/>
          <w:sz w:val="20"/>
          <w:lang w:val="en-US" w:eastAsia="en-US" w:bidi="ar-SA"/>
        </w:rPr>
        <w:t xml:space="preserve"> (S.C.).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As far as the prognosis for the Plaintiff's injuries is concerned, it was canvassed by Dr. Leong in her report dated January 31, 2008:</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[it is] important that [the Plaintiff] continue to receive psychiatric care for anxiety and panic disorder. [I] encourage her to participate in group psychotherapy sessions as recommended by Dr. Sienicki [the second psychiatrist] to assist her in overcoming the fear of interacting with other people. She will also continue with physiotherapy whenever she experienced residual pain from past injuries. I am not able at this time to provide a time estimate for [the Plaintiff's] normal recovery. I can only do so after an improvement of her mental condition.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I accept this opinion. It is consistent with and supported by the evidence.</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xml:space="preserve">  With respect to damages, as was set out by the Supreme Court of Canada in </w:t>
      </w:r>
      <w:r>
        <w:rPr>
          <w:rFonts w:ascii="arial" w:eastAsia="arial" w:hAnsi="arial" w:cs="arial"/>
          <w:b/>
          <w:i/>
          <w:color w:val="000000"/>
          <w:sz w:val="20"/>
          <w:lang w:val="en-US" w:eastAsia="en-US" w:bidi="ar-SA"/>
        </w:rPr>
        <w:t>Athey v. Leonati</w:t>
      </w:r>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[1996] 3 S.CR. 458</w:t>
        </w:r>
      </w:hyperlink>
      <w:r>
        <w:rPr>
          <w:rFonts w:ascii="arial" w:eastAsia="arial" w:hAnsi="arial" w:cs="arial"/>
          <w:color w:val="000000"/>
          <w:sz w:val="20"/>
          <w:lang w:val="en-US" w:eastAsia="en-US" w:bidi="ar-SA"/>
        </w:rPr>
        <w:t xml:space="preserve">, </w:t>
      </w:r>
      <w:hyperlink r:id="rId224" w:history="1">
        <w:r>
          <w:rPr>
            <w:rFonts w:ascii="arial" w:eastAsia="arial" w:hAnsi="arial" w:cs="arial"/>
            <w:i/>
            <w:color w:val="0077CC"/>
            <w:sz w:val="20"/>
            <w:u w:val="single"/>
            <w:shd w:val="clear" w:color="auto" w:fill="FFFFFF"/>
            <w:lang w:val="en-US" w:eastAsia="en-US" w:bidi="ar-SA"/>
          </w:rPr>
          <w:t>140 D.L.R. (4th) 235</w:t>
        </w:r>
      </w:hyperlink>
      <w:r>
        <w:rPr>
          <w:rFonts w:ascii="arial" w:eastAsia="arial" w:hAnsi="arial" w:cs="arial"/>
          <w:color w:val="000000"/>
          <w:sz w:val="20"/>
          <w:lang w:val="en-US" w:eastAsia="en-US" w:bidi="ar-SA"/>
        </w:rPr>
        <w:t xml:space="preserve">, a defendant is liable for any injuries arising from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as well as for any injuries to which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materially contributed. The general rule underlying damages is that a plaintiff is entitled to be returned to the position he or she would have been in, with all of its attendant risks and shortcomings, had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of the defendant not occurred. A plaintiff is not entitled to be put in a better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Applying these principles to a situation in which the plaintiff's alleged injuries are aggravations and/or accelerations of pre-existing symptomatic or asymptomatic injuries, the defendant is liable for any additional damage to that injury resulting from his or her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 defendant need not compensate the plaintiff for any debilitating effects of a pre-existing condition which that plaintiff would have experienced anyway. Likewise, if there is a measurable risk that the pre-existing condition would have detrimentally affected the plaintiff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then this can be taken into account in reducing the overall award: </w:t>
      </w:r>
      <w:r>
        <w:rPr>
          <w:rFonts w:ascii="arial" w:eastAsia="arial" w:hAnsi="arial" w:cs="arial"/>
          <w:b/>
          <w:i/>
          <w:color w:val="000000"/>
          <w:sz w:val="20"/>
          <w:lang w:val="en-US" w:eastAsia="en-US" w:bidi="ar-SA"/>
        </w:rPr>
        <w:t>Athey</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Furthermore, there is no dispute that psychological injuries are compensable: </w:t>
      </w:r>
      <w:r>
        <w:rPr>
          <w:rFonts w:ascii="arial" w:eastAsia="arial" w:hAnsi="arial" w:cs="arial"/>
          <w:b/>
          <w:i/>
          <w:color w:val="000000"/>
          <w:sz w:val="20"/>
          <w:lang w:val="en-US" w:eastAsia="en-US" w:bidi="ar-SA"/>
        </w:rPr>
        <w:t>Yoshikawa v. Yu</w:t>
      </w:r>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(1996), 21 B.C.L.R. (3d) 318</w:t>
        </w:r>
      </w:hyperlink>
      <w:r>
        <w:rPr>
          <w:rFonts w:ascii="arial" w:eastAsia="arial" w:hAnsi="arial" w:cs="arial"/>
          <w:color w:val="000000"/>
          <w:sz w:val="20"/>
          <w:lang w:val="en-US" w:eastAsia="en-US" w:bidi="ar-SA"/>
        </w:rPr>
        <w:t xml:space="preserve">, </w:t>
      </w:r>
      <w:hyperlink r:id="rId412" w:history="1">
        <w:r>
          <w:rPr>
            <w:rFonts w:ascii="arial" w:eastAsia="arial" w:hAnsi="arial" w:cs="arial"/>
            <w:i/>
            <w:color w:val="0077CC"/>
            <w:sz w:val="20"/>
            <w:u w:val="single"/>
            <w:shd w:val="clear" w:color="auto" w:fill="FFFFFF"/>
            <w:lang w:val="en-US" w:eastAsia="en-US" w:bidi="ar-SA"/>
          </w:rPr>
          <w:t>[1996] 8 W.W.R. 239</w:t>
        </w:r>
      </w:hyperlink>
      <w:r>
        <w:rPr>
          <w:rFonts w:ascii="arial" w:eastAsia="arial" w:hAnsi="arial" w:cs="arial"/>
          <w:color w:val="000000"/>
          <w:sz w:val="20"/>
          <w:lang w:val="en-US" w:eastAsia="en-US" w:bidi="ar-SA"/>
        </w:rPr>
        <w:t xml:space="preserve"> (C.A.).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As was set out in the preceding section, the Plaintiff did suffer a psychological injury in this case - namely, the worsening of the symptoms of her pre-existing anxiety disorder and periodic depression.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The additional damage that she suffered to that pre-existing injury consisted of the development of additional phobias as well as an increase in the severity of her former symptoms.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As far as the Plaintiff's disc herniation injury is concerned, the Defendants contend that this injury would probably have occurred in the future regardless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Although that may be the case, the evidence fell short of proving that the Plaintiff would develop pain symptoms because of that condition. To the contrary, the evidence showed that the Plaintiff may have developed this condition prior to the collision, but that she was asymptomatic. In the present case, it is the combination of the soft tissue injuries and the disc herniation that is causing her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The Defendants also submit that the Plaintiff failed to mitigate her loss and that, as a consequence, her damages should be reduced. In particular, they argue that she had failed to follow all of the recommendations of her doctors regarding the treatment of her psychological disorders. Specifically, although she had followed her doctor's recommendations regarding the medications that she was to take, she failed to follow their recommendation of continued psychological counselling.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There is no dispute that every plaintiff has a duty to mitigate his or her loss. Every plaintiff has a duty to act in such a manner that his or her loss is not greater than it should reasonably be.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However, to succeed with this application, the Defendants must prove not only that the Plaintiff failed to follow the recommended medical treatment, but also that it would probably have been effective had she followed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For reasons which follow, I am satisfied that the Defendants have met this onus and that their application should be granted.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As was established in the evidence, the second psychiatrist recommended that the Plaintiff attend and participate in group psychotherapy sessions. She has not followed this recommendation, though she did attest during the trial that she intended to take this treatment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With respect to whether this treatment would have been effective, the evidence shows that it probably would have been. It is the treatment recommended by both her family doctor and her 2nd psychiatrist. Given that the intensity of her chronic pain increases with the severity of her anxiety disorder symptoms (and in particular, her stress level), it follows that if she was able to develop techniques to reduce or control her stress levels that her chronic pain symptoms would also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As she set out in her testimony, the Plaintiff did not follow these instructions for two reasons. Firstly, she was embarrassed to disclose in a public manner that she was experiencing these psychological problems as she felt that it indicated that she was useless. She explained that this embarrassment might, in part, be cultural, given her Chinese heritage. Secondly, she testified that she was not able to participate because of the $200 cost involved. In other words, she could not afford 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xml:space="preserve">  There are circumstances in which the Court has excused a plaintiff's failure to mitigate. Because a failure to mitigate results in a plaintiff's losses being greater than they would have been had the plaintiff acted reasonably, circumstances that will excuse a plaintiff from complying with this duty have been limited to situations in which a plaintiff, for reasons beyond their control, has been </w:t>
      </w:r>
      <w:r>
        <w:rPr>
          <w:rFonts w:ascii="arial" w:eastAsia="arial" w:hAnsi="arial" w:cs="arial"/>
          <w:i/>
          <w:color w:val="000000"/>
          <w:sz w:val="20"/>
          <w:lang w:val="en-US" w:eastAsia="en-US" w:bidi="ar-SA"/>
        </w:rPr>
        <w:t>unable</w:t>
      </w:r>
      <w:r>
        <w:rPr>
          <w:rFonts w:ascii="arial" w:eastAsia="arial" w:hAnsi="arial" w:cs="arial"/>
          <w:color w:val="000000"/>
          <w:sz w:val="20"/>
          <w:lang w:val="en-US" w:eastAsia="en-US" w:bidi="ar-SA"/>
        </w:rPr>
        <w:t xml:space="preserve"> to comply with that duty.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The circumstances in this case do not fall within that category.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The Plaintiff's embarrassment is not a circumstance beyond her control. It makes it more difficult for her to follow the treatment, but not impossible.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As far as the cost of the treatment is concerned, the evidence was not sufficient to prove that the Plaintiff was precluded from receiving this treatment because of it. The evidence fell short of showing that the Plaintiff had taken any steps to address this problem. For example, she never mentioned this difficulty to any of her treating doctors nor did she raise it with the Defendants.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Given these findings, I am satisfied that the Defendants have proven that the Plaintiff failed to mitigate her loss.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As the recommendation for this treatment was made more than 2 years ago and as it is anticipated that this treatment will help to improve the symptoms of both her psychological and physical injuries, I have concluded that the quantum of the damages that would otherwise have been ordered should be reduced by 30% because of her failure to mitigate.</w:t>
      </w:r>
      <w:r>
        <w:rPr>
          <w:rFonts w:ascii="arial" w:eastAsia="arial" w:hAnsi="arial" w:cs="arial"/>
          <w:sz w:val="20"/>
          <w:lang w:val="en-US" w:eastAsia="en-US" w:bidi="ar-SA"/>
        </w:rPr>
        <w:cr/>
      </w:r>
    </w:p>
    <w:p>
      <w:pPr>
        <w:numPr>
          <w:numId w:val="6"/>
        </w:numPr>
        <w:tabs>
          <w:tab w:val="num" w:pos="1120"/>
          <w:tab w:val="clear" w:pos="184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Special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Plaintiff is seeking to recover $36,921.95 being $28,571.65 for acupuncture treatments here and in China, $79.00 for a vision test, $1,776.00 for medication, $1,693.00 for further acupuncture treatments in China and medicine purchased there; $3,234.30 for mileage of 10,781 km at $.30 a km, and $1,568.00 for drivers employed while she was afraid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There is no dispute that a plaintiff is entitled to recover all reasonable expenses incurred as a result of his or her injuries. The reasonableness of a particular expense is to be measured in the context of the surrounding circumstances at the time that the expense was incurred: K.D. Coopers-Stephenson</w:t>
      </w:r>
      <w:r>
        <w:rPr>
          <w:rFonts w:ascii="arial" w:eastAsia="arial" w:hAnsi="arial" w:cs="arial"/>
          <w:i/>
          <w:color w:val="000000"/>
          <w:sz w:val="20"/>
          <w:lang w:val="en-US" w:eastAsia="en-US" w:bidi="ar-SA"/>
        </w:rPr>
        <w:t>, Personal Injury Damages In Canada,</w:t>
      </w:r>
      <w:r>
        <w:rPr>
          <w:rFonts w:ascii="arial" w:eastAsia="arial" w:hAnsi="arial" w:cs="arial"/>
          <w:color w:val="000000"/>
          <w:sz w:val="20"/>
          <w:lang w:val="en-US" w:eastAsia="en-US" w:bidi="ar-SA"/>
        </w:rPr>
        <w:t xml:space="preserve"> 2nd ed</w:t>
      </w:r>
      <w:r>
        <w:rPr>
          <w:rFonts w:ascii="arial" w:eastAsia="arial" w:hAnsi="arial" w:cs="arial"/>
          <w:i/>
          <w:color w:val="000000"/>
          <w:sz w:val="20"/>
          <w:lang w:val="en-US" w:eastAsia="en-US" w:bidi="ar-SA"/>
        </w:rPr>
        <w:t>. (</w:t>
      </w:r>
      <w:r>
        <w:rPr>
          <w:rFonts w:ascii="arial" w:eastAsia="arial" w:hAnsi="arial" w:cs="arial"/>
          <w:color w:val="000000"/>
          <w:sz w:val="20"/>
          <w:lang w:val="en-US" w:eastAsia="en-US" w:bidi="ar-SA"/>
        </w:rPr>
        <w:t>Scarborough: Carswell, 1996</w:t>
      </w:r>
      <w:r>
        <w:rPr>
          <w:rFonts w:ascii="arial" w:eastAsia="arial" w:hAnsi="arial" w:cs="arial"/>
          <w:i/>
          <w:color w:val="000000"/>
          <w:sz w:val="20"/>
          <w:lang w:val="en-US" w:eastAsia="en-US" w:bidi="ar-SA"/>
        </w:rPr>
        <w:t>)</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contend that most of these expenses are not reasonable and were not incurred as a result of injuries arising from this collision. Therefore, apart from the acupuncture treatments during the first 3 to 4 months and some of the pain and muscle relaxant medication, the Defendants submit that the remaining expenses are not recoverable.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evidence did support some of the Defendants' contentions. Specifically, the Plaintiff failed to prove that the $79.00 cost of a vision test arose as a result of injuries suffered in this collision. The Plaintiff did not suffer an eye injury.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Moreover, the evidence fell short of proving the $1,568.00 expense for drivers and the $1,693.00 expense for further treatments and medicine incurred in China. There were no documents presented to support these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However, the evidence did support the Plaintiff's claim for the initial acupuncture treatments, the mileage costs and much of her medication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As far as the acupuncture treatments were concerned, the Plaintiff underwent these treatments as the result of the injury to her back and neck. She was not undergoing this type of treatment prior to the collision.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In her testimony, the Plaintiff's treating physician acknowledged that these treatments would not cure the Plaintiff's injuries. However, she did opine that, in her view, they were still reasonable because they provided the Plaintiff with some relief for a period of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Given these circumstances, I am satisfied that the acupuncture expenses are recoverable as special damages. As the mileage expense was incurred to transport the Plaintiff to acupuncture treatments and medical appointments, I am satisfied that it also constitutes a recoverable special damage expense.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After the 30% reduction for her failure to mitigate, the Plaintiff is awarded $22,264.17 (the full amount of these expenses being $28,571.65 for acupuncture treatments and $3,234.30 for mileage).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Although the Defendants submit that the overall costs of the acupuncture treatments were too high and that the Plaintiff could have received equivalent treatments at a lower cost, the Defendants did not tender evidence to support this submission. Though the evidence did disclose that the Plaintiff did attend different acupuncture facilities and the cost of these treatments did vary, the evidence also proved that those variations arose as a result of the length of the treatments and the quality of the treatments. The evidence did not prove that any of the treatments were unreasonable in terms of cost.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With respect to the Plaintiff's claim of $1,776.00 for medication, it is composed of medication to address the symptoms of her physical injuries (for example, muscle relaxants) and medication to address the symptoms of her psychological injuries.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As all of her physical injury symptoms arose as a result of the injuries that she suffered in this collision and as the evidence has proved that it was reasonable to take these medications to alleviate her symptoms, these expenses constitute special damage expenses.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As was touched upon previously, the evidence did not prove that the Plaintiff would have required pain medication and/or muscle relaxants for the disc herniation in her cervical spine, had the collision not occurred.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With respect to the medication taken to address her psychological injury symptoms, the Plaintiff had taken some of these medications before the collision occurred. However, with respect to some of these medications, her dosage was increased after the collision. As was the case with the acupuncture and mileage expenses, the medication expense is greater than it would otherwise have been because of the Plaintiff's failure to mitigate. Given that she would have had to take some of the medications (albeit in a lesser dosage) in any event because of her pre-existing injuries and that she failed to mitigate her losses, I have concluded that this expense should be reduced by 50% - namely to $888.00.</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To conclude, the Plaintiff is awarded $23,152.17, being $22,263.96 for her acupuncture and mileage expenses and $888.00 for her medication expense.</w:t>
      </w:r>
      <w:r>
        <w:rPr>
          <w:rFonts w:ascii="arial" w:eastAsia="arial" w:hAnsi="arial" w:cs="arial"/>
          <w:sz w:val="20"/>
          <w:lang w:val="en-US" w:eastAsia="en-US" w:bidi="ar-SA"/>
        </w:rPr>
        <w:cr/>
      </w:r>
    </w:p>
    <w:p>
      <w:pPr>
        <w:numPr>
          <w:numId w:val="7"/>
        </w:numPr>
        <w:tabs>
          <w:tab w:val="num" w:pos="1120"/>
          <w:tab w:val="clear" w:pos="2200"/>
        </w:tabs>
        <w:spacing w:before="120" w:line="260" w:lineRule="atLeast"/>
        <w:ind w:left="112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General Damages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The Plaintiff submits that an award in the range of $75,000 to $100,000 is appropriate in this case whereas the Defendants submit that an award in the range of $20,000 to $25,000 is appropriate.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86</w:t>
      </w:r>
      <w:r>
        <w:rPr>
          <w:rFonts w:ascii="arial" w:eastAsia="arial" w:hAnsi="arial" w:cs="arial"/>
          <w:color w:val="000000"/>
          <w:sz w:val="20"/>
          <w:lang w:val="en-US" w:eastAsia="en-US" w:bidi="ar-SA"/>
        </w:rPr>
        <w:t xml:space="preserve">  The Defendants' submission is based on the proposition that most soft tissue injuries resolve within 2-3 years to a maximum of 5 years and that many of the Plaintiff's symptoms were not caused by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87</w:t>
      </w:r>
      <w:r>
        <w:rPr>
          <w:rFonts w:ascii="arial" w:eastAsia="arial" w:hAnsi="arial" w:cs="arial"/>
          <w:color w:val="000000"/>
          <w:sz w:val="20"/>
          <w:lang w:val="en-US" w:eastAsia="en-US" w:bidi="ar-SA"/>
        </w:rPr>
        <w:t xml:space="preserve">  As was set out earlier in these Reasons, I am satisfied that although the Plaintiff did have a pre-existing psychological injury, that injury was aggravated by this collision. Furthermore, I am satisfied that her physical injuries all arose as a result of the Defendants'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Even if the Plaintiff's disc herniation pre-dated the collision, it was asymptomatic. The evidence fell short of proving that she would probably have developed pain symptoms from this disc herniation in the future.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88</w:t>
      </w:r>
      <w:r>
        <w:rPr>
          <w:rFonts w:ascii="arial" w:eastAsia="arial" w:hAnsi="arial" w:cs="arial"/>
          <w:color w:val="000000"/>
          <w:sz w:val="20"/>
          <w:lang w:val="en-US" w:eastAsia="en-US" w:bidi="ar-SA"/>
        </w:rPr>
        <w:t>  The Plaintiff's quality and enjoyment of life has been adversely affected by her injuries from this collision. She is in varying degrees of chronic pain. Although she suffered from anxiety disorders and periodic depression prior to the collision, she was able to function somewhat normally. She could interact with friends. Her symptoms were also improving to the extent that she was making plans to return to the workforce.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89</w:t>
      </w:r>
      <w:r>
        <w:rPr>
          <w:rFonts w:ascii="arial" w:eastAsia="arial" w:hAnsi="arial" w:cs="arial"/>
          <w:color w:val="000000"/>
          <w:sz w:val="20"/>
          <w:lang w:val="en-US" w:eastAsia="en-US" w:bidi="ar-SA"/>
        </w:rPr>
        <w:t>  Since the collision, her capacity to function has been significantly reduced. Included in the aggravation of her anxiety disorder is a fear of social interaction and of crowds. Though these fears have improved somewhat, they have not completely resolved and she has become isolated. For a period, she experienced a fear of driving.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90</w:t>
      </w:r>
      <w:r>
        <w:rPr>
          <w:rFonts w:ascii="arial" w:eastAsia="arial" w:hAnsi="arial" w:cs="arial"/>
          <w:color w:val="000000"/>
          <w:sz w:val="20"/>
          <w:lang w:val="en-US" w:eastAsia="en-US" w:bidi="ar-SA"/>
        </w:rPr>
        <w:t>  Her personality has also changed in that she has become short-tempered and angry. Because of this, she has lost most, if not all, of her friends. She has also lost her ability to concentrate.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91</w:t>
      </w:r>
      <w:r>
        <w:rPr>
          <w:rFonts w:ascii="arial" w:eastAsia="arial" w:hAnsi="arial" w:cs="arial"/>
          <w:color w:val="000000"/>
          <w:sz w:val="20"/>
          <w:lang w:val="en-US" w:eastAsia="en-US" w:bidi="ar-SA"/>
        </w:rPr>
        <w:t>  She can no longer participate in recreational activities such as walking because she is in too much pain.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92</w:t>
      </w:r>
      <w:r>
        <w:rPr>
          <w:rFonts w:ascii="arial" w:eastAsia="arial" w:hAnsi="arial" w:cs="arial"/>
          <w:color w:val="000000"/>
          <w:sz w:val="20"/>
          <w:lang w:val="en-US" w:eastAsia="en-US" w:bidi="ar-SA"/>
        </w:rPr>
        <w:t xml:space="preserve">  As far as the appropriate quantum of damages is concerned, I am satisfied that the circumstances of this case are similar to the circumstances in </w:t>
      </w:r>
      <w:r>
        <w:rPr>
          <w:rFonts w:ascii="arial" w:eastAsia="arial" w:hAnsi="arial" w:cs="arial"/>
          <w:b/>
          <w:i/>
          <w:color w:val="000000"/>
          <w:sz w:val="20"/>
          <w:lang w:val="en-US" w:eastAsia="en-US" w:bidi="ar-SA"/>
        </w:rPr>
        <w:t>Badyal v. Sidhu</w:t>
      </w:r>
      <w:r>
        <w:rPr>
          <w:rFonts w:ascii="arial" w:eastAsia="arial" w:hAnsi="arial" w:cs="arial"/>
          <w:color w:val="000000"/>
          <w:sz w:val="20"/>
          <w:lang w:val="en-US" w:eastAsia="en-US" w:bidi="ar-SA"/>
        </w:rPr>
        <w:t xml:space="preserve">, </w:t>
      </w:r>
      <w:hyperlink r:id="rId1167" w:history="1">
        <w:r>
          <w:rPr>
            <w:rFonts w:ascii="arial" w:eastAsia="arial" w:hAnsi="arial" w:cs="arial"/>
            <w:i/>
            <w:color w:val="0077CC"/>
            <w:sz w:val="20"/>
            <w:u w:val="single"/>
            <w:shd w:val="clear" w:color="auto" w:fill="FFFFFF"/>
            <w:lang w:val="en-US" w:eastAsia="en-US" w:bidi="ar-SA"/>
          </w:rPr>
          <w:t>2006 BCSC 1877</w:t>
        </w:r>
      </w:hyperlink>
      <w:r>
        <w:rPr>
          <w:rFonts w:ascii="arial" w:eastAsia="arial" w:hAnsi="arial" w:cs="arial"/>
          <w:color w:val="000000"/>
          <w:sz w:val="20"/>
          <w:lang w:val="en-US" w:eastAsia="en-US" w:bidi="ar-SA"/>
        </w:rPr>
        <w:t xml:space="preserve">, </w:t>
      </w:r>
      <w:hyperlink r:id="rId1167" w:history="1">
        <w:r>
          <w:rPr>
            <w:rFonts w:ascii="arial" w:eastAsia="arial" w:hAnsi="arial" w:cs="arial"/>
            <w:i/>
            <w:color w:val="0077CC"/>
            <w:sz w:val="20"/>
            <w:u w:val="single"/>
            <w:shd w:val="clear" w:color="auto" w:fill="FFFFFF"/>
            <w:lang w:val="en-US" w:eastAsia="en-US" w:bidi="ar-SA"/>
          </w:rPr>
          <w:t>[2006] B.C.J. No. 3257</w:t>
        </w:r>
      </w:hyperlink>
      <w:r>
        <w:rPr>
          <w:rFonts w:ascii="arial" w:eastAsia="arial" w:hAnsi="arial" w:cs="arial"/>
          <w:color w:val="000000"/>
          <w:sz w:val="20"/>
          <w:lang w:val="en-US" w:eastAsia="en-US" w:bidi="ar-SA"/>
        </w:rPr>
        <w:t xml:space="preserve">, a case in which the Court awarded the plaintiff $75,000. In </w:t>
      </w:r>
      <w:r>
        <w:rPr>
          <w:rFonts w:ascii="arial" w:eastAsia="arial" w:hAnsi="arial" w:cs="arial"/>
          <w:b/>
          <w:i/>
          <w:color w:val="000000"/>
          <w:sz w:val="20"/>
          <w:lang w:val="en-US" w:eastAsia="en-US" w:bidi="ar-SA"/>
        </w:rPr>
        <w:t>Badyal</w:t>
      </w:r>
      <w:r>
        <w:rPr>
          <w:rFonts w:ascii="arial" w:eastAsia="arial" w:hAnsi="arial" w:cs="arial"/>
          <w:color w:val="000000"/>
          <w:sz w:val="20"/>
          <w:lang w:val="en-US" w:eastAsia="en-US" w:bidi="ar-SA"/>
        </w:rPr>
        <w:t>, the plaintiff suffered a psychological injury attributable to the accident, that is, depression. The depression, in turn, resulted in the plaintiff experiencing chronic pain which would not resolve until her depression resolved. The resolution would not occur for some time. Although damage to vehicle was minor, there was no evidence on which to conclude that the Plaintiff's injuries were out of proportion to the severity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93</w:t>
      </w:r>
      <w:r>
        <w:rPr>
          <w:rFonts w:ascii="arial" w:eastAsia="arial" w:hAnsi="arial" w:cs="arial"/>
          <w:color w:val="000000"/>
          <w:sz w:val="20"/>
          <w:lang w:val="en-US" w:eastAsia="en-US" w:bidi="ar-SA"/>
        </w:rPr>
        <w:t>  In the present case, the evidence does not go so far as to prove that her chronic pain will likely resolve when her anxiety disorder symptoms resolve. Rather, the evidence goes no further than to indicate that her symptoms will probably improve.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94</w:t>
      </w:r>
      <w:r>
        <w:rPr>
          <w:rFonts w:ascii="arial" w:eastAsia="arial" w:hAnsi="arial" w:cs="arial"/>
          <w:color w:val="000000"/>
          <w:sz w:val="20"/>
          <w:lang w:val="en-US" w:eastAsia="en-US" w:bidi="ar-SA"/>
        </w:rPr>
        <w:t xml:space="preserve">  Given the similarity between the present case and the </w:t>
      </w:r>
      <w:r>
        <w:rPr>
          <w:rFonts w:ascii="arial" w:eastAsia="arial" w:hAnsi="arial" w:cs="arial"/>
          <w:b/>
          <w:i/>
          <w:color w:val="000000"/>
          <w:sz w:val="20"/>
          <w:lang w:val="en-US" w:eastAsia="en-US" w:bidi="ar-SA"/>
        </w:rPr>
        <w:t>Badyal</w:t>
      </w:r>
      <w:r>
        <w:rPr>
          <w:rFonts w:ascii="arial" w:eastAsia="arial" w:hAnsi="arial" w:cs="arial"/>
          <w:color w:val="000000"/>
          <w:sz w:val="20"/>
          <w:lang w:val="en-US" w:eastAsia="en-US" w:bidi="ar-SA"/>
        </w:rPr>
        <w:t xml:space="preserve"> case and the reduction for the failure to mitigate, I have concluded that the Plaintiff's general damages should be assessed at $50,000.</w:t>
      </w:r>
      <w:r>
        <w:rPr>
          <w:rFonts w:ascii="arial" w:eastAsia="arial" w:hAnsi="arial" w:cs="arial"/>
          <w:sz w:val="20"/>
          <w:lang w:val="en-US" w:eastAsia="en-US" w:bidi="ar-SA"/>
        </w:rPr>
        <w:cr/>
      </w:r>
    </w:p>
    <w:p>
      <w:pPr>
        <w:numPr>
          <w:numId w:val="9"/>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color w:val="000000"/>
          <w:sz w:val="20"/>
          <w:lang w:val="en-US" w:eastAsia="en-US" w:bidi="ar-SA"/>
        </w:rPr>
        <w:t>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95</w:t>
      </w:r>
      <w:r>
        <w:rPr>
          <w:rFonts w:ascii="arial" w:eastAsia="arial" w:hAnsi="arial" w:cs="arial"/>
          <w:color w:val="000000"/>
          <w:sz w:val="20"/>
          <w:lang w:val="en-US" w:eastAsia="en-US" w:bidi="ar-SA"/>
        </w:rPr>
        <w:t>  The parties are granted leave to speak to costs at any mutually convenient time should they not be able to reach an agreement.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J.A. SINCLAIR PROWSE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0" style="position:absolute;z-index:251858944"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68"/>
          <w:headerReference w:type="default" r:id="rId1169"/>
          <w:footerReference w:type="even" r:id="rId1170"/>
          <w:footerReference w:type="default" r:id="rId1171"/>
          <w:headerReference w:type="first" r:id="rId1172"/>
          <w:footerReference w:type="first" r:id="rId1173"/>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74" w:history="1">
        <w:r>
          <w:rPr>
            <w:rFonts w:ascii="arial" w:eastAsia="arial" w:hAnsi="arial" w:cs="arial"/>
            <w:b/>
            <w:bCs/>
            <w:i/>
            <w:color w:val="0077CC"/>
            <w:kern w:val="32"/>
            <w:sz w:val="28"/>
            <w:szCs w:val="32"/>
            <w:u w:val="single"/>
            <w:shd w:val="clear" w:color="auto" w:fill="FFFFFF"/>
            <w:lang w:val="en-US" w:eastAsia="en-US" w:bidi="ar-SA"/>
          </w:rPr>
          <w:t>Quade v. Schwartz, [2008] B.C.J. No. 1032</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S.A. Griffin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April 24-25,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June 5, 2008.</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Docket: VA M050223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Registry: Vancouver</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[2008] B.C.J. No. 1032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2008 BCSC 716</w:t>
        </w:r>
      </w:hyperlink>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hyperlink r:id="rId1175" w:history="1">
        <w:r>
          <w:rPr>
            <w:rFonts w:ascii="arial" w:eastAsia="arial" w:hAnsi="arial" w:cs="arial"/>
            <w:i/>
            <w:color w:val="0077CC"/>
            <w:sz w:val="20"/>
            <w:u w:val="single"/>
            <w:shd w:val="clear" w:color="auto" w:fill="FFFFFF"/>
            <w:lang w:val="en-US" w:eastAsia="en-US" w:bidi="ar-SA"/>
          </w:rPr>
          <w:t>168 A.C.W.S. (3d) 667</w:t>
        </w:r>
      </w:hyperlink>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Jesko Quade, Plaintiff, and Glen Norman Schwartz,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(65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51" style="position:absolute;z-index:2517063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05" w:name="Keywords_46"/>
      <w:bookmarkEnd w:id="305"/>
      <w:r>
        <w:rPr>
          <w:rFonts w:ascii="arial" w:eastAsia="arial" w:hAnsi="arial" w:cs="arial"/>
          <w:b/>
          <w:color w:val="000000"/>
          <w:sz w:val="20"/>
          <w:lang w:val="en-US" w:eastAsia="en-US" w:bidi="ar-SA"/>
        </w:rPr>
        <w:t xml:space="preserve">Tort law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Apportionment of liability — Proof of — Duty of care — Motor vehicles — Action by the plaintiff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injuries suffered when the bicycle he was riding crashed into defendant's vehicle allowed in part — Plaintiff, while riding on a well-lit street, contravened Motor Vehicle Act by not wearing headlamp or reflective clothing while riding at night — Defendant was negligent in not watching for plaintiff while defendant turned left as plaintiff was an immediate hazard — However, plaintiff took big risk and showed little regard for own safety — Liability apportioned 75 per cent plaintiff, 25 percent defendant.</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Transportation law — Motor vehicles and highway traffic — Rules of the road — Cyclists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by the plaintiff in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for injuries suffered when the bicycle he was riding crashed into defendant's vehicle allowed in part — Plaintiff, while riding on a well-lit street, contravened Motor Vehicle Act by not wearing headlamp or reflective clothing while riding at night — Defendant was negligent in not watching for plaintiff while defendant turned left as plaintiff was an immediate hazard — However, plaintiff took big risk and showed little regard for own safety — Liability apportioned 75 per cent plaintiff, 25 percent defendant.</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06" w:name="Case Summary_44"/>
            <w:bookmarkEnd w:id="306"/>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Action by the plaintiff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for injuries suffered when the bicycle he was riding collided with the defendant's vehicle. The plaintiff was riding at night with no headlamp or reflective gear. The defendant was waiting at a busy intersection to make a left turn. When the traffic cleared, the defendant began turning left and, just before he crossed the intersection to complete his turn, he saw something moving quickly towards him through the passenger window and stopped quickly. The plaintiff smashed into the defendant's car. Both parties presented expert witnesses who testified about the likely speed of each party and the ability of the plaintiff to avoid the defendant's car. The evening was cloudy but dry and the intersection was well-lit.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07" w:name="Holdings of Court_39"/>
            <w:bookmarkEnd w:id="307"/>
            <w:r>
              <w:rPr>
                <w:rFonts w:ascii="arial" w:eastAsia="arial" w:hAnsi="arial" w:cs="arial"/>
                <w:color w:val="000000"/>
                <w:sz w:val="20"/>
                <w:lang w:val="en-US" w:eastAsia="en-US" w:bidi="ar-SA"/>
              </w:rPr>
              <w:t>HELD: The action was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As he gave greater detail, the plaintiff's expert was preferred and it was accepted that the defendant was turning left at a fairly fast speed of 43-46 kilometres per hour. The experts had similar estimates of the plaintiff's speed, which was accepted as 30-40 kilometres per hour. Both experts placed the plaintiff as south of the intersection when the defendant began his turn. Given the respective speeds of the parties, the plaintiff only had one second to avoid the collision when the defendant turned in front of him. The defendant was responsible for looking out for approaching traffic before turning and the plaintiff was an immediate hazard. As the plaintiff was travelling down a well-lit street, the defendant should have seen him. However, the plaintiff was in breach of the Motor Vehicle Act for not having a headlamp or reflectors. The plaintiff took a very big risk by riding in the dark without taking any precautions to ensure other drivers could see him and showed little regard for his own safety. The plaintiff was found to be 75 per cent liable for the accident; the defendant was found 25 per cent liable.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08" w:name="Legislation Cited_30"/>
      <w:bookmarkEnd w:id="308"/>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52" style="position:absolute;z-index:2517575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Motor Vehicle Act, </w:t>
      </w:r>
      <w:hyperlink r:id="rId1176" w:history="1">
        <w:r>
          <w:rPr>
            <w:rFonts w:ascii="arial" w:eastAsia="arial" w:hAnsi="arial" w:cs="arial"/>
            <w:i/>
            <w:color w:val="0077CC"/>
            <w:sz w:val="20"/>
            <w:u w:val="single"/>
            <w:shd w:val="clear" w:color="auto" w:fill="FFFFFF"/>
            <w:lang w:val="en-US" w:eastAsia="en-US" w:bidi="ar-SA"/>
          </w:rPr>
          <w:t>RSBC 1996, CHAPTER 318, s. 174</w:t>
        </w:r>
      </w:hyperlink>
      <w:r>
        <w:rPr>
          <w:rFonts w:ascii="arial" w:eastAsia="arial" w:hAnsi="arial" w:cs="arial"/>
          <w:color w:val="000000"/>
          <w:sz w:val="20"/>
          <w:lang w:val="en-US" w:eastAsia="en-US" w:bidi="ar-SA"/>
        </w:rPr>
        <w:t>, s. 183(1), s. 183(6)</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09" w:name="Counsel_46"/>
      <w:bookmarkEnd w:id="309"/>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53" style="position:absolute;z-index:251808768"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Counsel for Plaintiff: C. McTavish.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Counsel for Defendant: M. Wilhelmson and T. Jones.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10" w:name="Judgment_46"/>
      <w:bookmarkEnd w:id="310"/>
      <w:r>
        <w:pict>
          <v:line id="_x0000_s1254" style="position:absolute;z-index:251859968" from="0,12pt" to="512pt,12pt" strokecolor="#009ddb" strokeweight="1.5pt">
            <v:stroke linestyle="single"/>
          </v:line>
        </w:pict>
      </w:r>
    </w:p>
    <w:p>
      <w:pPr>
        <w:spacing w:before="120" w:line="260" w:lineRule="atLeast"/>
        <w:jc w:val="center"/>
        <w:rPr>
          <w:rFonts w:ascii="arial" w:eastAsia="arial" w:hAnsi="arial" w:cs="arial"/>
          <w:sz w:val="20"/>
          <w:lang w:val="en-US" w:eastAsia="en-US" w:bidi="ar-SA"/>
        </w:rPr>
      </w:pPr>
      <w:r>
        <w:rPr>
          <w:rFonts w:ascii="arial" w:eastAsia="arial" w:hAnsi="arial" w:cs="arial"/>
          <w:b/>
          <w:color w:val="000000"/>
          <w:sz w:val="20"/>
          <w:lang w:val="en-US" w:eastAsia="en-US" w:bidi="ar-SA"/>
        </w:rPr>
        <w:t>Reasons for Judgment</w:t>
      </w:r>
      <w:r>
        <w:rPr>
          <w:rFonts w:ascii="arial" w:eastAsia="arial" w:hAnsi="arial" w:cs="arial"/>
          <w:sz w:val="20"/>
          <w:lang w:val="en-US" w:eastAsia="en-US" w:bidi="ar-SA"/>
        </w:rPr>
        <w:cr/>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4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11" w:name="S.A. GRIFFIN J._0"/>
            <w:bookmarkEnd w:id="311"/>
            <w:r>
              <w:rPr>
                <w:rFonts w:ascii="arial" w:eastAsia="arial" w:hAnsi="arial" w:cs="arial"/>
                <w:b/>
                <w:color w:val="000000"/>
                <w:sz w:val="30"/>
                <w:lang w:val="en-US" w:eastAsia="en-US" w:bidi="ar-SA"/>
              </w:rPr>
              <w:t>S.A. GRIFFIN J.</w:t>
            </w:r>
          </w:p>
        </w:tc>
      </w:tr>
    </w:tbl>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INTRODUCTION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On November 2, 2004, Jesko Quade was riding his bicycle through the intersection of Main Street and East 2nd Avenue in Vancouver when he collided with a BMW car driven by Glen Schwartz. The accident occurred shortly after 6:00 p.m., well after sunset. Mr. Quade's bicycle was not equipped with a headlamp or any reflectors and he was wearing all black clothing. Mr. Quade's face hit the passenger window of the car with enough force to smash the glass and he suffered personal injuries. He is suing Mr. Schwartz, claiming that Mr. Schwartz was negligent in turning left in front of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Both parties agreed to have a summary trial of the issue of liability by Rule 18A. I have concluded that I am able to find the necessary facts on the evidence to determine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On the evening of the accident, Mr. Schwartz was driving south on Main Street. He intended to turn left at the intersection with East 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intersection of East 2nd Avenue and Main Street is a large and busy intersection in an urban industrial area of Vancouver. Main Street is a major arterial route for north/south traffic into and out of the downtown core of the city. Main Street has seven lanes divided by a cement median. There are three through lanes in each direction and dedicated left-turn lanes opposite each other for left-turning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There is a fairly steep downhill grade for northbound traffic on Main Street approaching the intersection, which flattens out at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East 2nd Avenue is also a major arterial route for east/west traffic and has seven lanes with the same configuration of three through lanes in each direction and dedicated left-turn lanes for left-turning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Mr. Schwartz arrived at the Main Street intersection with East 2nd Avenue, he turned on his left-turn signal and stopped in the left turn lane. The traffic light was green for north/south traffic. Mr. Schwartz recalls his vehicle being the first vehicle in the left-turn lane, although an independent witness, Mr. Ryan Harper, saw a number of cars turn left onto 2nd Avenue heading east ahead of Mr. Schwartz making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Mr. Schwartz brought his BMW to a full stop at the edge of the east/west crosswalk on the north side of the intersection and waited for the northbound traffic to clear. As he waited, he drove the car forward just past the crosswalk and came to another full stop.</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Mr. Schwartz says that he checked to ensure that the northbound traffic had cleared before he proceeded with his left turn. The light was still green for the traffic flowing north and south.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After Mr. Schwartz initiated his left turn, but before he reached the crosswalk running north/south on the east side of the intersection, he suddenly became aware of a fast moving object to his right, visible through his passenger side window. He immediately braked and, within a second, Mr. Quade collided with his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collision was initially around the front passenger wheel well and front fender. Mr. Quade then hit the side of the car and the side-view mirror, and his face smashed into and broke the passenger door window. He fell to the ground.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Mr. Schwartz remembers braking and stopping his BMW almost immediately. He then moved his car forward approximately three feet east of its initial resting position.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Mr. Quade has no memory of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xml:space="preserve">  It is agreed on Mr. Quade's behalf that his bicycle was black and dark green in colour and it had no reflectors or headlamp. Mr. Quade had no helmet, although the defendant is not advancing any allegations of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based on the lack of a helmet. Mr. Quade was dressed in black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FACTUAL ISSUES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xml:space="preserve">  There are certain factual issues which need to be analyzed in order to determine whether Mr. Schwartz fell below the standard of care expected of a driver in the circumstances of this case and whether there was any contributory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the part of Mr. Quade. These factual issues include the following:</w:t>
      </w:r>
      <w:r>
        <w:rPr>
          <w:rFonts w:ascii="arial" w:eastAsia="arial" w:hAnsi="arial" w:cs="arial"/>
          <w:sz w:val="20"/>
          <w:lang w:val="en-US" w:eastAsia="en-US" w:bidi="ar-SA"/>
        </w:rPr>
        <w:cr/>
      </w:r>
    </w:p>
    <w:p>
      <w:pPr>
        <w:numPr>
          <w:numId w:val="5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of the car;</w:t>
      </w:r>
    </w:p>
    <w:p>
      <w:pPr>
        <w:numPr>
          <w:numId w:val="5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speed of the bicycle;</w:t>
      </w:r>
    </w:p>
    <w:p>
      <w:pPr>
        <w:numPr>
          <w:numId w:val="5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light conditions;</w:t>
      </w:r>
    </w:p>
    <w:p>
      <w:pPr>
        <w:numPr>
          <w:numId w:val="5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location of the bicycle when the car began its left turn into the northbound lanes; and</w:t>
      </w:r>
    </w:p>
    <w:p>
      <w:pPr>
        <w:numPr>
          <w:numId w:val="521"/>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response time of the bicycle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Both the plaintiff and defendant filed expert evidence of professional engineers who are accident reconstruction experts to assist the court in determining the factual issues. There was considerable common ground between the experts. Where they differed was in the speed of the car at the point of impact, and the location of the bicycle just prior to and during Mr. Schwartz's left-hand turn.</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Speed of Car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The plaintiff filed the expert evidence of Mr. Gerald Sdoutz, P. Eng., an accident reconstruction engineer, by way of a report dated October 19, 2007. He reconstructed the speed of the car at the time of impact by looking at the initial resting position of the BMW. In his analysis, he estimated that the BMW travelled 10 to 12 metres from the accident location to its resting position. Based on the assumption that Mr. Schwartz braked from impact to resting position, an assumption borne out in the evidence, assuming his braking was at maximum, and utilizing the roadway coefficient of friction at 0.7 at the accident scene for the deceleration during this maximum braking, Mr. Sdoutz estimated the BMW was travelling at approximately 43 to 46 km per hour at the time of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Schwartz relied on the expert evidence of Mr. Brian Thicke, P. Eng., also an accident reconstruction expert, who prepared reports dated February 8, 2007 and February 8, 2008.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Thicke attempted no calculation of the speed of the BMW. He simply assumed based on "typical left turn manoeuvres" that the car was "likely travelling at 20 to 30 km/h at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Two independent witnesses described Mr. Schwartz's left-hand turn as a "normal left turn". One of those witnesses, Mr. Harper, an American citizen, estimated the BMW's speed at the time of the accident as approximately "35-45", which was likely a reference to miles per hour based on his description of the speed for the bicycle in miles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 expect that Mr. Harper is not an expert in estimating speed and he may have over-estimated the speed of the BMW. Nevertheless, his view that the BMW made a "normal" left turn has to be considered in light of his view that turning at a speed of 35 to 45 miles per hour would be normal.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However, Mr. Sdoutz calculated that if at impact the car was travelling at between 43 and 46 km per hour, and it travelled to the point of impact from its stopped position prior to the turn, which was just clear of the north crosswalk, a distance of approximately 22 to 24 metres, the acceleration rate would have been approximately 0.32 to 0.35g. He referenced studies that suggest the average acceleration for a car is around 0.28g. An acceleration of 0.32 to 0.35g is not significantly higher than the average reported in the literature and is well within the capabilities of the 2004 BMW 330i being driven by Mr. Schwartz. Certainly driving at that speed through such a large intersection would not be considered abnormal and would be consistent with observations of witnesses that it was a "normal"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Given the more detailed analysis by Mr. Sdoutz, I prefer his expert opinion and conclusion over that of Mr. Thicke, and I find that at the time of the collision the BMW was likely travelling at a speed in the range of 43 to 46 km per hour.</w:t>
      </w:r>
      <w:r>
        <w:rPr>
          <w:rFonts w:ascii="arial" w:eastAsia="arial" w:hAnsi="arial" w:cs="arial"/>
          <w:sz w:val="20"/>
          <w:lang w:val="en-US" w:eastAsia="en-US" w:bidi="ar-SA"/>
        </w:rPr>
        <w:cr/>
      </w:r>
    </w:p>
    <w:p>
      <w:pPr>
        <w:numPr>
          <w:numId w:val="3"/>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Speed of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There is near agreement between the experts as to the rate of speed of Mr. Quade on his bicycle prior to the impact. Mr. Thicke estimated the mountain bike's speed, just prior to impact and prior to braking, as 35 to 40 km per hour. Mr. Sdoutz estimated that Mr. Quade's speed was 29 to 36 km per hour prior to braking and prior to impact. I conclude that Mr. Quade was travelling at a speed in the range of 30 to 40 km per hour.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Both experts agreed that Mr. Quade attempted to brake before impact to avoid the collision, and may have been travelling at a speed of 15 to 20 km per hour at impact.</w:t>
      </w:r>
      <w:r>
        <w:rPr>
          <w:rFonts w:ascii="arial" w:eastAsia="arial" w:hAnsi="arial" w:cs="arial"/>
          <w:sz w:val="20"/>
          <w:lang w:val="en-US" w:eastAsia="en-US" w:bidi="ar-SA"/>
        </w:rPr>
        <w:cr/>
      </w:r>
    </w:p>
    <w:p>
      <w:pPr>
        <w:numPr>
          <w:numId w:val="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Light Conditions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The accident occurred in the evening after sunset. It was a cloudy evening, but dry.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Photographs indicate street lights at approximately the area of the crosswalks. A short distance south of the south-east corner of the intersection along the east side of Main Street is a building that is quite close to the street. Mr. Quade would have passed by this building before entering the intersection. This building is approximately 3 to 4 car lengths before the intersection, judging from the aerial photographs. There are also street lights parallel to this building. The defendant claimed that this building creates a shadowy effect for traffic moving close to the building. This is possible; however, the street lights are in front of the building next to the road.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Mr. Schwartz's evidence was that the illumination in the intersection itself was excellent, but somewhat less than excellent over the crosswalks. He is very familiar with the intersection and drives through it all the time. He has observed that the far eastern portion of the roadway approaching the intersection at East 2nd Avenue (the northbound lane of Main Street closest to the east sidewalk) is shadowy after dark, even after the overhead street lighting comes 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Cst. Jim Ann, a police officer with the Vancouver Police Department, was at the scene of the accident on November 2, 2004. He was driving his marked Vancouver Police vehicle at the time, heading north on Main Street (the same direction as Mr. Quade), but in the left-turn lane intending to proceed westbound on 2nd Avenue. For a short time before the accident, his car would have been opposite Mr. Schwartz's car as they both prepared to turn left in opposite directions.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Cst. Ann recalls that at the time of the accident the street lights had come on, providing artificial illumination up and down Main Street, including the area of the intersection of Main Street and East 2nd Avenue.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I conclude that the area of the intersection, including the crosswalks, was well lit. The streets approaching the intersection were also illuminated by street lighting, but not as brightly as the intersection itself.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lang w:val="en-US" w:eastAsia="en-US" w:bidi="ar-SA"/>
        </w:rPr>
        <w:t>(d) Location of Bicycle When Car Began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engineering experts have extrapolated backwards from the scene of the accident and the calculation of the location of impact, to estimate the approximate location of Mr. Quade on his bicycle when Mr. Schwartz commenced his left turn in the intersection. Those experts' conclusions depend somewhat on their opinions regarding the speed of Mr. Schwartz's car. The faster that one assumes Mr. Schwartz's car was travelling during the turn, the more likely it is that Mr. Quade was very close to or in the intersection and in a well-lit area at the time the turn commenced. This would make him more visible to Mr. Schwartz and would increase the likelihood that Mr. Schwartz should have seen him before turning.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Mr. Sdoutz was of the opinion that Mr. Quade was approximately 34 to 45 metres from the point of impact when Mr. Schwartz began his turn, which works out to 53 to 63 metres south of Mr. Schwartz.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Mr. Thicke concluded that, in his opinion, Mr. Schwartz made the decision to make a left turn about 4 to 6 seconds before impact. On his estimate, Mr. Quade's bicycle was located about 50 to 75 metres to the south of Mr. Schwartz at that time.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Both experts therefore place Mr. Quade south of the intersection when Mr. Schwartz began his left turn. Nevertheless, Mr. Quade was riding his bicycle along the street that was illuminated by street lamps. I accept Mr. Sdoutz's evidence that a moving object is more conspicuous than a still object.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In my view, the analysis does not stop at the point when Mr. Schwartz began his left turn. The intersection is very wide and at the beginning of his left turn he was getting into position but he was not yet blocking northbound traffic. He still had to keep a lookout for approaching traffic. It is important to note that Mr. Thicke goes on to say that Mr. Schwartz could have stopped his left turn at any time from the start of his turn up to about 2.2 seconds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Mr. Thicke prepared a diagram illustrating the location of the BMW and the location of Mr. Quade's bicycle about 2 seconds prior to impact. Based on Mr. Thicke's analysis, the bicycle was at the crosswalk bordering the intersection and about to enter the intersection. This was a well-lit area. According to Mr. Thicke's diagram, the BMW was only part-way into its left turn and the angle of the car was such that it had an unobstructed view of the bicycle. The car was just beginning to block part of the first northbound lane of traffic but had not yet moved fully in front of that lane, nor had it moved in front of the two remaining lanes, including the far curb lane in which Mr. Quade was travelling.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Mr. Sdoutz placed Mr. Quade's bicycle closer to Mr. Schwartz's car and already in the intersection when the BMW began to cross into the northbound lanes in the commencement of its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Mr. Harper, who was in his car heading west on 2nd Avenue, was stopped at the red light at Main Street. His was the first car in line at the intersection in the middle westbound through lane. He saw cars southbound on Main Street turning left onto 2nd Avenue and heading east, followed by Mr. Schwartz in his BMW.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Mr. Harper said that when the BMW was about half-way through its turn onto 2nd Avenue, he suddenly caught sight of a cyclist to his left heading northbound. He saw him pedalling to go faster downhill towards the intersection. He said when he first saw Mr. Quade, Mr. Quade was just about to enter the intersection.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I accept Mr. Sdoutz's evidence that Mr. Quade was at the crosswalk or into the intersection when the BMW was turning left into the northbound lanes. As noted above, Mr. Sdoutz's analysis is based in part on his more detailed analysis of the speed of the BMW. This would put Mr. Quade only 11 to 14 metres from the point of impact when Mr. Schwartz was crossing those northbound lanes. This was a well-lit area and Mr. Schwartz should have seen him.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Even on Mr. Thicke's evidence, 2 seconds from impact Mr. Quade was close enough to the intersection to be within the illuminated area of the street lights. Mr. Schwartz should have had an unobstructed view of him based on the diagram prepared by Mr. Thicke. Any comment on this is noticeably absent from Mr. Thicke's opinion.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I conclude, based on all of the evidence, that Mr. Schwartz should have seen Mr. Quade riding the bicycle before pulling out in front of him.</w:t>
      </w:r>
      <w:r>
        <w:rPr>
          <w:rFonts w:ascii="arial" w:eastAsia="arial" w:hAnsi="arial" w:cs="arial"/>
          <w:sz w:val="20"/>
          <w:lang w:val="en-US" w:eastAsia="en-US" w:bidi="ar-SA"/>
        </w:rPr>
        <w:cr/>
      </w:r>
    </w:p>
    <w:p>
      <w:pPr>
        <w:numPr>
          <w:numId w:val="5"/>
        </w:numPr>
        <w:tabs>
          <w:tab w:val="num" w:pos="760"/>
          <w:tab w:val="clear" w:pos="148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lang w:val="en-US" w:eastAsia="en-US" w:bidi="ar-SA"/>
        </w:rPr>
        <w:t>Response Time of Bicycle Rider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Mr. Sdoutz provided the opinion that Mr. Quade had only 0.8 to 0.9 seconds to avoid a collision once the BMW was in his path entering into the northbound lanes of traffic. His conclusion was based on the analysis of the location of impact and the speeds of the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Mr. Thicke's conclusion was that Mr. Quade probably had an opportunity to brake for about 1 second prior to impact.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conclude that Mr. Quade had only 1 second or less to avoid the accident.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RELEVANT SECTIONS OF THE MOTOR VEHICLE ACT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The following sections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xml:space="preserve"> are relevant to this proceeding:</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Yielding right of way on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6"/>
        <w:gridCol w:w="313"/>
        <w:gridCol w:w="8051"/>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174</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885"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When a vehicle is in an intersection and its driver intends to turn left, the driver must yield the right of way to traffic approaching from the opposite direction that is in the intersection or so close as to constitute an immediate hazard, but having yielded and given a signal as required by sections 171 and 172, the driver may turn the vehicle to the left, and traffic approaching the intersection from the opposite direction must yield the right of way to the vehicle making the left turn.</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Rights and duties of operator of 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 </w:t>
      </w:r>
    </w:p>
    <w:p>
      <w:pPr>
        <w:rPr>
          <w:rFonts w:ascii="arial" w:eastAsia="arial" w:hAnsi="arial" w:cs="arial"/>
          <w:sz w:val="20"/>
          <w:lang w:val="en-US" w:eastAsia="en-US" w:bidi="ar-SA"/>
        </w:rPr>
      </w:pPr>
    </w:p>
    <w:tbl>
      <w:tblPr>
        <w:tblStyle w:val="TableNormal"/>
        <w:tblW w:w="5000" w:type="pct"/>
        <w:jc w:val="center"/>
        <w:tblBorders>
          <w:top w:val="nil"/>
          <w:left w:val="nil"/>
          <w:bottom w:val="nil"/>
          <w:right w:val="nil"/>
          <w:insideH w:val="nil"/>
          <w:insideV w:val="nil"/>
        </w:tblBorders>
        <w:tblLayout w:type="fixed"/>
        <w:tblCellMar>
          <w:left w:w="108" w:type="dxa"/>
          <w:right w:w="108" w:type="dxa"/>
        </w:tblCellMar>
      </w:tblPr>
      <w:tblGrid>
        <w:gridCol w:w="1045"/>
        <w:gridCol w:w="627"/>
        <w:gridCol w:w="314"/>
        <w:gridCol w:w="7424"/>
        <w:gridCol w:w="1046"/>
      </w:tblGrid>
      <w:tr>
        <w:tblPrEx>
          <w:tblW w:w="5000" w:type="pct"/>
          <w:jc w:val="center"/>
          <w:tblBorders>
            <w:top w:val="nil"/>
            <w:left w:val="nil"/>
            <w:bottom w:val="nil"/>
            <w:right w:val="nil"/>
            <w:insideH w:val="nil"/>
            <w:insideV w:val="nil"/>
          </w:tblBorders>
          <w:tblLayout w:type="fixed"/>
          <w:tblCellMar>
            <w:left w:w="108" w:type="dxa"/>
            <w:right w:w="108" w:type="dxa"/>
          </w:tblCellMar>
        </w:tblPrEx>
        <w:trPr>
          <w:jc w:val="center"/>
        </w:trPr>
        <w:tc>
          <w:tcPr>
            <w:tcW w:w="102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183</w:t>
            </w:r>
          </w:p>
        </w:tc>
        <w:tc>
          <w:tcPr>
            <w:tcW w:w="614" w:type="dxa"/>
            <w:tcBorders>
              <w:right w:val="nil"/>
            </w:tcBorders>
            <w:tcMar>
              <w:top w:w="100" w:type="dxa"/>
              <w:bottom w:w="0" w:type="dxa"/>
            </w:tcMar>
            <w:vAlign w:val="top"/>
          </w:tcPr>
          <w:p>
            <w:pPr>
              <w:spacing w:line="220" w:lineRule="atLeast"/>
              <w:jc w:val="righ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(1)</w:t>
            </w:r>
          </w:p>
        </w:tc>
        <w:tc>
          <w:tcPr>
            <w:tcW w:w="307" w:type="dxa"/>
            <w:tcBorders>
              <w:right w:val="nil"/>
            </w:tcBorders>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c>
          <w:tcPr>
            <w:tcW w:w="7270" w:type="dxa"/>
            <w:tcBorders>
              <w:right w:val="nil"/>
            </w:tcBorders>
            <w:tcMar>
              <w:top w:w="100" w:type="dxa"/>
              <w:bottom w:w="0" w:type="dxa"/>
            </w:tcMar>
            <w:vAlign w:val="top"/>
          </w:tcPr>
          <w:p>
            <w:pPr>
              <w:spacing w:line="22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18"/>
                <w:lang w:val="en-US" w:eastAsia="en-US" w:bidi="ar-SA"/>
              </w:rPr>
              <w:t>In addition to the duties imposed by this section, a person operating a cycle on a highway has the same rights and duties as a driver of a vehicle.</w:t>
            </w:r>
          </w:p>
        </w:tc>
        <w:tc>
          <w:tcPr>
            <w:tcW w:w="1024" w:type="dxa"/>
            <w:tcMar>
              <w:top w:w="100" w:type="dxa"/>
              <w:bottom w:w="0" w:type="dxa"/>
            </w:tcMar>
            <w:vAlign w:val="top"/>
          </w:tcPr>
          <w:p>
            <w:pPr>
              <w:rPr>
                <w:rFonts w:ascii="arial" w:eastAsia="arial" w:hAnsi="arial" w:cs="arial"/>
                <w:sz w:val="20"/>
                <w:lang w:val="en-US" w:eastAsia="en-US" w:bidi="ar-SA"/>
              </w:rPr>
            </w:pPr>
            <w:r>
              <w:rPr>
                <w:rFonts w:ascii="arial" w:eastAsia="arial" w:hAnsi="arial" w:cs="arial"/>
                <w:sz w:val="20"/>
                <w:lang w:val="en-US" w:eastAsia="en-US" w:bidi="ar-SA"/>
              </w:rPr>
              <w:br/>
            </w:r>
          </w:p>
        </w:tc>
      </w:tr>
    </w:tbl>
    <w:p>
      <w:pPr>
        <w:rPr>
          <w:rFonts w:ascii="arial" w:eastAsia="arial" w:hAnsi="arial" w:cs="arial"/>
          <w:sz w:val="20"/>
          <w:lang w:val="en-US" w:eastAsia="en-US" w:bidi="ar-SA"/>
        </w:rPr>
      </w:pPr>
    </w:p>
    <w:p>
      <w:pPr>
        <w:spacing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numPr>
          <w:numId w:val="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cycle operated on a highway between 1/2 hour after sunset and 1/2 hour before sunrise must have the following equipment:</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lighted lamp mounted on the front and under normal atmospheric conditions capable of displaying a white light visible at least 150 m in the direction the cycle is pointed;</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red reflector of a make or design approved by the Insurance Corporation of British Columbia for the purposes of this section;</w:t>
      </w:r>
    </w:p>
    <w:p>
      <w:pPr>
        <w:numPr>
          <w:numId w:val="7"/>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 lighted lamp, mounted and visible to the rear, displaying a red light.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 xml:space="preserve">CONTRIBUTORY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MR. QUADE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Mr. Quade was not speeding and was properly riding his bicycle in the correct lane, the curb lane, and in accordance with the traffic signals.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xml:space="preserve">  It is undisputed that Mr. Quade was in breach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by failing to have a headlamp or reflectors on his bicycle.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Mr. Quade admitted that the seat of the bicycle was adjusted so that he was in a somewhat forward riding position on the seat of the bicycle, with his upper body closer to being parallel to the road rather than perpendicular.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Given that he had no headlamp or reflectors on his bicycle, Mr. Quade was also negligent in wearing dark clothing instead of bright and reflective clothing.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Mr. Quade had no opportunity to avoid the collision. Even though the BMW was clearly poised to make a left turn and had its left turn signal activated, there was no reason for Mr. Quade to expect that the BMW would turn in front of him. He would have seen that it had given way to other traffic.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OF MR. SCHWARTZ</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Section 174 of the </w:t>
      </w:r>
      <w:r>
        <w:rPr>
          <w:rFonts w:ascii="arial" w:eastAsia="arial" w:hAnsi="arial" w:cs="arial"/>
          <w:b/>
          <w:i/>
          <w:color w:val="000000"/>
          <w:sz w:val="20"/>
          <w:lang w:val="en-US" w:eastAsia="en-US" w:bidi="ar-SA"/>
        </w:rPr>
        <w:t>Motor Vehicle Act</w:t>
      </w:r>
      <w:r>
        <w:rPr>
          <w:rFonts w:ascii="arial" w:eastAsia="arial" w:hAnsi="arial" w:cs="arial"/>
          <w:color w:val="000000"/>
          <w:sz w:val="20"/>
          <w:lang w:val="en-US" w:eastAsia="en-US" w:bidi="ar-SA"/>
        </w:rPr>
        <w:t xml:space="preserve"> provides that when a driver is in an intersection and intends to turn left, the driver must yield the right of way to traffic approaching from the opposite direction, that is either in the intersection or so close as to constitute an immediate hazard. However, having yielded and given a signal that the driver is turning left, the driver may turn the vehicle to the left and traffic approaching the intersection from the opposite direction must yield the right of way to the vehicle making the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British Columbia Court of Appeal provided this definition of "immediate hazard" in </w:t>
      </w:r>
      <w:r>
        <w:rPr>
          <w:rFonts w:ascii="arial" w:eastAsia="arial" w:hAnsi="arial" w:cs="arial"/>
          <w:b/>
          <w:i/>
          <w:color w:val="000000"/>
          <w:sz w:val="20"/>
          <w:lang w:val="en-US" w:eastAsia="en-US" w:bidi="ar-SA"/>
        </w:rPr>
        <w:t>Raie v. Thorpe</w:t>
      </w:r>
      <w:r>
        <w:rPr>
          <w:rFonts w:ascii="arial" w:eastAsia="arial" w:hAnsi="arial" w:cs="arial"/>
          <w:color w:val="000000"/>
          <w:sz w:val="20"/>
          <w:lang w:val="en-US" w:eastAsia="en-US" w:bidi="ar-SA"/>
        </w:rPr>
        <w:t xml:space="preserve"> (1963), 43 W.W.R. 405 at p. 410:</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For the purposes of this appeal, it is sufficient for me to say that, in my opinion, if an approaching car is so close to the intersection when a driver attempts to make a left turn that a collision threatens unless there be some violent or sudden avoiding action on the part of the driver of the approaching car, the approaching car is an "immediate hazard" within the meaning of s. 164 [for our purposes, s. 174].</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xml:space="preserve">  The respective obligations of parties in similar circumstances were set out by the British Columbia Court of Appeal in </w:t>
      </w:r>
      <w:r>
        <w:rPr>
          <w:rFonts w:ascii="arial" w:eastAsia="arial" w:hAnsi="arial" w:cs="arial"/>
          <w:b/>
          <w:i/>
          <w:color w:val="000000"/>
          <w:sz w:val="20"/>
          <w:lang w:val="en-US" w:eastAsia="en-US" w:bidi="ar-SA"/>
        </w:rPr>
        <w:t>Pacheco (Guardian ad Litem) v. Robinson</w:t>
      </w:r>
      <w:r>
        <w:rPr>
          <w:rFonts w:ascii="arial" w:eastAsia="arial" w:hAnsi="arial" w:cs="arial"/>
          <w:color w:val="000000"/>
          <w:sz w:val="20"/>
          <w:lang w:val="en-US" w:eastAsia="en-US" w:bidi="ar-SA"/>
        </w:rPr>
        <w:t xml:space="preserve"> </w:t>
      </w:r>
      <w:hyperlink r:id="rId1144" w:history="1">
        <w:r>
          <w:rPr>
            <w:rFonts w:ascii="arial" w:eastAsia="arial" w:hAnsi="arial" w:cs="arial"/>
            <w:i/>
            <w:color w:val="0077CC"/>
            <w:sz w:val="20"/>
            <w:u w:val="single"/>
            <w:shd w:val="clear" w:color="auto" w:fill="FFFFFF"/>
            <w:lang w:val="en-US" w:eastAsia="en-US" w:bidi="ar-SA"/>
          </w:rPr>
          <w:t>(1993), 75 B.C.L.R. (2d) 273</w:t>
        </w:r>
      </w:hyperlink>
      <w:r>
        <w:rPr>
          <w:rFonts w:ascii="arial" w:eastAsia="arial" w:hAnsi="arial" w:cs="arial"/>
          <w:color w:val="000000"/>
          <w:sz w:val="20"/>
          <w:lang w:val="en-US" w:eastAsia="en-US" w:bidi="ar-SA"/>
        </w:rPr>
        <w:t xml:space="preserve"> at paras. 15 and 18 as follows:</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a driver who wishes to make a left hand turn at an intersection has an obligation not to proceed unless it can be done safely. Where each party's vision of the other is blocked by traffic, the dominant driver who is proceeding through the intersection is generally entitled to continue and the servient left-turning driver must yield the right of way. The existence of a left-turning vehicle does not raise a presumption that something unexpected might happen and cast a duty on the dominant driver to take extra care.</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In my opinion, when a driver in a servient position disregards his statutory duty to yield the right of way and a collision results, then to fix any blame on the dominant driver, the servient driver must establish that after the dominant driver became aware, or by the exercise of reasonable care should have become aware, of the servient driver's own disregard of the law, the dominant driver had a sufficient opportunity to avoid the accident of which a reasonably careful and skilful driver would have availed himself. In such circumstance any doubt should be resolved in favour of the dominant driver.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I conclude that Mr. Quade presented an immediate hazard as Mr. Schwartz began to turn the vehicle to the left even though Mr. Quade was south of the intersection. Mr. Quade was travelling in the curb lane lit by street lights. Mr. Schwartz could not execute his turn without cutting off Mr. Quade's path, thereby threatening a collision unless Mr. Quade could succeed in a sudden avoiding action.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This was not a two-lane road with one lane in either direction, where the commencement of a left turn means that the car has turned to block the opposite lane. This was a seven-lane intersection with two left-turn lanes opposite each other. At the commencement of the left turn, Mr. Schwartz's car was not blocking oncoming traffic but he had several lanes to cross before he could complete the turn. Before he moved his car across the northbound lanes to block traffic, Mr. Quade should have been clearly visible to Mr. Schwartz. There was nothing obstructing Mr. Schwartz's path of vision and he should have seen Mr. Quade had he looked carefully. Mr. Harper was able to see the approaching bicycle. Mr. Quade had no reason to suspect that Mr. Schwartz would pull out in front of him, and no opportunity to avoid the accident once Mr. Schwartz did so.</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In reaching this conclusion, I accept that the intersection presented a "complex field of vision", as described by the defendant's expert, Mr. Thicke. Mr. Schwartz would have had lights of oncoming cars in his eyes just prior to making his turn. He also would have necessarily been keeping a proper lookout of the crosswalk running north/south across East 2nd Avenue to ensure that he did not collide with any pedestrian who might have been crossing that intersection. Nevertheless, these complexities should have simply increased the caution that Mr. Schwartz ought to have exercised before executing and completing his left turn.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Mr. Schwartz was familiar with the Main Street and East 2nd Avenue intersection, the lighting conditions and the possibility of cyclists travelling through the intersection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xml:space="preserve">  I have concluded that Mr. Quade was on the roadway to be seen by Mr. Schwartz at the commencement of the turn. This distinguishes the facts of this case from the facts of a case relied upon by the defendant, </w:t>
      </w:r>
      <w:r>
        <w:rPr>
          <w:rFonts w:ascii="arial" w:eastAsia="arial" w:hAnsi="arial" w:cs="arial"/>
          <w:b/>
          <w:i/>
          <w:color w:val="000000"/>
          <w:sz w:val="20"/>
          <w:lang w:val="en-US" w:eastAsia="en-US" w:bidi="ar-SA"/>
        </w:rPr>
        <w:t>Chan v. Catroppa</w:t>
      </w:r>
      <w:r>
        <w:rPr>
          <w:rFonts w:ascii="arial" w:eastAsia="arial" w:hAnsi="arial" w:cs="arial"/>
          <w:color w:val="000000"/>
          <w:sz w:val="20"/>
          <w:lang w:val="en-US" w:eastAsia="en-US" w:bidi="ar-SA"/>
        </w:rPr>
        <w:t xml:space="preserve">, </w:t>
      </w:r>
      <w:hyperlink r:id="rId1177" w:history="1">
        <w:r>
          <w:rPr>
            <w:rFonts w:ascii="arial" w:eastAsia="arial" w:hAnsi="arial" w:cs="arial"/>
            <w:i/>
            <w:color w:val="0077CC"/>
            <w:sz w:val="20"/>
            <w:u w:val="single"/>
            <w:shd w:val="clear" w:color="auto" w:fill="FFFFFF"/>
            <w:lang w:val="en-US" w:eastAsia="en-US" w:bidi="ar-SA"/>
          </w:rPr>
          <w:t>[1995] B.C.J. No. 13</w:t>
        </w:r>
      </w:hyperlink>
      <w:r>
        <w:rPr>
          <w:rFonts w:ascii="arial" w:eastAsia="arial" w:hAnsi="arial" w:cs="arial"/>
          <w:color w:val="000000"/>
          <w:sz w:val="20"/>
          <w:lang w:val="en-US" w:eastAsia="en-US" w:bidi="ar-SA"/>
        </w:rPr>
        <w:t xml:space="preserve"> (S.C.), aff'd </w:t>
      </w:r>
      <w:hyperlink r:id="rId1178" w:history="1">
        <w:r>
          <w:rPr>
            <w:rFonts w:ascii="arial" w:eastAsia="arial" w:hAnsi="arial" w:cs="arial"/>
            <w:i/>
            <w:color w:val="0077CC"/>
            <w:sz w:val="20"/>
            <w:u w:val="single"/>
            <w:shd w:val="clear" w:color="auto" w:fill="FFFFFF"/>
            <w:lang w:val="en-US" w:eastAsia="en-US" w:bidi="ar-SA"/>
          </w:rPr>
          <w:t>[1996] B.C.J. No. 2735</w:t>
        </w:r>
      </w:hyperlink>
      <w:r>
        <w:rPr>
          <w:rFonts w:ascii="arial" w:eastAsia="arial" w:hAnsi="arial" w:cs="arial"/>
          <w:color w:val="000000"/>
          <w:sz w:val="20"/>
          <w:lang w:val="en-US" w:eastAsia="en-US" w:bidi="ar-SA"/>
        </w:rPr>
        <w:t xml:space="preserve"> (C.A.) (Q.L.), where the cyclist was travelling on the sidewalk and hidden by parked vehicles.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Mr. Schwartz should have considered Mr. Quade to be an immediate hazard and should not have proceeded with the turn until Mr. Quade was safely through the intersection. As such, Mr. Schwartz was negligent.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APPORTIONMENT OF LIABILITY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The streets of Vancouver are shared by drivers and cyclists. Those who use the streets must anticipate each other and the limitations inherent in each other's response time and visibility.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plaintiff took a very big risk by riding his bicycle in the dark without any form of illumination or reflection. He ought to have appreciated the difficulty that drivers of motor vehicles have in seeing fast-moving dark objects. While he may have counted on the street lights to illuminate him, he was extremely careless and showed little concern for safety.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In deciding to make a left turn across the intersection, Mr. Schwartz should have appreciated the need to be vigilant for the potential of a cyclist approaching in the curb lane.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In conclusion, I apportion fault for the accident 75% to the plaintiff and 25% to the defendant.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S.A. GRIFFIN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sectPr>
          <w:type w:val="continuous"/>
          <w:pgMar w:top="840" w:right="1000" w:bottom="840" w:left="1000" w:header="400" w:footer="400"/>
          <w:pgNumType w:fmt="decimal"/>
          <w:cols w:space="720"/>
        </w:sectPr>
      </w:pPr>
      <w:r>
        <w:rPr>
          <w:rFonts w:ascii="arial" w:eastAsia="arial" w:hAnsi="arial" w:cs="arial"/>
          <w:sz w:val="20"/>
          <w:lang w:val="en-US" w:eastAsia="en-US" w:bidi="ar-SA"/>
        </w:rPr>
        <w:br/>
      </w:r>
      <w:r>
        <w:pict>
          <v:line id="_x0000_s1255" style="position:absolute;z-index:251895808" from="0,10pt" to="512pt,10pt" strokecolor="black" strokeweight="1pt">
            <v:stroke linestyle="single"/>
          </v:line>
        </w:pict>
      </w:r>
      <w:r>
        <w:rPr>
          <w:b/>
          <w:color w:val="767676"/>
          <w:sz w:val="16"/>
          <w:lang w:val="en-US" w:eastAsia="en-US" w:bidi="ar-SA"/>
        </w:rPr>
        <w:t>End of Document</w:t>
      </w:r>
    </w:p>
    <w:p>
      <w:pPr>
        <w:rPr>
          <w:lang w:val="en-US" w:eastAsia="en-US" w:bidi="ar-SA"/>
        </w:rPr>
        <w:sectPr>
          <w:headerReference w:type="even" r:id="rId1179"/>
          <w:headerReference w:type="default" r:id="rId1180"/>
          <w:footerReference w:type="even" r:id="rId1181"/>
          <w:footerReference w:type="default" r:id="rId1182"/>
          <w:headerReference w:type="first" r:id="rId1183"/>
          <w:footerReference w:type="first" r:id="rId1184"/>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hAnsi="Arial" w:cs="Arial"/>
          <w:b/>
          <w:bCs/>
          <w:kern w:val="32"/>
          <w:sz w:val="32"/>
          <w:szCs w:val="32"/>
          <w:lang w:val="en-US" w:eastAsia="en-US" w:bidi="ar-SA"/>
        </w:rPr>
      </w:pPr>
      <w:hyperlink r:id="rId1185" w:history="1">
        <w:r>
          <w:rPr>
            <w:rFonts w:ascii="arial" w:eastAsia="arial" w:hAnsi="arial" w:cs="arial"/>
            <w:b/>
            <w:bCs/>
            <w:i/>
            <w:color w:val="0077CC"/>
            <w:kern w:val="32"/>
            <w:sz w:val="28"/>
            <w:szCs w:val="32"/>
            <w:u w:val="single"/>
            <w:shd w:val="clear" w:color="auto" w:fill="FFFFFF"/>
            <w:lang w:val="en-US" w:eastAsia="en-US" w:bidi="ar-SA"/>
          </w:rPr>
          <w:t>Reimer Express Lines Ltd. v. Burke, [2010] B.C.J. No. 573</w:t>
        </w:r>
      </w:hyperlink>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Judgments</w:t>
      </w:r>
    </w:p>
    <w:p>
      <w:pPr>
        <w:rPr>
          <w:lang w:val="en-US" w:eastAsia="en-US" w:bidi="ar-SA"/>
        </w:rPr>
      </w:pPr>
    </w:p>
    <w:p>
      <w:pPr>
        <w:spacing w:before="120" w:line="260" w:lineRule="atLeast"/>
        <w:jc w:val="center"/>
        <w:rPr>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lang w:val="en-US" w:eastAsia="en-US" w:bidi="ar-SA"/>
        </w:rPr>
      </w:pPr>
      <w:r>
        <w:rPr>
          <w:rFonts w:ascii="arial" w:eastAsia="arial" w:hAnsi="arial" w:cs="arial"/>
          <w:color w:val="000000"/>
          <w:sz w:val="20"/>
          <w:lang w:val="en-US" w:eastAsia="en-US" w:bidi="ar-SA"/>
        </w:rPr>
        <w:t>J.K. Bracken J.</w:t>
      </w:r>
    </w:p>
    <w:p>
      <w:pPr>
        <w:spacing w:before="120" w:line="260" w:lineRule="atLeast"/>
        <w:jc w:val="center"/>
        <w:rPr>
          <w:lang w:val="en-US" w:eastAsia="en-US" w:bidi="ar-SA"/>
        </w:rPr>
      </w:pPr>
      <w:r>
        <w:rPr>
          <w:rFonts w:ascii="arial" w:eastAsia="arial" w:hAnsi="arial" w:cs="arial"/>
          <w:color w:val="000000"/>
          <w:sz w:val="20"/>
          <w:lang w:val="en-US" w:eastAsia="en-US" w:bidi="ar-SA"/>
        </w:rPr>
        <w:t>Heard: December 7-10, 2009.</w:t>
      </w:r>
    </w:p>
    <w:p>
      <w:pPr>
        <w:spacing w:before="120" w:line="260" w:lineRule="atLeast"/>
        <w:jc w:val="center"/>
        <w:rPr>
          <w:lang w:val="en-US" w:eastAsia="en-US" w:bidi="ar-SA"/>
        </w:rPr>
      </w:pPr>
      <w:r>
        <w:rPr>
          <w:rFonts w:ascii="arial" w:eastAsia="arial" w:hAnsi="arial" w:cs="arial"/>
          <w:color w:val="000000"/>
          <w:sz w:val="20"/>
          <w:lang w:val="en-US" w:eastAsia="en-US" w:bidi="ar-SA"/>
        </w:rPr>
        <w:t>Judgment: March 31, 2010.</w:t>
      </w:r>
    </w:p>
    <w:p>
      <w:pPr>
        <w:spacing w:before="120" w:line="260" w:lineRule="atLeast"/>
        <w:jc w:val="center"/>
        <w:rPr>
          <w:lang w:val="en-US" w:eastAsia="en-US" w:bidi="ar-SA"/>
        </w:rPr>
      </w:pPr>
      <w:r>
        <w:rPr>
          <w:rFonts w:ascii="arial" w:eastAsia="arial" w:hAnsi="arial" w:cs="arial"/>
          <w:color w:val="000000"/>
          <w:sz w:val="20"/>
          <w:lang w:val="en-US" w:eastAsia="en-US" w:bidi="ar-SA"/>
        </w:rPr>
        <w:t>Docket: M085215</w:t>
      </w:r>
    </w:p>
    <w:p>
      <w:pPr>
        <w:spacing w:before="120" w:line="260" w:lineRule="atLeast"/>
        <w:jc w:val="center"/>
        <w:rPr>
          <w:lang w:val="en-US" w:eastAsia="en-US" w:bidi="ar-SA"/>
        </w:rPr>
      </w:pPr>
      <w:r>
        <w:rPr>
          <w:rFonts w:ascii="arial" w:eastAsia="arial" w:hAnsi="arial" w:cs="arial"/>
          <w:color w:val="000000"/>
          <w:sz w:val="20"/>
          <w:lang w:val="en-US" w:eastAsia="en-US" w:bidi="ar-SA"/>
        </w:rPr>
        <w:t>Registry: Vancouver</w:t>
      </w:r>
    </w:p>
    <w:p>
      <w:pPr>
        <w:rPr>
          <w:lang w:val="en-US" w:eastAsia="en-US" w:bidi="ar-SA"/>
        </w:rPr>
      </w:pPr>
    </w:p>
    <w:p>
      <w:pPr>
        <w:spacing w:before="120" w:line="260" w:lineRule="atLeast"/>
        <w:rPr>
          <w:lang w:val="en-US" w:eastAsia="en-US" w:bidi="ar-SA"/>
        </w:rPr>
      </w:pPr>
      <w:r>
        <w:rPr>
          <w:rFonts w:ascii="arial" w:eastAsia="arial" w:hAnsi="arial" w:cs="arial"/>
          <w:b/>
          <w:color w:val="000000"/>
          <w:sz w:val="20"/>
          <w:lang w:val="en-US" w:eastAsia="en-US" w:bidi="ar-SA"/>
        </w:rPr>
        <w:t>[2010] B.C.J. No. 573</w:t>
      </w:r>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86" w:history="1">
        <w:r>
          <w:rPr>
            <w:rFonts w:ascii="arial" w:eastAsia="arial" w:hAnsi="arial" w:cs="arial"/>
            <w:i/>
            <w:color w:val="0077CC"/>
            <w:sz w:val="20"/>
            <w:u w:val="single"/>
            <w:shd w:val="clear" w:color="auto" w:fill="FFFFFF"/>
            <w:lang w:val="en-US" w:eastAsia="en-US" w:bidi="ar-SA"/>
          </w:rPr>
          <w:t>2010 BCSC 450</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86" w:history="1">
        <w:r>
          <w:rPr>
            <w:rFonts w:ascii="arial" w:eastAsia="arial" w:hAnsi="arial" w:cs="arial"/>
            <w:i/>
            <w:color w:val="0077CC"/>
            <w:sz w:val="20"/>
            <w:u w:val="single"/>
            <w:shd w:val="clear" w:color="auto" w:fill="FFFFFF"/>
            <w:lang w:val="en-US" w:eastAsia="en-US" w:bidi="ar-SA"/>
          </w:rPr>
          <w:t>187 A.C.W.S. (3d) 887</w:t>
        </w:r>
      </w:hyperlink>
      <w:r>
        <w:rPr>
          <w:lang w:val="en-US" w:eastAsia="en-US" w:bidi="ar-SA"/>
        </w:rPr>
        <w:t xml:space="preserve"> </w:t>
      </w:r>
      <w:r>
        <w:rPr>
          <w:lang w:val="en-US" w:eastAsia="en-US" w:bidi="ar-SA"/>
        </w:rPr>
        <w:t xml:space="preserve"> </w:t>
      </w:r>
      <w:r>
        <w:rPr>
          <w:lang w:val="en-US" w:eastAsia="en-US" w:bidi="ar-SA"/>
        </w:rPr>
        <w:t xml:space="preserve"> </w:t>
      </w:r>
      <w:r>
        <w:rPr>
          <w:rFonts w:ascii="arial" w:eastAsia="arial" w:hAnsi="arial" w:cs="arial"/>
          <w:color w:val="BCBEC0"/>
          <w:sz w:val="20"/>
          <w:lang w:val="en-US" w:eastAsia="en-US" w:bidi="ar-SA"/>
        </w:rPr>
        <w:t>|</w:t>
      </w:r>
      <w:r>
        <w:rPr>
          <w:lang w:val="en-US" w:eastAsia="en-US" w:bidi="ar-SA"/>
        </w:rPr>
        <w:t xml:space="preserve"> </w:t>
      </w:r>
      <w:r>
        <w:rPr>
          <w:lang w:val="en-US" w:eastAsia="en-US" w:bidi="ar-SA"/>
        </w:rPr>
        <w:t xml:space="preserve"> </w:t>
      </w:r>
      <w:r>
        <w:rPr>
          <w:lang w:val="en-US" w:eastAsia="en-US" w:bidi="ar-SA"/>
        </w:rPr>
        <w:t xml:space="preserve"> </w:t>
      </w:r>
      <w:hyperlink r:id="rId1186" w:history="1">
        <w:r>
          <w:rPr>
            <w:rFonts w:ascii="arial" w:eastAsia="arial" w:hAnsi="arial" w:cs="arial"/>
            <w:i/>
            <w:color w:val="0077CC"/>
            <w:sz w:val="20"/>
            <w:u w:val="single"/>
            <w:shd w:val="clear" w:color="auto" w:fill="FFFFFF"/>
            <w:lang w:val="en-US" w:eastAsia="en-US" w:bidi="ar-SA"/>
          </w:rPr>
          <w:t>2010 CarswellBC 803</w:t>
        </w:r>
      </w:hyperlink>
    </w:p>
    <w:p>
      <w:pPr>
        <w:spacing w:before="120" w:line="260" w:lineRule="atLeast"/>
        <w:rPr>
          <w:lang w:val="en-US" w:eastAsia="en-US" w:bidi="ar-SA"/>
        </w:rPr>
      </w:pPr>
      <w:r>
        <w:rPr>
          <w:rFonts w:ascii="arial" w:eastAsia="arial" w:hAnsi="arial" w:cs="arial"/>
          <w:color w:val="000000"/>
          <w:sz w:val="20"/>
          <w:lang w:val="en-US" w:eastAsia="en-US" w:bidi="ar-SA"/>
        </w:rPr>
        <w:t>Between Reimer Express Lines Ltd./Reimer Express Ltee., Plaintiff, and Stephen Allen Burke and William Kent Casey, Defendants</w:t>
      </w:r>
    </w:p>
    <w:p>
      <w:pPr>
        <w:spacing w:before="120" w:line="260" w:lineRule="atLeast"/>
        <w:rPr>
          <w:lang w:val="en-US" w:eastAsia="en-US" w:bidi="ar-SA"/>
        </w:rPr>
      </w:pPr>
      <w:r>
        <w:rPr>
          <w:lang w:val="en-US" w:eastAsia="en-US" w:bidi="ar-SA"/>
        </w:rPr>
        <w:br/>
      </w:r>
      <w:r>
        <w:rPr>
          <w:rFonts w:ascii="arial" w:eastAsia="arial" w:hAnsi="arial" w:cs="arial"/>
          <w:color w:val="000000"/>
          <w:sz w:val="20"/>
          <w:lang w:val="en-US" w:eastAsia="en-US" w:bidi="ar-SA"/>
        </w:rPr>
        <w:t>(47 paras.)</w:t>
      </w:r>
    </w:p>
    <w:p>
      <w:pPr>
        <w:keepNext/>
        <w:spacing w:before="120" w:line="340" w:lineRule="atLeast"/>
        <w:rPr>
          <w:lang w:val="en-US" w:eastAsia="en-US" w:bidi="ar-SA"/>
        </w:rPr>
      </w:pPr>
      <w:r>
        <w:rPr>
          <w:rFonts w:ascii="arial" w:eastAsia="arial" w:hAnsi="arial" w:cs="arial"/>
          <w:b/>
          <w:color w:val="000000"/>
          <w:sz w:val="28"/>
          <w:lang w:val="en-US" w:eastAsia="en-US" w:bidi="ar-SA"/>
        </w:rPr>
        <w:t>Case Summary</w:t>
      </w:r>
    </w:p>
    <w:p>
      <w:pPr>
        <w:spacing w:line="60" w:lineRule="exact"/>
        <w:rPr>
          <w:lang w:val="en-US" w:eastAsia="en-US" w:bidi="ar-SA"/>
        </w:rPr>
      </w:pPr>
      <w:r>
        <w:pict>
          <v:line id="_x0000_s1256" style="position:absolute;z-index:251707392" from="0,2pt" to="512pt,2pt" strokecolor="#009ddb" strokeweight="2pt">
            <v:stroke linestyle="single"/>
          </v:line>
        </w:pict>
      </w:r>
    </w:p>
    <w:p>
      <w:pPr>
        <w:spacing w:line="240" w:lineRule="exact"/>
        <w:rPr>
          <w:lang w:val="en-US" w:eastAsia="en-US" w:bidi="ar-SA"/>
        </w:rPr>
      </w:pPr>
    </w:p>
    <w:p>
      <w:pPr>
        <w:spacing w:before="120" w:line="260" w:lineRule="atLeast"/>
        <w:rPr>
          <w:lang w:val="en-US" w:eastAsia="en-US" w:bidi="ar-SA"/>
        </w:rPr>
      </w:pPr>
      <w:bookmarkStart w:id="312" w:name="Keywords_47"/>
      <w:bookmarkEnd w:id="312"/>
      <w:r>
        <w:rPr>
          <w:rFonts w:ascii="arial" w:eastAsia="arial" w:hAnsi="arial" w:cs="arial"/>
          <w:b/>
          <w:color w:val="000000"/>
          <w:sz w:val="20"/>
          <w:lang w:val="en-US" w:eastAsia="en-US" w:bidi="ar-SA"/>
        </w:rPr>
        <w:t xml:space="preserve">Transportation law — Motor vehicles and highway traffic — Liability — Civil actions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Action for damages for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dismissed — Parties were transport truck drivers that collided on snowy road in attempt to avoid obstruction caused by another driver — Trailers collided when plaintiff attempted to pass defendant who had come to stop or near-stop — Court found no basis to attribute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to defendant — Defendant drove under speed limit and had regained control of rig when collision occurred — Engagement of jake brake was not safe, but did not cause collision.</w:t>
      </w:r>
    </w:p>
    <w:p>
      <w:pPr>
        <w:rPr>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lang w:val="en-US" w:eastAsia="en-US" w:bidi="ar-SA"/>
              </w:rPr>
            </w:pPr>
            <w:bookmarkStart w:id="313" w:name="Case Summary_45"/>
            <w:bookmarkEnd w:id="313"/>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Action by the plaintiff, Reimer Express, against the defendants, Burke and Casey, for damages for losses caused by a motor vehicle accident. The accident involved a collision between two highway transport trucks. Both trucks traveled in the same direction with the defendant's vehicle in the lead. It was morning and the road surface was partly covered by compact snow. The road had been ploughed and sanded. There were furrows of plowed snow on the shoulders of the highway. The centre line and shoulder markings were covered by compact snow. The defendant rounded a corner and saw another tractor-trailer with its brake lights engaged. Traffic had stopped because another vehicle had left the road. The defendant was forced to suddenly apply his brakes. He felt his trailer swing and his rear wheels run through the furrows of snow on the shoulder. He was able to come to a complete stop with his trailer angled slightly to the right. The plaintiff rounded the corner and saw the defendant's truck and trailer sliding sideways down the highway. His vision was obscured by blowing snow. The plaintiff believed that the only safe option was to leave the roadway in order to avoid a collision. As he moved toward the ditch, the plaintiff saw the defendant regain control. He believed he had an opening to pass the defendant in the oncoming lane and continue to a safe stop. As the plaintiff attempted to pass, their trailers collided, causing the vehicle to leave the roadway. The plaintiff sought compensation in the amount of $59,700 for property damage caused to the truck, trailer and cargo. The defendant denied that his trailer swung into the plaintiff's trailer. He claimed that the plaintiff passed too closely and caused the collision. </w:t>
            </w:r>
            <w:r>
              <w:rPr>
                <w:lang w:val="en-US" w:eastAsia="en-US" w:bidi="ar-SA"/>
              </w:rPr>
              <w:cr/>
            </w:r>
          </w:p>
          <w:p>
            <w:pPr>
              <w:spacing w:before="120" w:line="260" w:lineRule="atLeast"/>
              <w:ind w:left="240"/>
              <w:jc w:val="both"/>
              <w:rPr>
                <w:lang w:val="en-US" w:eastAsia="en-US" w:bidi="ar-SA"/>
              </w:rPr>
            </w:pPr>
            <w:bookmarkStart w:id="314" w:name="Holdings of Court_40"/>
            <w:bookmarkEnd w:id="314"/>
            <w:r>
              <w:rPr>
                <w:rFonts w:ascii="arial" w:eastAsia="arial" w:hAnsi="arial" w:cs="arial"/>
                <w:color w:val="000000"/>
                <w:sz w:val="20"/>
                <w:lang w:val="en-US" w:eastAsia="en-US" w:bidi="ar-SA"/>
              </w:rPr>
              <w:t>HELD: Action dismissed.</w:t>
            </w:r>
          </w:p>
          <w:p>
            <w:pPr>
              <w:spacing w:before="120" w:line="260" w:lineRule="atLeast"/>
              <w:ind w:left="240"/>
              <w:jc w:val="both"/>
              <w:rPr>
                <w:lang w:val="en-US" w:eastAsia="en-US" w:bidi="ar-SA"/>
              </w:rPr>
            </w:pPr>
            <w:r>
              <w:rPr>
                <w:rFonts w:ascii="arial" w:eastAsia="arial" w:hAnsi="arial" w:cs="arial"/>
                <w:color w:val="000000"/>
                <w:sz w:val="20"/>
                <w:lang w:val="en-US" w:eastAsia="en-US" w:bidi="ar-SA"/>
              </w:rPr>
              <w:t xml:space="preserve"> There was no basis upon which the defendant could be found negligent. Both drivers were faced with an unexpected obstruction on poor road conditions. The defendant drove under the posted speed limit. The expert evidence established that the trailers were almost parallel when they collided. It could not be determined from the damage whether the defendant's trailer encroached into the oncoming lane. If the defendant's unit was in motion, it was not moving fast and was within control. Otherwise, the defendant would not have regained control to come to a stop. Although the defendant should not have had his jake brake engaged, it was not engaged sufficiently to cause a jack-knife. </w:t>
            </w:r>
            <w:r>
              <w:rPr>
                <w:lang w:val="en-US" w:eastAsia="en-US" w:bidi="ar-SA"/>
              </w:rPr>
              <w:cr/>
            </w:r>
          </w:p>
          <w:p>
            <w:pPr>
              <w:rPr>
                <w:lang w:val="en-US" w:eastAsia="en-US" w:bidi="ar-SA"/>
              </w:rPr>
            </w:pPr>
          </w:p>
        </w:tc>
      </w:tr>
    </w:tbl>
    <w:p>
      <w:pPr>
        <w:jc w:val="both"/>
        <w:rPr>
          <w:lang w:val="en-US" w:eastAsia="en-US" w:bidi="ar-SA"/>
        </w:rPr>
      </w:pPr>
      <w:bookmarkStart w:id="315" w:name="Legislation Cited_31"/>
      <w:bookmarkEnd w:id="315"/>
      <w:r>
        <w:rPr>
          <w:lang w:val="en-US" w:eastAsia="en-US" w:bidi="ar-SA"/>
        </w:rPr>
        <w:br/>
      </w:r>
    </w:p>
    <w:p>
      <w:pPr>
        <w:keepNext/>
        <w:spacing w:before="240" w:line="340" w:lineRule="atLeast"/>
        <w:rPr>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lang w:val="en-US" w:eastAsia="en-US" w:bidi="ar-SA"/>
        </w:rPr>
      </w:pPr>
      <w:r>
        <w:pict>
          <v:line id="_x0000_s1257" style="position:absolute;z-index:2517585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 xml:space="preserve">Motor Vehicle Act, </w:t>
      </w:r>
      <w:hyperlink r:id="rId1187" w:history="1">
        <w:r>
          <w:rPr>
            <w:rFonts w:ascii="arial" w:eastAsia="arial" w:hAnsi="arial" w:cs="arial"/>
            <w:i/>
            <w:color w:val="0077CC"/>
            <w:sz w:val="20"/>
            <w:u w:val="single"/>
            <w:shd w:val="clear" w:color="auto" w:fill="FFFFFF"/>
            <w:lang w:val="en-US" w:eastAsia="en-US" w:bidi="ar-SA"/>
          </w:rPr>
          <w:t>RSBC 1996, CHAPTER 318, s. 144</w:t>
        </w:r>
      </w:hyperlink>
      <w:r>
        <w:rPr>
          <w:rFonts w:ascii="arial" w:eastAsia="arial" w:hAnsi="arial" w:cs="arial"/>
          <w:color w:val="000000"/>
          <w:sz w:val="20"/>
          <w:lang w:val="en-US" w:eastAsia="en-US" w:bidi="ar-SA"/>
        </w:rPr>
        <w:t>(1), s. 144(1)(a), s. 144(1)(c), s. 162</w:t>
      </w:r>
      <w:r>
        <w:rPr>
          <w:lang w:val="en-US" w:eastAsia="en-US" w:bidi="ar-SA"/>
        </w:rPr>
        <w:cr/>
      </w:r>
    </w:p>
    <w:p>
      <w:pPr>
        <w:keepNext/>
        <w:spacing w:before="240" w:line="340" w:lineRule="atLeast"/>
        <w:rPr>
          <w:lang w:val="en-US" w:eastAsia="en-US" w:bidi="ar-SA"/>
        </w:rPr>
      </w:pPr>
      <w:bookmarkStart w:id="316" w:name="Counsel_47"/>
      <w:bookmarkEnd w:id="316"/>
      <w:r>
        <w:rPr>
          <w:rFonts w:ascii="arial" w:eastAsia="arial" w:hAnsi="arial" w:cs="arial"/>
          <w:b/>
          <w:color w:val="000000"/>
          <w:sz w:val="28"/>
          <w:lang w:val="en-US" w:eastAsia="en-US" w:bidi="ar-SA"/>
        </w:rPr>
        <w:t>Counsel</w:t>
      </w:r>
    </w:p>
    <w:p>
      <w:pPr>
        <w:spacing w:line="60" w:lineRule="exact"/>
        <w:rPr>
          <w:lang w:val="en-US" w:eastAsia="en-US" w:bidi="ar-SA"/>
        </w:rPr>
      </w:pPr>
      <w:r>
        <w:pict>
          <v:line id="_x0000_s1258" style="position:absolute;z-index:251809792" from="0,2pt" to="512pt,2pt" strokecolor="#009ddb" strokeweight="2pt">
            <v:stroke linestyle="single"/>
          </v:line>
        </w:pict>
      </w:r>
    </w:p>
    <w:p>
      <w:pPr>
        <w:spacing w:line="240" w:lineRule="exact"/>
        <w:rPr>
          <w:lang w:val="en-US" w:eastAsia="en-US" w:bidi="ar-SA"/>
        </w:rPr>
      </w:pPr>
    </w:p>
    <w:p>
      <w:pPr>
        <w:spacing w:line="260" w:lineRule="atLeast"/>
        <w:jc w:val="both"/>
        <w:rPr>
          <w:lang w:val="en-US" w:eastAsia="en-US" w:bidi="ar-SA"/>
        </w:rPr>
      </w:pPr>
      <w:r>
        <w:rPr>
          <w:rFonts w:ascii="arial" w:eastAsia="arial" w:hAnsi="arial" w:cs="arial"/>
          <w:color w:val="000000"/>
          <w:sz w:val="20"/>
          <w:lang w:val="en-US" w:eastAsia="en-US" w:bidi="ar-SA"/>
        </w:rPr>
        <w:t>Counsel for the Plaintiff: T.G. Lewis.</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Counsel for the Defendants: L. Sandhu and J.S. Dyer.</w:t>
      </w:r>
      <w:r>
        <w:rPr>
          <w:lang w:val="en-US" w:eastAsia="en-US" w:bidi="ar-SA"/>
        </w:rPr>
        <w:cr/>
      </w:r>
    </w:p>
    <w:p>
      <w:pPr>
        <w:spacing w:after="240"/>
        <w:rPr>
          <w:lang w:val="en-US" w:eastAsia="en-US" w:bidi="ar-SA"/>
        </w:rPr>
      </w:pPr>
      <w:bookmarkStart w:id="317" w:name="Judgment_47"/>
      <w:bookmarkEnd w:id="317"/>
      <w:r>
        <w:pict>
          <v:line id="_x0000_s1259" style="position:absolute;z-index:251860992" from="0,12pt" to="512pt,12pt" strokecolor="#009ddb" strokeweight="1.5pt">
            <v:stroke linestyle="single"/>
          </v:line>
        </w:pict>
      </w:r>
    </w:p>
    <w:p>
      <w:pPr>
        <w:spacing w:before="120" w:line="260" w:lineRule="atLeast"/>
        <w:jc w:val="center"/>
        <w:rPr>
          <w:lang w:val="en-US" w:eastAsia="en-US" w:bidi="ar-SA"/>
        </w:rPr>
      </w:pPr>
      <w:r>
        <w:rPr>
          <w:rFonts w:ascii="arial" w:eastAsia="arial" w:hAnsi="arial" w:cs="arial"/>
          <w:b/>
          <w:color w:val="000000"/>
          <w:sz w:val="20"/>
          <w:lang w:val="en-US" w:eastAsia="en-US" w:bidi="ar-SA"/>
        </w:rPr>
        <w:t>Reasons for Judgment</w:t>
      </w:r>
      <w:r>
        <w:rPr>
          <w:lang w:val="en-US" w:eastAsia="en-US" w:bidi="ar-SA"/>
        </w:rPr>
        <w:cr/>
      </w:r>
    </w:p>
    <w:p>
      <w:pPr>
        <w:rPr>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2737"/>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lang w:val="en-US" w:eastAsia="en-US" w:bidi="ar-SA"/>
              </w:rPr>
            </w:pPr>
            <w:bookmarkStart w:id="318" w:name="J.K. BRACKEN J."/>
            <w:bookmarkEnd w:id="318"/>
            <w:r>
              <w:rPr>
                <w:rFonts w:ascii="arial" w:eastAsia="arial" w:hAnsi="arial" w:cs="arial"/>
                <w:b/>
                <w:color w:val="000000"/>
                <w:sz w:val="30"/>
                <w:lang w:val="en-US" w:eastAsia="en-US" w:bidi="ar-SA"/>
              </w:rPr>
              <w:t>J.K. BRACKEN J.</w:t>
            </w:r>
          </w:p>
        </w:tc>
      </w:tr>
    </w:tbl>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The plaintiff claims damages caused by a collision between two highway transport trucks. The trucks were both tractor/semi-trailer combinations. The plaintiff's truck was operated by Mr. Keith Sellers ("Sellers") and the defendant's truck was operated by Mr. Stephen Burke ("Burke"). The damages claimed are for property damage caused to the plaintiff's truck, trailer and cargo as well as some additional expenses for towing and investigation. The total claim is $59,699.40 plus interest and costs.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The accident occurred on the Trans-Canada Highway near Revelstoke, British Columbia at approximately 9:00 a.m. on November 30, 2006. Both trucks were eastbound with Burke in the lead and Sellers following some distance behind. Sellers was aware that there was traffic ahead of him but he could not see it as he was too far behind.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The road surface was partly covered by compact snow and it had been ploughed and sanded. There were furrows of ploughed snow on both shoulders of the highway but the driving lanes were relatively free of loose snow. The centre line and shoulder markings on the highway were covered by compact snow.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As Burke came out of a right hand curve he saw the brake lights of another tractor-trailer combination that was immediately ahead of him. Burke knew that it was not a normal place for traffic to stop. Traffic was apparently stopped because a westbound truck had left the road to its right and was sitting upright in the ditch. The truck ahead of Burke stopped in the eastbound lane and Burke was forced to make a sudden hard application of his brakes. He said that as soon as he saw the illuminated brake lights of the truck ahead he immediately applied his own brakes and simultaneously depressed the clutch pedal of his vehicle.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As Burke applied his brakes he said that he felt his trailer swing to the right and as it did the rear wheels of the trailer began running through the furrows of snow on the shoulder of the road causing a cloud of loose snow to be thrown up behind his trailer. Burke estimated that his trailer was angled about 15 degrees to the right and that his tractor was travelling in a straight line within its own lane. Burke said that he was able to stop safely about twenty feet behind the truck in front of him and said that when he came to a stop his trailer was almost straight behind him but still angled slightly to the right.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As Sellers came around the corner he said that Burke's truck and trailer were proceeding sideways down the highway and angled across the highway so as to completely block both the east and westbound lanes of travel. His vision was partly obscured by blowing snow. Sellers testified that while he might have been able to stop in time when he first saw Burke's truck across the road, he felt that his choices were to go off the road to the right or the left side or collide with the rear of Burke's truck. He chose to go to the left as there were telephone or power poles in the right ditch that he would have hit if he went off the road on that side.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As Sellers started to move to the left to go toward the left ditch, he said that Burke began to regain control of his truck and move back towards the eastbound lane. Sellers said that movement created an opening that he said allowed him to pass Burke's vehicle on the left using the westbound lane and then continue to a safe stop. He said that there was no oncoming traffic and there was room to pass Burke on the left. That is what he attempted to do.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He said that as he came up beside Burke's truck it was moving and was still partly in the westbound lane. The trailer was still not completely under control. As Sellers' tractor passed Burke's tractor the two trailers came in contact and as a result Sellers' truck was pushed to the left and into the ditch on the left side of the road. As he entered the ditch Sellers' truck tipped over and came to rest on its left side. Burke's truck was briefly caught by Sellers' truck as it passed and was pulled slightly forward and to the left before the two trucks disengaged.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Burke was not aware that Sellers was behind him until he saw Sellers' tractor beside his tractor. He says that his truck was fully stopped and completely in the eastbound lane when Sellers passed. He testified that his truck had come to a complete stop entirely in the eastbound lane with his trailer angled slightly towards the right side of the road. He denied that his trailer swung into the Sellers trailer and claims that Sellers came too close to his truck as he passed causing the two trailers to collide.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Both Sellers and Burke are experienced long-haul truck drivers and both trucks were in good operating condition. Neither driver was affected by alcohol, drugs or fatigue. Traffic on the highway that morning was light and driving conditions were moderate winter driving conditions. Both drivers were familiar with that section of the highway and had driven over it numerous times in all conditions. Burke testified that he was travelling at approximately 80 kph when he came out of the curve and that he was 20 kph below the posted speed limit of 100 kph. Sellers said he was travelling at a speed of approximately 70 kph when he first saw Burke's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While the evidence of Sellers and Burke is the same in many respects, a key difference between the two versions is that Burke said his truck was stopped when Sellers started to pass and that no part of it was encroaching into the westbound lane. Sellers said that Burke's vehicle was still moving forward at about 15 kph and that the trailer was moving back toward Sellers' trailer when they came in contact.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Burke's tractor was equipped with an engine retarder brake, commonly known as a jake brake. He testified that the jake brake was turned on and set to the highest level of braking power. He agreed that the jake brake is designed to engage as soon as the driver's foot is removed from the throttle. He said that his jake brake did not engage as he tried to stop because when he applied his brakes he simultaneously depressed the clutch and he said that even a slight depression of the clutch pedal automatically disengages the jake brake. He said that the jake brake could not have contributed to the swing of the trailer to the right side of the highway.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The plaintiff submits that a jake brake should never be turned on when driving on snow-covered or slippery roads. The plaintiff's theory is that as soon as Burke saw the brake lights of the truck ahead of him he removed his foot from the throttle and that immediately applied significant braking action to the drive wheels of his tractor. The plaintiff says that as a result, Burke's tractor had brakes applied to the drive wheels but the trailer had a brief period of time without any application of the trailer brakes and the free-wheeling trailer "jack-knifed" and caused Burke's tractor and trailer to angle across the highway in the manner alleged by Sellers.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Each of the parties called an expert qualified to give opinion evidence on the possible cause of the accident. Mr. David Little, P.Eng. testified on behalf of the plaintiff and Mr. Grant Aune on behalf of the defendant. Both are experienced in the field of collision analysis and accident reconstruction including collisions involving heavy vehicles. They are both familiar with the operation of tractor-trailer units such as the ones involved in this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Both experts agreed that it is not a safe practice to operate a tractor-trailer combination with the jake brake turned on when driving on slippery roads, even with the modern safety measures designed to manage or control the operation of the jake brake. A jake brake only applies braking action to the drive wheels of the tractor which can cause the drive wheels to lock and slide on slippery roads. If the driver does not apply the trailer brakes at the same time, the momentum of the trailer pushing on the tractor can cause the rear of the tractor to rotate and result in a "jack-knife". Both of the experts said that this is referred to as a tractor induced jack-knife.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Mr. Aune testified that it is not unknown for experienced drivers to sometimes operate on slippery roads with the jake brake turned on to assist in descending hills but he still considered it to be an unsafe practice. Burke said that he did not consider it dangerous for an experienced driver to use the jake brake in such conditions because newer electronic engine management systems installed on modern trucks, including the one he was driving, modify the effect of the jake brake.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Mr. Aune testified that based on the material he reviewed he formed the opinion that Burke had stopped about 20 feet back of the truck ahead of him with his trailer slightly swung to the right. He said that the highway slopes slightly to the right from the crown of the road. It was his opinion that the contour of the road combined with slippery road conditions likely caused the trailer to swing to the right. He described that type of action as a trailer-swing and not a jack-knife. His opinion is that when Sellers tried to pass Burke he came too close to Burke's truck and side-swiped Burke's trailer with his own trailer and then veered to the left and into the ditch where his truck tipped over onto its left side. He said that the road conditions, speed and the fact that Sellers was following too closely behind Burke were the primary factors that caused the accident.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Mr. Little agreed that Mr. Aune's opinion was consistent with one plausible explanation for the accident but said that there were other, equally plausible explanations. Among them is the description given by Sellers that Burke's vehicle was partially in the westbound lane and still moving when the contact between the trailers occurred. He said that it was also plausible that Burke had initially "jack-knifed" and was across both the east and west bound lanes and had then brought the vehicle almost completely under control as Sellers passed. Mr. Aune did not think that even a highly skilled driver could have brought a tractor-trailer combination under control after it had jack-knifed to that degree described by Sellers.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Mr. Little noted that the damage to the trailers is to the driver's side of Burke's trailer and the passenger side of Sellers trailer. He also noted damage about one-third of the distance down the side of Burke's trailer that caused him to believe that the two trailers were almost parallel at the time they came in contact.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There was also damage to the front bumper of the Burke tractor. The bumper is about 18" from top to bottom and appears to be about 2" thick. The left side of the bumper was bent forward almost to an angle of about 90 degrees. Burke said that the bumper was caught by the rear of Sellers' trailer and then held briefly, pulling Burke's truck forward and to the left. Mr. Little believed that it was more likely that the bumper was caught by the rear drive wheels on Sellers' tractor as there are visible scuff marks and cuts to the rear set of drive wheels clearly visible in the photographs. In my view, Mr. Little's analysis on that point seems more likely.</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Mr. Little made the following comments in his report dated November 19, 2009 and filed as an exhibit: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The Burke tractor-trailer could have been partly occupying both the eastbound and westbound lanes as the Reimer unit tried to pass on the left. Without any tire marks on the road, there is no way to tell where the vehicles were at impact or if the Burke unit was stopped, only that the vehicles were approximately parallel, relative to each other. Given the restrictions of the width of the Highway, one could also conclude that the Burke vehicle was not at an angle anywhere close to 90 degrees with the highway (since the Reimer vehicle passed it while almost parallel and then went into the ditch at a shallow angle).</w:t>
      </w:r>
    </w:p>
    <w:p>
      <w:pPr>
        <w:spacing w:before="120" w:line="260" w:lineRule="atLeast"/>
        <w:ind w:left="720"/>
        <w:rPr>
          <w:lang w:val="en-US" w:eastAsia="en-US" w:bidi="ar-SA"/>
        </w:rPr>
      </w:pPr>
      <w:r>
        <w:rPr>
          <w:rFonts w:ascii="arial" w:eastAsia="arial" w:hAnsi="arial" w:cs="arial"/>
          <w:color w:val="000000"/>
          <w:sz w:val="20"/>
          <w:lang w:val="en-US" w:eastAsia="en-US" w:bidi="ar-SA"/>
        </w:rPr>
        <w:t>Mr. Sellers stated in his Examination for Discovery that Mr. Burke, after initially jack-knifing and covering both lanes, started to get control of his vehicle and started to move over to the right. This certainly provides another plausible explanation that was consistent with the physical evidence.</w:t>
      </w:r>
    </w:p>
    <w:p>
      <w:pPr>
        <w:spacing w:before="120" w:line="260" w:lineRule="atLeast"/>
        <w:ind w:left="720"/>
        <w:rPr>
          <w:lang w:val="en-US" w:eastAsia="en-US" w:bidi="ar-SA"/>
        </w:rPr>
      </w:pPr>
      <w:r>
        <w:rPr>
          <w:rFonts w:ascii="arial" w:eastAsia="arial" w:hAnsi="arial" w:cs="arial"/>
          <w:color w:val="000000"/>
          <w:sz w:val="20"/>
          <w:lang w:val="en-US" w:eastAsia="en-US" w:bidi="ar-SA"/>
        </w:rPr>
        <w:t>In summary, what can be concluded from the available physical evidence is that the right side of the Reimer tractor-trailer engaged the left side of the Burke tractor-trailer. Upon impact, the units were almost parallel with each other. Either driver's description of the event could be consistent with the physical evidence.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The plaintiff says that Burke was negligent in operating his vehicle with the jake brake turned on so that when he removed his foot from the accelerator pedal and closed the throttle, the jake brake immediately engaged and applied significant braking to the drive wheels of his tractor that caused his tractor and trailer to jack-knife. The plaintiff says that caused Burke's truck to angle sharply across the highway. He then regained control and brought his tractor and trailer within, or almost within the eastbound lane. That opened up a safe path for Sellers in the westbound lane. As Sellers tried to pass the plaintiff submits that Burke was moving forward and was still trying to bring his truck to a stop and in doing so his truck moved partway back into the westbound lane and blocked the only path left open to Sellers to avoid a collision.</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Burke said that his jake brake could not have engaged as there was no delay between when he removed his foot from the accelerator pedal and when he depressed the clutch pedal. He said that the jake brake would not have applied any braking action to his tractor. He says that his tractor and trailer did not jack-knife but that the trailer simply swung to the right at a shallow angle while he was bringing his truck to a stop. He says that Sellers was either driving too fast for the conditions at the time, following too closely behind or a combination of both. He believes that Sellers came too close to his truck or that Sellers' trailer swung to the right as he passed resulting in contact between the trailers.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As Mr. Little said in his opinion, without more information it is difficult to distinguish between the version of events recalled by Sellers and the one recalled by Burke. The evidence is clear that the road was covered in compact snow and that there was some snow falling as well as blowing snow at the time of the accident. There is only one photo of the accident scene and it shows the two ploughed furrows of snow at the shoulders on each side of the highway. There is no doubt that Sellers chose to try and pass Burke on the left and that there was no oncoming traffic that would have impeded Sellers from doing so. He likely would have completed that manoeuvre safely had there been no contact between the two vehicles.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It is also clear from the damage to the trailers that Mr. Little is correct in his opinion that they were almost parallel relative to each other when they came in contact. That fact indicates that Burke's trailer must have been either back in line with his tractor or very close to being in line. It cannot be determined from damage to the vehicles or any other corroborating testimony whether Burke's tractor and trailer were entirely within the eastbound lane or if any part of his unit was encroaching to some extent on the westbound lane. If his vehicle was in the westbound lane, it was not likely very far across the centre line, or Sellers would not likely have attempted to pass.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If Burke's unit was moving at all, it could not have been going very fast or been out of control to any significant degree or he would not have been able to bring it to a stop where he did.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Both drivers impressed me as doing their best to give an accurate and honest description of their respective recollections of a dynamic event. Sellers' initial statement dated December 5, 2006, just a few days after the accident stated in part:</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I was travelling at about 70 kms per hour. I round [sic] a curve to the right. As I came around the curve and there was fresh blowing snow swirling around. Next I saw what looked like a trailer going sideways down the road. I tried my brakes but it had no effect so I headed towards the ditch to avoid hitting him head on. We went towards the left ditch as there was a space to get by the other tractor. I was almost by the tractor with mine when something (I assume his trailer) hit me and knocked me into the ditch.</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While it is impossible to determine exactly what happened, my view of the evidence is that Burke was either stopped or very close to being stopped as Sellers passed. While Burke knew that his trailer had swung right he did not know that another tractor-trailer unit was behind him or trying to pass him until Sellers' tractor was beside him. No doubt he was doing all he could to try and control and stop his truck to avoid colliding with the stopped traffic ahead.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It appears that Burke was stopped about 20 feet behind the truck ahead which suggests that his truck was likely under control and just coming to a stop or stopped as Sellers passed. I conclude on the evidence that Sellers came close enough to the Burke vehicle so that the two trailers came in contact and then the rear drive wheels of Sellers' tractor caught on the bumper of Burke's vehicle pulling it forward slightly until the bumper bent and the units disengaged.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I accept that the jake brake on Burke's vehicle should not have been turned on but even if the jake brake engaged, I do not accept that it engaged sufficiently to cause Burke's tractor and trailer to jack-knife. At most the jake brake could only have been engaged briefly and Burke applied the foot brake at the same time which must have provided at least some braking action to the trailer. While Burke did not believe that the jake brake engaged at all when he testified at the trial, in his evidence taken at his examination for discovery he was not sure. The following questions were read into evidence as part of the plaintiff's case:</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190 Q You say you did all of that in a way which prevented the jake brake from engaging?</w:t>
      </w:r>
    </w:p>
    <w:p>
      <w:pPr>
        <w:spacing w:before="120" w:line="260" w:lineRule="atLeast"/>
        <w:ind w:left="720"/>
        <w:rPr>
          <w:lang w:val="en-US" w:eastAsia="en-US" w:bidi="ar-SA"/>
        </w:rPr>
      </w:pPr>
      <w:r>
        <w:rPr>
          <w:rFonts w:ascii="arial" w:eastAsia="arial" w:hAnsi="arial" w:cs="arial"/>
          <w:color w:val="000000"/>
          <w:sz w:val="20"/>
          <w:lang w:val="en-US" w:eastAsia="en-US" w:bidi="ar-SA"/>
        </w:rPr>
        <w:t>A Yes.</w:t>
      </w:r>
    </w:p>
    <w:p>
      <w:pPr>
        <w:spacing w:before="120" w:line="260" w:lineRule="atLeast"/>
        <w:ind w:left="720"/>
        <w:rPr>
          <w:lang w:val="en-US" w:eastAsia="en-US" w:bidi="ar-SA"/>
        </w:rPr>
      </w:pPr>
      <w:r>
        <w:rPr>
          <w:rFonts w:ascii="arial" w:eastAsia="arial" w:hAnsi="arial" w:cs="arial"/>
          <w:color w:val="000000"/>
          <w:sz w:val="20"/>
          <w:lang w:val="en-US" w:eastAsia="en-US" w:bidi="ar-SA"/>
        </w:rPr>
        <w:t>191 Q How do you know the jake brake did not engage?</w:t>
      </w:r>
    </w:p>
    <w:p>
      <w:pPr>
        <w:spacing w:before="120" w:line="260" w:lineRule="atLeast"/>
        <w:ind w:left="720"/>
        <w:rPr>
          <w:lang w:val="en-US" w:eastAsia="en-US" w:bidi="ar-SA"/>
        </w:rPr>
      </w:pPr>
      <w:r>
        <w:rPr>
          <w:rFonts w:ascii="arial" w:eastAsia="arial" w:hAnsi="arial" w:cs="arial"/>
          <w:color w:val="000000"/>
          <w:sz w:val="20"/>
          <w:lang w:val="en-US" w:eastAsia="en-US" w:bidi="ar-SA"/>
        </w:rPr>
        <w:t>A I wouldn't know. I can't remember that far back. That was two and a half years ago. I don't know.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On the evidence presented it seems more likely that the contour and slippery surface of the road, combined with the hard braking, caused the trailer to swing to the right. In doing so the rear wheels of the trailer ran partly sideways in the loose furrows of ploughed snow and threw up a cloud of light snow that partly obscured Sellers' vision. Faced with the situation in front of him Sellers did all he could to avoid a collision and he almost succeeded.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xml:space="preserve">  The plaintiff relies on </w:t>
      </w:r>
      <w:r>
        <w:rPr>
          <w:rFonts w:ascii="arial" w:eastAsia="arial" w:hAnsi="arial" w:cs="arial"/>
          <w:i/>
          <w:color w:val="000000"/>
          <w:sz w:val="20"/>
          <w:lang w:val="en-US" w:eastAsia="en-US" w:bidi="ar-SA"/>
        </w:rPr>
        <w:t>Canadian Freightways Ltd. v. Clark Reefer Lines Ltd</w:t>
      </w:r>
      <w:r>
        <w:rPr>
          <w:rFonts w:ascii="arial" w:eastAsia="arial" w:hAnsi="arial" w:cs="arial"/>
          <w:color w:val="000000"/>
          <w:sz w:val="20"/>
          <w:lang w:val="en-US" w:eastAsia="en-US" w:bidi="ar-SA"/>
        </w:rPr>
        <w:t xml:space="preserve">., </w:t>
      </w:r>
      <w:hyperlink r:id="rId1188" w:history="1">
        <w:r>
          <w:rPr>
            <w:rFonts w:ascii="arial" w:eastAsia="arial" w:hAnsi="arial" w:cs="arial"/>
            <w:i/>
            <w:color w:val="0077CC"/>
            <w:sz w:val="20"/>
            <w:u w:val="single"/>
            <w:shd w:val="clear" w:color="auto" w:fill="FFFFFF"/>
            <w:lang w:val="en-US" w:eastAsia="en-US" w:bidi="ar-SA"/>
          </w:rPr>
          <w:t>[1999] B.C.J. No. 212</w:t>
        </w:r>
      </w:hyperlink>
      <w:r>
        <w:rPr>
          <w:rFonts w:ascii="arial" w:eastAsia="arial" w:hAnsi="arial" w:cs="arial"/>
          <w:color w:val="000000"/>
          <w:sz w:val="20"/>
          <w:lang w:val="en-US" w:eastAsia="en-US" w:bidi="ar-SA"/>
        </w:rPr>
        <w:t>. In that case three tractor-trailer units were travelling north on No. 97 highway near Clinton, British Columbia. The first of the three was driving too fast for the conditions and in excess of the speed limit and he also had his jake brake turned on in conditions where black ice was expected. He lost control on black ice coming out of a curve and did not turn the jake brake off until after he was sliding on the highway. He collided with a cement barrier and then went off the road, leaving dangerous debris across the highway. The second tractor-trailer managed to get through the debris without hitting any of it but the plaintiff's truck, which was the third in line, collided with some of the debris causing extensive damage to his truck and cargo.</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xml:space="preserve">  The court made an inference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because the defendant's driver lost control and left the road and there was no reasonable explanation given as to how the accident could have occurred without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At para. 19 of the decision Errico, J.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Mr. Toews was driving at an excessive rate of speed in the circumstances. He was aware that the road could become slippery by reason of black ice at any time, and he continued to drive in excess of the posted speed limit when he entered into the curve. Furthermore, he had the jake brake mechanism turned on and he did not turn it off until he found his front end sliding. Mr. Toews testified that he had disengaged the jake brake before entering into the curve, putting his foot on the accelerator. He testified he could do this without accelerating, though he did intend to go around the curve just accelerating. In my view, this is a very fine line and if the jake brake were engaged before it was turned off, that would contribute to the loss of control.</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The plaintiff submits that there is a similar fine line in this case whether Burke's jake brake engaged briefly, but sufficiently enough to cause a tractor induced jack-knife or loss of control of the trailer. It is argued that by losing control through what the plaintiff alleges was a negligent use of the jake brake, Burke first created a hazard to the following driver and then, while still not completely in control of his vehicle, moved to the westbound lane and cut off the only safe path available to the following driver.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xml:space="preserve">  The defendant submits that it was Sellers who was negligent by travelling too fast for the conditions of the road and weather and by following too closely behind Burke. The defendant relies on a series of cases summarized in </w:t>
      </w:r>
      <w:r>
        <w:rPr>
          <w:rFonts w:ascii="arial" w:eastAsia="arial" w:hAnsi="arial" w:cs="arial"/>
          <w:i/>
          <w:color w:val="000000"/>
          <w:sz w:val="20"/>
          <w:lang w:val="en-US" w:eastAsia="en-US" w:bidi="ar-SA"/>
        </w:rPr>
        <w:t>Titan Transport Ltd. v. Quik X Transportation Inc.</w:t>
      </w:r>
      <w:r>
        <w:rPr>
          <w:rFonts w:ascii="arial" w:eastAsia="arial" w:hAnsi="arial" w:cs="arial"/>
          <w:color w:val="000000"/>
          <w:sz w:val="20"/>
          <w:lang w:val="en-US" w:eastAsia="en-US" w:bidi="ar-SA"/>
        </w:rPr>
        <w:t xml:space="preserve">, </w:t>
      </w:r>
      <w:hyperlink r:id="rId1189" w:history="1">
        <w:r>
          <w:rPr>
            <w:rFonts w:ascii="arial" w:eastAsia="arial" w:hAnsi="arial" w:cs="arial"/>
            <w:i/>
            <w:color w:val="0077CC"/>
            <w:sz w:val="20"/>
            <w:u w:val="single"/>
            <w:shd w:val="clear" w:color="auto" w:fill="FFFFFF"/>
            <w:lang w:val="en-US" w:eastAsia="en-US" w:bidi="ar-SA"/>
          </w:rPr>
          <w:t>2007 MBQB 21</w:t>
        </w:r>
      </w:hyperlink>
      <w:r>
        <w:rPr>
          <w:rFonts w:ascii="arial" w:eastAsia="arial" w:hAnsi="arial" w:cs="arial"/>
          <w:color w:val="000000"/>
          <w:sz w:val="20"/>
          <w:lang w:val="en-US" w:eastAsia="en-US" w:bidi="ar-SA"/>
        </w:rPr>
        <w:t xml:space="preserve">. The court in </w:t>
      </w:r>
      <w:r>
        <w:rPr>
          <w:rFonts w:ascii="arial" w:eastAsia="arial" w:hAnsi="arial" w:cs="arial"/>
          <w:i/>
          <w:color w:val="000000"/>
          <w:sz w:val="20"/>
          <w:lang w:val="en-US" w:eastAsia="en-US" w:bidi="ar-SA"/>
        </w:rPr>
        <w:t>Titan</w:t>
      </w:r>
      <w:r>
        <w:rPr>
          <w:rFonts w:ascii="arial" w:eastAsia="arial" w:hAnsi="arial" w:cs="arial"/>
          <w:color w:val="000000"/>
          <w:sz w:val="20"/>
          <w:lang w:val="en-US" w:eastAsia="en-US" w:bidi="ar-SA"/>
        </w:rPr>
        <w:t xml:space="preserve"> first referred to </w:t>
      </w:r>
      <w:r>
        <w:rPr>
          <w:rFonts w:ascii="arial" w:eastAsia="arial" w:hAnsi="arial" w:cs="arial"/>
          <w:i/>
          <w:color w:val="000000"/>
          <w:sz w:val="20"/>
          <w:lang w:val="en-US" w:eastAsia="en-US" w:bidi="ar-SA"/>
        </w:rPr>
        <w:t>Kosinski v. Snaith</w:t>
      </w:r>
      <w:r>
        <w:rPr>
          <w:rFonts w:ascii="arial" w:eastAsia="arial" w:hAnsi="arial" w:cs="arial"/>
          <w:color w:val="000000"/>
          <w:sz w:val="20"/>
          <w:lang w:val="en-US" w:eastAsia="en-US" w:bidi="ar-SA"/>
        </w:rPr>
        <w:t xml:space="preserve">, </w:t>
      </w:r>
      <w:hyperlink r:id="rId1190" w:history="1">
        <w:r>
          <w:rPr>
            <w:rFonts w:ascii="arial" w:eastAsia="arial" w:hAnsi="arial" w:cs="arial"/>
            <w:i/>
            <w:color w:val="0077CC"/>
            <w:sz w:val="20"/>
            <w:u w:val="single"/>
            <w:shd w:val="clear" w:color="auto" w:fill="FFFFFF"/>
            <w:lang w:val="en-US" w:eastAsia="en-US" w:bidi="ar-SA"/>
          </w:rPr>
          <w:t>[1983] 6 W.W.R. 197</w:t>
        </w:r>
      </w:hyperlink>
      <w:r>
        <w:rPr>
          <w:rFonts w:ascii="arial" w:eastAsia="arial" w:hAnsi="arial" w:cs="arial"/>
          <w:color w:val="000000"/>
          <w:sz w:val="20"/>
          <w:lang w:val="en-US" w:eastAsia="en-US" w:bidi="ar-SA"/>
        </w:rPr>
        <w:t xml:space="preserve"> at para. 21 (Sask. C.A.) where the court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There is a clear and well defined standard of care imposed upon the driver of a vehicle which follows another. He must keep a reasonable distance behind the vehicle ahead; he must keep his vehicle under control at all times; he must keep an alert and proper lookout; and he must proceed at a speed which is reasonable relative to the speed of the other vehicle. He must anticipate that, for whatever reason, the vehicle ahead may stop. He need not anticipate the reason. He must proceed with that care which will enable him to avoid colliding with it.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xml:space="preserve">  Similarly, in </w:t>
      </w:r>
      <w:r>
        <w:rPr>
          <w:rFonts w:ascii="arial" w:eastAsia="arial" w:hAnsi="arial" w:cs="arial"/>
          <w:i/>
          <w:color w:val="000000"/>
          <w:sz w:val="20"/>
          <w:lang w:val="en-US" w:eastAsia="en-US" w:bidi="ar-SA"/>
        </w:rPr>
        <w:t>Beaumont v. Ruddy</w:t>
      </w:r>
      <w:r>
        <w:rPr>
          <w:rFonts w:ascii="arial" w:eastAsia="arial" w:hAnsi="arial" w:cs="arial"/>
          <w:color w:val="000000"/>
          <w:sz w:val="20"/>
          <w:lang w:val="en-US" w:eastAsia="en-US" w:bidi="ar-SA"/>
        </w:rPr>
        <w:t xml:space="preserve">, </w:t>
      </w:r>
      <w:hyperlink r:id="rId1191" w:history="1">
        <w:r>
          <w:rPr>
            <w:rFonts w:ascii="arial" w:eastAsia="arial" w:hAnsi="arial" w:cs="arial"/>
            <w:i/>
            <w:color w:val="0077CC"/>
            <w:sz w:val="20"/>
            <w:u w:val="single"/>
            <w:shd w:val="clear" w:color="auto" w:fill="FFFFFF"/>
            <w:lang w:val="en-US" w:eastAsia="en-US" w:bidi="ar-SA"/>
          </w:rPr>
          <w:t>[1932] O.R. 441</w:t>
        </w:r>
      </w:hyperlink>
      <w:r>
        <w:rPr>
          <w:rFonts w:ascii="arial" w:eastAsia="arial" w:hAnsi="arial" w:cs="arial"/>
          <w:color w:val="000000"/>
          <w:sz w:val="20"/>
          <w:lang w:val="en-US" w:eastAsia="en-US" w:bidi="ar-SA"/>
        </w:rPr>
        <w:t xml:space="preserve"> at 442, the court stated:</w:t>
      </w:r>
      <w:r>
        <w:rPr>
          <w:lang w:val="en-US" w:eastAsia="en-US" w:bidi="ar-SA"/>
        </w:rPr>
        <w:cr/>
      </w:r>
    </w:p>
    <w:p>
      <w:pPr>
        <w:spacing w:line="260" w:lineRule="atLeast"/>
        <w:ind w:left="720"/>
        <w:rPr>
          <w:lang w:val="en-US" w:eastAsia="en-US" w:bidi="ar-SA"/>
        </w:rPr>
      </w:pPr>
      <w:r>
        <w:rPr>
          <w:rFonts w:ascii="arial" w:eastAsia="arial" w:hAnsi="arial" w:cs="arial"/>
          <w:color w:val="000000"/>
          <w:sz w:val="20"/>
          <w:lang w:val="en-US" w:eastAsia="en-US" w:bidi="ar-SA"/>
        </w:rPr>
        <w:t xml:space="preserve">Generally speaking, when one car runs into another from behind, the fault is in the driving of the rear car, and the driver of the rear car must satisfy the Court that the collision did not occur as a result of his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Applying this principle to the varying statements of the driver Tourney, as quoted above, I am of opinion that his evidence fails to warrant a reversal of the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the judgment below.</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The defendants rely on sections 144(1) and 162 of the </w:t>
      </w:r>
      <w:r>
        <w:rPr>
          <w:rFonts w:ascii="arial" w:eastAsia="arial" w:hAnsi="arial" w:cs="arial"/>
          <w:i/>
          <w:color w:val="000000"/>
          <w:sz w:val="20"/>
          <w:lang w:val="en-US" w:eastAsia="en-US" w:bidi="ar-SA"/>
        </w:rPr>
        <w:t>Motor Vehicle Act,</w:t>
      </w:r>
      <w:r>
        <w:rPr>
          <w:rFonts w:ascii="arial" w:eastAsia="arial" w:hAnsi="arial" w:cs="arial"/>
          <w:color w:val="000000"/>
          <w:sz w:val="20"/>
          <w:lang w:val="en-US" w:eastAsia="en-US" w:bidi="ar-SA"/>
        </w:rPr>
        <w:t xml:space="preserve"> </w:t>
      </w:r>
      <w:r>
        <w:rPr>
          <w:rFonts w:ascii="arial" w:eastAsia="arial" w:hAnsi="arial" w:cs="arial"/>
          <w:i/>
          <w:color w:val="000000"/>
          <w:sz w:val="20"/>
          <w:lang w:val="en-US" w:eastAsia="en-US" w:bidi="ar-SA"/>
        </w:rPr>
        <w:t>R.S.B.C. 1996, c. 318</w:t>
      </w:r>
      <w:r>
        <w:rPr>
          <w:rFonts w:ascii="arial" w:eastAsia="arial" w:hAnsi="arial" w:cs="arial"/>
          <w:color w:val="000000"/>
          <w:sz w:val="20"/>
          <w:lang w:val="en-US" w:eastAsia="en-US" w:bidi="ar-SA"/>
        </w:rPr>
        <w:t>. By sections 144(1)(a) and (c) a driver of a motor vehicle is prohibited from driving without due care and attention or driving at a speed that is too fast for road, visibility or weather conditions. By section 162 a driver of a motor vehicle is prohibited from following another vehicle more closely than is reasonable or prudent.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The defendants submit that Burke was faced with an emergency situation compounded by poor road conditions but was able to bring his unit to a stop behind the truck that had stopped ahead of him. The defendants argue that Sellers, on the other hand, was not able to stop in time and felt that his only choice was to drive off the road into the ditch or collide with Burke's truck.</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Sellers' evidence is that Burke's truck was almost completely across both driving lanes when he first saw it, and that it then moved back toward the eastbound lane far enough to open up a lane to allow him to pass safely. He then said that as he was passing Burke's truck, Burke's trailer again swung back into the westbound lane and came in contact with his trailer. Sellers' evidence describes significant movement of Burke's truck across the driving lanes over a very short distance. On the evidence presented, I do not accept that Burke could have regained control of his truck so quickly if he had lost control of the truck to the extent described by Sellers.</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Had Sellers collided with the back of Burke's trailer the defendants submit that the principles summarized above would result in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against Sellers even if Burke's truck was still in motion. The defendants argue that the same principles apply to his failed attempt to pass Burke. They argue that the burden is on Sellers as the following driver to provide a reasonable explanation as to why the collision occurred.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The defendants say that had Sellers been following at a reasonable and prudent distance he would have been able to stop his truck behind Burke and would not have been faced with a choice of either colliding with Burke's trailer or going off the road. The fact that Sellers saw an open lane suggests that Burke's truck was within or at least almost within the eastbound lane when the trailers came in contact with each other.</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submit that Sellers has not provided a reasonable explanation as to how the accident happened without any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his part and they say that the plaintiff has therefore failed to discharge its burden to prove on a balance of probabilities that the accident did not occur as a result of Sellers'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defendants say that the action should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On the evidence presented, I find that both Sellers and Burke were driving in poor conditions and were faced with an unexpected obstruction on the highway ahead of them. They had just come out of a curve when the tractor-trailer unit ahead of Burke suddenly stopped and Burke had to stop very quickly to avoid a collision. While his trailer swung to the right and made a difficult situation worse, I cannot find on the evidence that there was any action by Burke upon which I am able to make a finding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Burke was driving at approximately 80 kph, 20 kph under the posted speed limit, which was a reasonable speed for the road and weather conditions. He did not anticipate the sudden stop of the truck ahead of him but he was able to bring his truck to a stop on the road with about twenty feet between his tractor and the truck stopped ahead of him.</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The only suggestion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on Burke's part was driving on a snowy and slippery road with the jake brake turned on which I accept was not a safe practice. However, the evidence does not convince me that the jake brake contributed to the trailer moving to the right or that it caused Burke to lose control of his truck. I accept the evidence of Mr. Aune that the movement of Burke's trailer was the result of what he referred to as trailer swing rather than a tractor induced jack-knife.</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I am not satisfied on the evidence that it has been proven that Burke's trailer swung back towards Sellers' trailer or that movement of Burke's trailer was the cause of the two trailers coming together. I agree with the comments of Mr. Little that the description of the accident given by either driver is a plausible explanation given the evidence available. As I am not able to conclude on the evidence that either driver was negligent it follows that the plaintiff's action must be dismissed.</w:t>
      </w:r>
    </w:p>
    <w:p>
      <w:pPr>
        <w:spacing w:line="260" w:lineRule="atLeast"/>
        <w:jc w:val="both"/>
        <w:rPr>
          <w:lang w:val="en-US" w:eastAsia="en-US" w:bidi="ar-SA"/>
        </w:rPr>
      </w:pPr>
      <w:r>
        <w:rPr>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The defendant is entitled to costs on Scale B.</w:t>
      </w:r>
    </w:p>
    <w:p>
      <w:pPr>
        <w:spacing w:line="260" w:lineRule="atLeast"/>
        <w:jc w:val="both"/>
        <w:rPr>
          <w:lang w:val="en-US" w:eastAsia="en-US" w:bidi="ar-SA"/>
        </w:rPr>
      </w:pPr>
      <w:r>
        <w:rPr>
          <w:lang w:val="en-US" w:eastAsia="en-US" w:bidi="ar-SA"/>
        </w:rPr>
        <w:br/>
      </w:r>
      <w:r>
        <w:rPr>
          <w:rFonts w:ascii="arial" w:eastAsia="arial" w:hAnsi="arial" w:cs="arial"/>
          <w:color w:val="000000"/>
          <w:sz w:val="20"/>
          <w:lang w:val="en-US" w:eastAsia="en-US" w:bidi="ar-SA"/>
        </w:rPr>
        <w:t>J.K. BRACKEN J.</w:t>
      </w:r>
      <w:r>
        <w:rPr>
          <w:lang w:val="en-US" w:eastAsia="en-US" w:bidi="ar-SA"/>
        </w:rPr>
        <w:cr/>
      </w:r>
    </w:p>
    <w:p>
      <w:pPr>
        <w:rPr>
          <w:lang w:val="en-US" w:eastAsia="en-US" w:bidi="ar-SA"/>
        </w:rPr>
      </w:pPr>
    </w:p>
    <w:p>
      <w:pPr>
        <w:ind w:left="200"/>
        <w:rPr>
          <w:lang w:val="en-US" w:eastAsia="en-US" w:bidi="ar-SA"/>
        </w:rPr>
        <w:sectPr>
          <w:type w:val="continuous"/>
          <w:pgMar w:top="840" w:right="1000" w:bottom="840" w:left="1000" w:header="400" w:footer="400"/>
          <w:pgNumType w:fmt="decimal"/>
          <w:cols w:space="720"/>
        </w:sectPr>
      </w:pPr>
      <w:r>
        <w:rPr>
          <w:lang w:val="en-US" w:eastAsia="en-US" w:bidi="ar-SA"/>
        </w:rPr>
        <w:br/>
      </w:r>
      <w:r>
        <w:pict>
          <v:line id="_x0000_s1260" style="position:absolute;z-index:251896832" from="0,10pt" to="512pt,10pt" strokecolor="black" strokeweight="1pt">
            <v:stroke linestyle="single"/>
          </v:line>
        </w:pict>
      </w:r>
      <w:r>
        <w:rPr>
          <w:b/>
          <w:color w:val="767676"/>
          <w:sz w:val="16"/>
          <w:lang w:val="en-US" w:eastAsia="en-US" w:bidi="ar-SA"/>
        </w:rPr>
        <w:t>End of Document</w:t>
      </w:r>
    </w:p>
    <w:p>
      <w:pPr>
        <w:rPr>
          <w:rFonts w:ascii="arial" w:eastAsia="arial" w:hAnsi="arial" w:cs="arial"/>
          <w:sz w:val="20"/>
          <w:lang w:val="en-US" w:eastAsia="en-US" w:bidi="ar-SA"/>
        </w:rPr>
        <w:sectPr>
          <w:headerReference w:type="even" r:id="rId1192"/>
          <w:headerReference w:type="default" r:id="rId1193"/>
          <w:footerReference w:type="even" r:id="rId1194"/>
          <w:footerReference w:type="default" r:id="rId1195"/>
          <w:headerReference w:type="first" r:id="rId1196"/>
          <w:footerReference w:type="first" r:id="rId1197"/>
          <w:type w:val="nextPage"/>
          <w:pgSz w:w="12240" w:h="15840"/>
          <w:pgMar w:top="840" w:right="1000" w:bottom="840" w:left="1000" w:header="400" w:footer="400"/>
          <w:pgNumType w:fmt="decimal"/>
          <w:cols w:space="720"/>
          <w:titlePg/>
        </w:sectPr>
      </w:pPr>
    </w:p>
    <w:p>
      <w:pPr>
        <w:spacing w:after="60" w:line="340" w:lineRule="atLeast"/>
        <w:ind w:left="120"/>
        <w:jc w:val="center"/>
        <w:outlineLvl w:val="0"/>
        <w:rPr>
          <w:rFonts w:ascii="Arial" w:eastAsia="arial" w:hAnsi="Arial" w:cs="Arial"/>
          <w:b/>
          <w:bCs/>
          <w:kern w:val="32"/>
          <w:sz w:val="32"/>
          <w:szCs w:val="32"/>
          <w:lang w:val="en-US" w:eastAsia="en-US" w:bidi="ar-SA"/>
        </w:rPr>
      </w:pPr>
      <w:hyperlink r:id="rId1198" w:history="1">
        <w:r>
          <w:rPr>
            <w:rFonts w:ascii="arial" w:eastAsia="arial" w:hAnsi="arial" w:cs="arial"/>
            <w:b/>
            <w:bCs/>
            <w:i/>
            <w:color w:val="0077CC"/>
            <w:kern w:val="32"/>
            <w:sz w:val="28"/>
            <w:szCs w:val="32"/>
            <w:u w:val="single"/>
            <w:shd w:val="clear" w:color="auto" w:fill="FFFFFF"/>
            <w:lang w:val="en-US" w:eastAsia="en-US" w:bidi="ar-SA"/>
          </w:rPr>
          <w:t>Renger v. Vancouver (City), [2003] B.C.J. No. 437</w:t>
        </w:r>
      </w:hyperlink>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Judgments</w:t>
      </w:r>
    </w:p>
    <w:p>
      <w:pPr>
        <w:rPr>
          <w:rFonts w:ascii="arial" w:eastAsia="arial" w:hAnsi="arial" w:cs="arial"/>
          <w:sz w:val="20"/>
          <w:lang w:val="en-US" w:eastAsia="en-US" w:bidi="ar-SA"/>
        </w:rPr>
      </w:pP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 xml:space="preserve"> Vancouver, British Columbia</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Romilly J.</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Heard: February 13,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Judgment: February 28, 2003.</w:t>
      </w:r>
    </w:p>
    <w:p>
      <w:pPr>
        <w:spacing w:before="120" w:line="260" w:lineRule="atLeast"/>
        <w:jc w:val="center"/>
        <w:rPr>
          <w:rFonts w:ascii="arial" w:eastAsia="arial" w:hAnsi="arial" w:cs="arial"/>
          <w:sz w:val="20"/>
          <w:lang w:val="en-US" w:eastAsia="en-US" w:bidi="ar-SA"/>
        </w:rPr>
      </w:pPr>
      <w:r>
        <w:rPr>
          <w:rFonts w:ascii="arial" w:eastAsia="arial" w:hAnsi="arial" w:cs="arial"/>
          <w:color w:val="000000"/>
          <w:sz w:val="20"/>
          <w:lang w:val="en-US" w:eastAsia="en-US" w:bidi="ar-SA"/>
        </w:rPr>
        <w:t>Vancouver Registry No. S006647</w:t>
      </w:r>
    </w:p>
    <w:p>
      <w:pPr>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r>
        <w:rPr>
          <w:rFonts w:ascii="arial" w:eastAsia="arial" w:hAnsi="arial" w:cs="arial"/>
          <w:b/>
          <w:color w:val="000000"/>
          <w:sz w:val="20"/>
          <w:lang w:val="en-US" w:eastAsia="en-US" w:bidi="ar-SA"/>
        </w:rPr>
        <w:t>[2003] B.C.J. No. 437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2003 BCSC 312</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15 C.C.L.T. (3d) 34</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36 M.P.L.R. (3d) 47</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BCBEC0"/>
          <w:sz w:val="20"/>
          <w:lang w:val="en-US" w:eastAsia="en-US" w:bidi="ar-SA"/>
        </w:rPr>
        <w:t>|</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sz w:val="20"/>
          <w:lang w:val="en-US" w:eastAsia="en-US" w:bidi="ar-SA"/>
        </w:rPr>
        <w:t xml:space="preserve"> </w:t>
      </w:r>
      <w:r>
        <w:rPr>
          <w:rFonts w:ascii="arial" w:eastAsia="arial" w:hAnsi="arial" w:cs="arial"/>
          <w:color w:val="000000"/>
          <w:sz w:val="20"/>
          <w:lang w:val="en-US" w:eastAsia="en-US" w:bidi="ar-SA"/>
        </w:rPr>
        <w:t>120 A.C.W.S. (3d) 682</w:t>
      </w:r>
    </w:p>
    <w:p>
      <w:pPr>
        <w:spacing w:before="120" w:line="260" w:lineRule="atLeast"/>
        <w:rPr>
          <w:rFonts w:ascii="arial" w:eastAsia="arial" w:hAnsi="arial" w:cs="arial"/>
          <w:sz w:val="20"/>
          <w:lang w:val="en-US" w:eastAsia="en-US" w:bidi="ar-SA"/>
        </w:rPr>
      </w:pPr>
      <w:r>
        <w:rPr>
          <w:rFonts w:ascii="arial" w:eastAsia="arial" w:hAnsi="arial" w:cs="arial"/>
          <w:color w:val="000000"/>
          <w:sz w:val="20"/>
          <w:lang w:val="en-US" w:eastAsia="en-US" w:bidi="ar-SA"/>
        </w:rPr>
        <w:t>Between Robert Renger et al, plaintiffs, and City of Vancouver and Bruce Maitland, defendants</w:t>
      </w:r>
    </w:p>
    <w:p>
      <w:pPr>
        <w:spacing w:before="120" w:line="260" w:lineRule="atLeast"/>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(85 paras.)</w:t>
      </w:r>
    </w:p>
    <w:p>
      <w:pPr>
        <w:keepNext/>
        <w:spacing w:before="12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Case Summary</w:t>
      </w:r>
    </w:p>
    <w:p>
      <w:pPr>
        <w:spacing w:line="60" w:lineRule="exact"/>
        <w:rPr>
          <w:rFonts w:ascii="arial" w:eastAsia="arial" w:hAnsi="arial" w:cs="arial"/>
          <w:sz w:val="20"/>
          <w:lang w:val="en-US" w:eastAsia="en-US" w:bidi="ar-SA"/>
        </w:rPr>
      </w:pPr>
      <w:r>
        <w:pict>
          <v:line id="_x0000_s1261" style="position:absolute;z-index:2517084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before="120" w:line="260" w:lineRule="atLeast"/>
        <w:rPr>
          <w:rFonts w:ascii="arial" w:eastAsia="arial" w:hAnsi="arial" w:cs="arial"/>
          <w:sz w:val="20"/>
          <w:lang w:val="en-US" w:eastAsia="en-US" w:bidi="ar-SA"/>
        </w:rPr>
      </w:pPr>
      <w:bookmarkStart w:id="319" w:name="Keywords_48"/>
      <w:bookmarkEnd w:id="319"/>
      <w:r>
        <w:rPr>
          <w:rFonts w:ascii="arial" w:eastAsia="arial" w:hAnsi="arial" w:cs="arial"/>
          <w:b/>
          <w:color w:val="000000"/>
          <w:sz w:val="20"/>
          <w:lang w:val="en-US" w:eastAsia="en-US" w:bidi="ar-SA"/>
        </w:rPr>
        <w:t xml:space="preserve">Municipal law — Liability of municipalities — </w:t>
      </w:r>
      <w:r>
        <w:rPr>
          <w:rFonts w:ascii="arial" w:eastAsia="arial" w:hAnsi="arial" w:cs="arial"/>
          <w:b/>
          <w:i/>
          <w:color w:val="000000"/>
          <w:sz w:val="20"/>
          <w:u w:val="single"/>
          <w:lang w:val="en-US" w:eastAsia="en-US" w:bidi="ar-SA"/>
        </w:rPr>
        <w:t>Negligence</w:t>
      </w:r>
      <w:r>
        <w:rPr>
          <w:rFonts w:ascii="arial" w:eastAsia="arial" w:hAnsi="arial" w:cs="arial"/>
          <w:b/>
          <w:color w:val="000000"/>
          <w:sz w:val="20"/>
          <w:lang w:val="en-US" w:eastAsia="en-US" w:bidi="ar-SA"/>
        </w:rPr>
        <w:t xml:space="preserve"> - - Negligent advise or misrepresentation — Employees — Practice — Pleadings — Striking out pleadings — Grounds, failure to disclose a cause of action or defence — Grounds, action prescribed or barred by limitation period.</w:t>
      </w:r>
    </w:p>
    <w:p>
      <w:pPr>
        <w:rPr>
          <w:rFonts w:ascii="arial" w:eastAsia="arial" w:hAnsi="arial" w:cs="arial"/>
          <w:sz w:val="20"/>
          <w:lang w:val="en-US" w:eastAsia="en-US" w:bidi="ar-SA"/>
        </w:rPr>
      </w:pPr>
    </w:p>
    <w:tbl>
      <w:tblPr>
        <w:tblStyle w:val="TableNormal"/>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
      <w:tblGrid>
        <w:gridCol w:w="10225"/>
      </w:tblGrid>
      <w:tr>
        <w:tblPrEx>
          <w:tblW w:w="5000" w:type="pct"/>
          <w:tblBorders>
            <w:top w:val="single" w:sz="3" w:space="0" w:color="BCBEB0"/>
            <w:left w:val="single" w:sz="3" w:space="0" w:color="BCBEB0"/>
            <w:bottom w:val="single" w:sz="3" w:space="0" w:color="BCBEB0"/>
            <w:right w:val="single" w:sz="3" w:space="0" w:color="BCBEB0"/>
            <w:insideH w:val="single" w:sz="3" w:space="0" w:color="BCBEB0"/>
            <w:insideV w:val="single" w:sz="3" w:space="0" w:color="BCBEB0"/>
          </w:tblBorders>
          <w:tblCellMar>
            <w:left w:w="108" w:type="dxa"/>
            <w:right w:w="108" w:type="dxa"/>
          </w:tblCellMar>
        </w:tblPrEx>
        <w:tc>
          <w:tcPr/>
          <w:p>
            <w:pPr>
              <w:rPr>
                <w:rFonts w:ascii="arial" w:eastAsia="arial" w:hAnsi="arial" w:cs="arial"/>
                <w:sz w:val="20"/>
                <w:lang w:val="en-US" w:eastAsia="en-US" w:bidi="ar-SA"/>
              </w:rPr>
            </w:pPr>
            <w:bookmarkStart w:id="320" w:name="Case Summary_46"/>
            <w:bookmarkEnd w:id="320"/>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Application by the City of Vancouver and Maitland for an order dismissing the action against them by Renger and the others. Renger and the others leased land from the City. They alleged that the City had made two misrepresentations in communicating an offer to modify the leases. These were that a prepayment option was being offered in response to a demand from leaseholders, and that the prepayment amounts had been calculated by two independent appraisal firms. They submitted that these communications detrimentally affected the value of their leasehold lots and sought damages against the City and Maitland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injurious falsehood. Certain of the plaintiffs also sought damage for negligent misrepresentation and deceit. </w:t>
            </w:r>
            <w:r>
              <w:rPr>
                <w:rFonts w:ascii="arial" w:eastAsia="arial" w:hAnsi="arial" w:cs="arial"/>
                <w:sz w:val="20"/>
                <w:lang w:val="en-US" w:eastAsia="en-US" w:bidi="ar-SA"/>
              </w:rPr>
              <w:cr/>
            </w:r>
          </w:p>
          <w:p>
            <w:pPr>
              <w:spacing w:before="120" w:line="260" w:lineRule="atLeast"/>
              <w:ind w:left="240"/>
              <w:jc w:val="both"/>
              <w:rPr>
                <w:rFonts w:ascii="arial" w:eastAsia="arial" w:hAnsi="arial" w:cs="arial"/>
                <w:sz w:val="20"/>
                <w:lang w:val="en-US" w:eastAsia="en-US" w:bidi="ar-SA"/>
              </w:rPr>
            </w:pPr>
            <w:bookmarkStart w:id="321" w:name="Holdings of Court_41"/>
            <w:bookmarkEnd w:id="321"/>
            <w:r>
              <w:rPr>
                <w:rFonts w:ascii="arial" w:eastAsia="arial" w:hAnsi="arial" w:cs="arial"/>
                <w:color w:val="000000"/>
                <w:sz w:val="20"/>
                <w:lang w:val="en-US" w:eastAsia="en-US" w:bidi="ar-SA"/>
              </w:rPr>
              <w:t>HELD: Application allowed in part.</w:t>
            </w:r>
          </w:p>
          <w:p>
            <w:pPr>
              <w:spacing w:before="120" w:line="260" w:lineRule="atLeast"/>
              <w:ind w:left="240"/>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 Maitland was a civic public officer acting in the course of his duties and there was no allegation that he had engaged in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wilful misconduct or defamation. Therefore, under section 294(3) of the Vancouver Charter, the action against him was statute-barred and it was thus plain and obvious that it would fail. However, based on a review of the statement of claim and the applicable case law, it was not plain and obvious that the pleadings disclosed no reasonable claim against the City. </w:t>
            </w:r>
            <w:r>
              <w:rPr>
                <w:rFonts w:ascii="arial" w:eastAsia="arial" w:hAnsi="arial" w:cs="arial"/>
                <w:sz w:val="20"/>
                <w:lang w:val="en-US" w:eastAsia="en-US" w:bidi="ar-SA"/>
              </w:rPr>
              <w:cr/>
            </w:r>
          </w:p>
          <w:p>
            <w:pPr>
              <w:rPr>
                <w:rFonts w:ascii="arial" w:eastAsia="arial" w:hAnsi="arial" w:cs="arial"/>
                <w:sz w:val="20"/>
                <w:lang w:val="en-US" w:eastAsia="en-US" w:bidi="ar-SA"/>
              </w:rPr>
            </w:pPr>
          </w:p>
        </w:tc>
      </w:tr>
    </w:tbl>
    <w:p>
      <w:pPr>
        <w:jc w:val="both"/>
        <w:rPr>
          <w:rFonts w:ascii="arial" w:eastAsia="arial" w:hAnsi="arial" w:cs="arial"/>
          <w:sz w:val="20"/>
          <w:lang w:val="en-US" w:eastAsia="en-US" w:bidi="ar-SA"/>
        </w:rPr>
      </w:pPr>
      <w:bookmarkStart w:id="322" w:name="Legislation Cited_32"/>
      <w:bookmarkEnd w:id="322"/>
      <w:r>
        <w:rPr>
          <w:rFonts w:ascii="arial" w:eastAsia="arial" w:hAnsi="arial" w:cs="arial"/>
          <w:sz w:val="20"/>
          <w:lang w:val="en-US" w:eastAsia="en-US" w:bidi="ar-SA"/>
        </w:rPr>
        <w:br/>
      </w:r>
    </w:p>
    <w:p>
      <w:pPr>
        <w:keepNext/>
        <w:spacing w:before="240" w:line="340" w:lineRule="atLeast"/>
        <w:rPr>
          <w:rFonts w:ascii="arial" w:eastAsia="arial" w:hAnsi="arial" w:cs="arial"/>
          <w:sz w:val="20"/>
          <w:lang w:val="en-US" w:eastAsia="en-US" w:bidi="ar-SA"/>
        </w:rPr>
      </w:pPr>
      <w:r>
        <w:rPr>
          <w:rFonts w:ascii="arial" w:eastAsia="arial" w:hAnsi="arial" w:cs="arial"/>
          <w:b/>
          <w:color w:val="000000"/>
          <w:sz w:val="28"/>
          <w:lang w:val="en-US" w:eastAsia="en-US" w:bidi="ar-SA"/>
        </w:rPr>
        <w:t>Statutes, Regulations and Rules Cited:</w:t>
      </w:r>
    </w:p>
    <w:p>
      <w:pPr>
        <w:spacing w:line="60" w:lineRule="exact"/>
        <w:rPr>
          <w:rFonts w:ascii="arial" w:eastAsia="arial" w:hAnsi="arial" w:cs="arial"/>
          <w:sz w:val="20"/>
          <w:lang w:val="en-US" w:eastAsia="en-US" w:bidi="ar-SA"/>
        </w:rPr>
      </w:pPr>
      <w:r>
        <w:pict>
          <v:line id="_x0000_s1262" style="position:absolute;z-index:2517596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British Columbia Supreme Court Rules, Rule 19(11), 19(24)(a), 19(27).</w:t>
      </w: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Vancouver Charter, s. 294, 294(3), 294(5).</w:t>
      </w:r>
      <w:r>
        <w:rPr>
          <w:rFonts w:ascii="arial" w:eastAsia="arial" w:hAnsi="arial" w:cs="arial"/>
          <w:sz w:val="20"/>
          <w:lang w:val="en-US" w:eastAsia="en-US" w:bidi="ar-SA"/>
        </w:rPr>
        <w:cr/>
      </w:r>
    </w:p>
    <w:p>
      <w:pPr>
        <w:keepNext/>
        <w:spacing w:before="240" w:line="340" w:lineRule="atLeast"/>
        <w:rPr>
          <w:rFonts w:ascii="arial" w:eastAsia="arial" w:hAnsi="arial" w:cs="arial"/>
          <w:sz w:val="20"/>
          <w:lang w:val="en-US" w:eastAsia="en-US" w:bidi="ar-SA"/>
        </w:rPr>
      </w:pPr>
      <w:bookmarkStart w:id="323" w:name="Counsel_48"/>
      <w:bookmarkEnd w:id="323"/>
      <w:r>
        <w:rPr>
          <w:rFonts w:ascii="arial" w:eastAsia="arial" w:hAnsi="arial" w:cs="arial"/>
          <w:b/>
          <w:color w:val="000000"/>
          <w:sz w:val="28"/>
          <w:lang w:val="en-US" w:eastAsia="en-US" w:bidi="ar-SA"/>
        </w:rPr>
        <w:t>Counsel</w:t>
      </w:r>
    </w:p>
    <w:p>
      <w:pPr>
        <w:spacing w:line="60" w:lineRule="exact"/>
        <w:rPr>
          <w:rFonts w:ascii="arial" w:eastAsia="arial" w:hAnsi="arial" w:cs="arial"/>
          <w:sz w:val="20"/>
          <w:lang w:val="en-US" w:eastAsia="en-US" w:bidi="ar-SA"/>
        </w:rPr>
      </w:pPr>
      <w:r>
        <w:pict>
          <v:line id="_x0000_s1263" style="position:absolute;z-index:251810816" from="0,2pt" to="512pt,2pt" strokecolor="#009ddb" strokeweight="2pt">
            <v:stroke linestyle="single"/>
          </v:line>
        </w:pict>
      </w:r>
    </w:p>
    <w:p>
      <w:pPr>
        <w:spacing w:line="240" w:lineRule="exact"/>
        <w:rPr>
          <w:rFonts w:ascii="arial" w:eastAsia="arial" w:hAnsi="arial" w:cs="arial"/>
          <w:sz w:val="20"/>
          <w:lang w:val="en-US" w:eastAsia="en-US" w:bidi="ar-SA"/>
        </w:rPr>
      </w:pPr>
    </w:p>
    <w:p>
      <w:pPr>
        <w:spacing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G.A. Armstrong, for the plaintiffs. B. Parkin and T. Zworski, for the defendants.</w:t>
      </w:r>
      <w:r>
        <w:rPr>
          <w:rFonts w:ascii="arial" w:eastAsia="arial" w:hAnsi="arial" w:cs="arial"/>
          <w:sz w:val="20"/>
          <w:lang w:val="en-US" w:eastAsia="en-US" w:bidi="ar-SA"/>
        </w:rPr>
        <w:cr/>
      </w:r>
    </w:p>
    <w:p>
      <w:pPr>
        <w:spacing w:after="240"/>
        <w:rPr>
          <w:rFonts w:ascii="arial" w:eastAsia="arial" w:hAnsi="arial" w:cs="arial"/>
          <w:sz w:val="20"/>
          <w:lang w:val="en-US" w:eastAsia="en-US" w:bidi="ar-SA"/>
        </w:rPr>
      </w:pPr>
      <w:bookmarkStart w:id="324" w:name="Judgment_48"/>
      <w:bookmarkEnd w:id="324"/>
      <w:r>
        <w:pict>
          <v:line id="_x0000_s1264" style="position:absolute;z-index:251862016" from="0,12pt" to="512pt,12pt" strokecolor="#009ddb" strokeweight="1.5pt">
            <v:stroke linestyle="single"/>
          </v:line>
        </w:pict>
      </w:r>
    </w:p>
    <w:p>
      <w:pPr>
        <w:rPr>
          <w:rFonts w:ascii="arial" w:eastAsia="arial" w:hAnsi="arial" w:cs="arial"/>
          <w:sz w:val="20"/>
          <w:lang w:val="en-US" w:eastAsia="en-US" w:bidi="ar-SA"/>
        </w:rPr>
      </w:pPr>
    </w:p>
    <w:tbl>
      <w:tblPr>
        <w:tblStyle w:val="TableNormal"/>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
      <w:tblGrid>
        <w:gridCol w:w="1870"/>
      </w:tblGrid>
      <w:tr>
        <w:tblPrEx>
          <w:tblW w:w="0" w:type="auto"/>
          <w:tblInd w:w="12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8" w:type="dxa"/>
            <w:right w:w="108" w:type="dxa"/>
          </w:tblCellMar>
        </w:tblPrEx>
        <w:tc>
          <w:tcPr>
            <w:tcBorders>
              <w:top w:val="single" w:sz="4" w:space="0" w:color="D3D3D3"/>
              <w:left w:val="single" w:sz="4" w:space="0" w:color="D3D3D3"/>
              <w:bottom w:val="single" w:sz="4" w:space="0" w:color="D3D3D3"/>
              <w:right w:val="single" w:sz="4" w:space="0" w:color="D3D3D3"/>
            </w:tcBorders>
            <w:shd w:val="clear" w:color="auto" w:fill="E9E9EA"/>
            <w:tcMar>
              <w:top w:w="120" w:type="dxa"/>
              <w:left w:w="120" w:type="dxa"/>
              <w:bottom w:w="120" w:type="dxa"/>
              <w:right w:w="120" w:type="dxa"/>
            </w:tcMar>
            <w:vAlign w:val="center"/>
          </w:tcPr>
          <w:p>
            <w:pPr>
              <w:spacing w:line="360" w:lineRule="atLeast"/>
              <w:rPr>
                <w:rFonts w:ascii="arial" w:eastAsia="arial" w:hAnsi="arial" w:cs="arial"/>
                <w:sz w:val="20"/>
                <w:lang w:val="en-US" w:eastAsia="en-US" w:bidi="ar-SA"/>
              </w:rPr>
            </w:pPr>
            <w:bookmarkStart w:id="325" w:name="ROMILLY J"/>
            <w:bookmarkEnd w:id="325"/>
            <w:r>
              <w:rPr>
                <w:rFonts w:ascii="arial" w:eastAsia="arial" w:hAnsi="arial" w:cs="arial"/>
                <w:b/>
                <w:color w:val="000000"/>
                <w:sz w:val="30"/>
                <w:lang w:val="en-US" w:eastAsia="en-US" w:bidi="ar-SA"/>
              </w:rPr>
              <w:t>ROMILLY J</w:t>
            </w:r>
          </w:p>
        </w:tc>
      </w:tr>
    </w:tbl>
    <w:p>
      <w:pPr>
        <w:numPr>
          <w:numId w:val="522"/>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Nature of the application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w:t>
      </w:r>
      <w:r>
        <w:rPr>
          <w:rFonts w:ascii="arial" w:eastAsia="arial" w:hAnsi="arial" w:cs="arial"/>
          <w:color w:val="000000"/>
          <w:sz w:val="20"/>
          <w:lang w:val="en-US" w:eastAsia="en-US" w:bidi="ar-SA"/>
        </w:rPr>
        <w:t xml:space="preserve">  This is an application under Rule 19(24)(a) of the Rules of Court for an Order dismissing the Plaintiffs' action against the Defendants. The Defendants submit that the Statement of Claim does not disclose a reasonable claim against either the City of Vancouver (the "City") or Bruce Maitland ("Maitland"). They further submit that the claim against Maitland is statute barred under section 294(3) of the Vancouver Charter, </w:t>
      </w:r>
      <w:r>
        <w:rPr>
          <w:rFonts w:ascii="arial" w:eastAsia="arial" w:hAnsi="arial" w:cs="arial"/>
          <w:i/>
          <w:color w:val="000000"/>
          <w:sz w:val="20"/>
          <w:lang w:val="en-US" w:eastAsia="en-US" w:bidi="ar-SA"/>
        </w:rPr>
        <w:t>S.B.C. 1953, c. 55</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w:t>
      </w:r>
      <w:r>
        <w:rPr>
          <w:rFonts w:ascii="arial" w:eastAsia="arial" w:hAnsi="arial" w:cs="arial"/>
          <w:color w:val="000000"/>
          <w:sz w:val="20"/>
          <w:lang w:val="en-US" w:eastAsia="en-US" w:bidi="ar-SA"/>
        </w:rPr>
        <w:t>  For the reasons stated below, I find that the claim against Maitland is statute barred but that the Defendants have not satisfied me that it is "plain and obvious" that the Statement of Claim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w:t>
      </w:r>
      <w:r>
        <w:rPr>
          <w:rFonts w:ascii="arial" w:eastAsia="arial" w:hAnsi="arial" w:cs="arial"/>
          <w:color w:val="000000"/>
          <w:sz w:val="20"/>
          <w:lang w:val="en-US" w:eastAsia="en-US" w:bidi="ar-SA"/>
        </w:rPr>
        <w:t xml:space="preserve">  To succeed on an application under Rule 19(24)(a), the Defendants must show that it is plain and obvious that the Statement of Claim discloses no reasonable claim: Hunt v. Carey Canada Inc. </w:t>
      </w:r>
      <w:r>
        <w:rPr>
          <w:rFonts w:ascii="arial" w:eastAsia="arial" w:hAnsi="arial" w:cs="arial"/>
          <w:i/>
          <w:color w:val="000000"/>
          <w:sz w:val="20"/>
          <w:lang w:val="en-US" w:eastAsia="en-US" w:bidi="ar-SA"/>
        </w:rPr>
        <w:t>(1990), 49 B.C.L.R. (2d) 273</w:t>
      </w:r>
      <w:r>
        <w:rPr>
          <w:rFonts w:ascii="arial" w:eastAsia="arial" w:hAnsi="arial" w:cs="arial"/>
          <w:color w:val="000000"/>
          <w:sz w:val="20"/>
          <w:lang w:val="en-US" w:eastAsia="en-US" w:bidi="ar-SA"/>
        </w:rPr>
        <w:t xml:space="preserve"> (S.C.C.). No evidence is admissible on an application of this nature. Instead, the facts alleged in the Statement of Claim are treated as proven: Hunt, supra; Rule 19(27). It will therefore be useful for me to canvass the facts as alleged in the Statement of claim.</w:t>
      </w:r>
      <w:r>
        <w:rPr>
          <w:rFonts w:ascii="arial" w:eastAsia="arial" w:hAnsi="arial" w:cs="arial"/>
          <w:sz w:val="20"/>
          <w:lang w:val="en-US" w:eastAsia="en-US" w:bidi="ar-SA"/>
        </w:rPr>
        <w:cr/>
      </w:r>
    </w:p>
    <w:p>
      <w:pPr>
        <w:numPr>
          <w:numId w:val="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Facts as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w:t>
      </w:r>
      <w:r>
        <w:rPr>
          <w:rFonts w:ascii="arial" w:eastAsia="arial" w:hAnsi="arial" w:cs="arial"/>
          <w:color w:val="000000"/>
          <w:sz w:val="20"/>
          <w:lang w:val="en-US" w:eastAsia="en-US" w:bidi="ar-SA"/>
        </w:rPr>
        <w:t>  The Plaintiffs are lessees of land owned by the City in the False Creek area of Vancouver. The Plaintiffs own condominium apartments built upon the City land.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w:t>
      </w:r>
      <w:r>
        <w:rPr>
          <w:rFonts w:ascii="arial" w:eastAsia="arial" w:hAnsi="arial" w:cs="arial"/>
          <w:color w:val="000000"/>
          <w:sz w:val="20"/>
          <w:lang w:val="en-US" w:eastAsia="en-US" w:bidi="ar-SA"/>
        </w:rPr>
        <w:t>  Under the original terms of the ground leases between the City and the Plaintiffs, the Plaintiffs paid monthly rent. The rent was fixed for the first 30 years. The rent for the remaining 30 years was to be set every 10 years either by agreement of the parties or by arbitration based on market rental values of the land. There is no provision in the ground leases allowing for mid-term pre-payment of the monthly rent.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w:t>
      </w:r>
      <w:r>
        <w:rPr>
          <w:rFonts w:ascii="arial" w:eastAsia="arial" w:hAnsi="arial" w:cs="arial"/>
          <w:color w:val="000000"/>
          <w:sz w:val="20"/>
          <w:lang w:val="en-US" w:eastAsia="en-US" w:bidi="ar-SA"/>
        </w:rPr>
        <w:t>  Although the commencement dates of the individual leases vary, all leases are still within their first 30 year period and no rent reviews have yet taken place.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w:t>
      </w:r>
      <w:r>
        <w:rPr>
          <w:rFonts w:ascii="arial" w:eastAsia="arial" w:hAnsi="arial" w:cs="arial"/>
          <w:color w:val="000000"/>
          <w:sz w:val="20"/>
          <w:lang w:val="en-US" w:eastAsia="en-US" w:bidi="ar-SA"/>
        </w:rPr>
        <w:t>  In 1988, the City decided to offer the Plaintiffs an opportunity to modify their leases by prepaying the ground lease for the remainder of the lease terms. For that purpose, the City retained a firm of appraisers to provide valuation of the lands and determine prepayment amounts for each of the individual leasehold strata lots. The City knew that the lands were subject to contamination, and instructed the appraisers to disregard that fact in determining the prepayment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w:t>
      </w:r>
      <w:r>
        <w:rPr>
          <w:rFonts w:ascii="arial" w:eastAsia="arial" w:hAnsi="arial" w:cs="arial"/>
          <w:color w:val="000000"/>
          <w:sz w:val="20"/>
          <w:lang w:val="en-US" w:eastAsia="en-US" w:bidi="ar-SA"/>
        </w:rPr>
        <w:t>  The appraisers prepared two appraisals which were rejected by the City as too low. The City then retained a second appraisal firm to work together with the first firm to complete a final appraisal. The City instructed the second firm to also ignore the contamination.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9</w:t>
      </w:r>
      <w:r>
        <w:rPr>
          <w:rFonts w:ascii="arial" w:eastAsia="arial" w:hAnsi="arial" w:cs="arial"/>
          <w:color w:val="000000"/>
          <w:sz w:val="20"/>
          <w:lang w:val="en-US" w:eastAsia="en-US" w:bidi="ar-SA"/>
        </w:rPr>
        <w:t>  In 1993, the two appraisal firms working together prepared a joint report to the City recommending prepayment amounts for all the leaseholds. This report was accepted by the City and used as a basis for calculating the prepayment amounts eventually offered to the Plaintiffs.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10</w:t>
      </w:r>
      <w:r>
        <w:rPr>
          <w:rFonts w:ascii="arial" w:eastAsia="arial" w:hAnsi="arial" w:cs="arial"/>
          <w:color w:val="000000"/>
          <w:sz w:val="20"/>
          <w:lang w:val="en-US" w:eastAsia="en-US" w:bidi="ar-SA"/>
        </w:rPr>
        <w:t>  Commencing in 1993, the City communicated the offer to modify the leases to the Plaintiffs. The Plaintiffs allege that these communications contained two misrepresentations: firstly, that the prepayment option was being offered in response to demand from the leaseholders (the "Demand Misrepresentation"); and secondly, that the prepayment amounts were calculated by two independent appraisal firms (the "Appraisal Misrepresentation"). The City made these communications not only to the Plaintiffs but to third parties and the public at large as well. The Plaintiffs submit that these communications detrimentally affected the value of the leasehold strata lots.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11</w:t>
      </w:r>
      <w:r>
        <w:rPr>
          <w:rFonts w:ascii="arial" w:eastAsia="arial" w:hAnsi="arial" w:cs="arial"/>
          <w:color w:val="000000"/>
          <w:sz w:val="20"/>
          <w:lang w:val="en-US" w:eastAsia="en-US" w:bidi="ar-SA"/>
        </w:rPr>
        <w:t>  The Defendants did not disclose to the Plaintiffs or to the public that the two appraisal firms had worked together. They also did not disclose that the first appraisal firm had initially come up with significantly lower appraisal amounts than those eventually used. In addition they had instructed the appraisers to ignore any contamination of the lands and the appraisals did not take into account any contamination of the lands.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12</w:t>
      </w:r>
      <w:r>
        <w:rPr>
          <w:rFonts w:ascii="arial" w:eastAsia="arial" w:hAnsi="arial" w:cs="arial"/>
          <w:color w:val="000000"/>
          <w:sz w:val="20"/>
          <w:lang w:val="en-US" w:eastAsia="en-US" w:bidi="ar-SA"/>
        </w:rPr>
        <w:t>  Between 1993 and 2001, certain Plaintiffs (the "Prepaid Plaintiffs") accepted the City's offer and prepaid their leases in the amounts offered by the City. The remaining Plaintiffs (the "Unpaid Plaintiffs") did not accept the City's offer and did not modify their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13</w:t>
      </w:r>
      <w:r>
        <w:rPr>
          <w:rFonts w:ascii="arial" w:eastAsia="arial" w:hAnsi="arial" w:cs="arial"/>
          <w:color w:val="000000"/>
          <w:sz w:val="20"/>
          <w:lang w:val="en-US" w:eastAsia="en-US" w:bidi="ar-SA"/>
        </w:rPr>
        <w:t xml:space="preserve">  In the Statement of Claim, all of the Plaintiffs seek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injurious falsehood. In addition, the Prepaid Plaintiffs seek damages for negligent misrepresentation and 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14</w:t>
      </w:r>
      <w:r>
        <w:rPr>
          <w:rFonts w:ascii="arial" w:eastAsia="arial" w:hAnsi="arial" w:cs="arial"/>
          <w:color w:val="000000"/>
          <w:sz w:val="20"/>
          <w:lang w:val="en-US" w:eastAsia="en-US" w:bidi="ar-SA"/>
        </w:rPr>
        <w:t>  In Paragraph 75, the Plaintiffs allege that the instructions not to take into account any contamination were improper and inconsistent with generally accepted appraisal practices and that these instructions were intended to and did compromise the independence of the appraisers and the accuracy of the appraisals.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15</w:t>
      </w:r>
      <w:r>
        <w:rPr>
          <w:rFonts w:ascii="arial" w:eastAsia="arial" w:hAnsi="arial" w:cs="arial"/>
          <w:color w:val="000000"/>
          <w:sz w:val="20"/>
          <w:lang w:val="en-US" w:eastAsia="en-US" w:bidi="ar-SA"/>
        </w:rPr>
        <w:t>  In Paragraph 76 of the Statement of Claim, the Plaintiffs allege that a joint report from Burgess Austin &amp; Associates and Nielsen Realty Research Ltd. (the appraisal firms) assessed the collective prepayment amount as approximately $16,250,000. According to Paragraph 78, on or about April, 1993 the Defendants sent a series of letters and "information bulletins" to each of the Plaintiffs (collectively the "Defendants' Solicitations"), offering the Plaintiffs the option of making lump sum prepayments of basic rent for the remaining terms of their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16</w:t>
      </w:r>
      <w:r>
        <w:rPr>
          <w:rFonts w:ascii="arial" w:eastAsia="arial" w:hAnsi="arial" w:cs="arial"/>
          <w:color w:val="000000"/>
          <w:sz w:val="20"/>
          <w:lang w:val="en-US" w:eastAsia="en-US" w:bidi="ar-SA"/>
        </w:rPr>
        <w:t>  In Paragraph 80, the Plaintiffs allege that the Defendants' Solicitations included the Demand and Appraisal Misrepresentations.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17</w:t>
      </w:r>
      <w:r>
        <w:rPr>
          <w:rFonts w:ascii="arial" w:eastAsia="arial" w:hAnsi="arial" w:cs="arial"/>
          <w:color w:val="000000"/>
          <w:sz w:val="20"/>
          <w:lang w:val="en-US" w:eastAsia="en-US" w:bidi="ar-SA"/>
        </w:rPr>
        <w:t>  In Paragraph 82, the Plaintiffs allege that the Demand Misrepresentations were false and misleading. Specifically, they allege that there had been no demand by leaseholders for the prepayment option and that the Defendants were motivated to offer the prepayment option by a desire to increase the City's revenues from the leases, along with a fear of a "tenants' revolt" as the 30 year rent reviews contemplated by the respective leases grew closer.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18</w:t>
      </w:r>
      <w:r>
        <w:rPr>
          <w:rFonts w:ascii="arial" w:eastAsia="arial" w:hAnsi="arial" w:cs="arial"/>
          <w:color w:val="000000"/>
          <w:sz w:val="20"/>
          <w:lang w:val="en-US" w:eastAsia="en-US" w:bidi="ar-SA"/>
        </w:rPr>
        <w:t>  In Paragraph 83, the Plaintiffs allege that the Demand Misrepresentations were intended to and did encourage the leaseholders to accept that the prepayment option was, at least for many leaseholders, a more desirable option than continuing to pay monthly rents as contemplated by the terms of the respective leases. Further, by making it appear that the City's offer was designed to accommodate leaseholder demand, the Demand Misrepresentations were intended to and did conceal the adversity of interests between the City and the Plaintiffs in relation to the City's prepayment offer.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19</w:t>
      </w:r>
      <w:r>
        <w:rPr>
          <w:rFonts w:ascii="arial" w:eastAsia="arial" w:hAnsi="arial" w:cs="arial"/>
          <w:color w:val="000000"/>
          <w:sz w:val="20"/>
          <w:lang w:val="en-US" w:eastAsia="en-US" w:bidi="ar-SA"/>
        </w:rPr>
        <w:t>  In Paragraph 84, the Plaintiffs allege that the Appraisal Misrepresentations were also false and misleading. They allege that the Appraisal Misrepresentations conveyed to the Plaintiffs that the prepayment amounts being offered by the City were based on the opinions of two separate, unbiased and reputable appraisal firms, each employing proper appraisal principles and working independently of one another and of the Defendants. The Plaintiffs say that this, in turn, was intended to and did encourage the leaseholders to accept the prepayment figures as reasonable and appropriate, having been arrived at not once but twice by disinterested and duly qualified professionals with nothing to gain from overstating the prepayment amounts.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20</w:t>
      </w:r>
      <w:r>
        <w:rPr>
          <w:rFonts w:ascii="arial" w:eastAsia="arial" w:hAnsi="arial" w:cs="arial"/>
          <w:color w:val="000000"/>
          <w:sz w:val="20"/>
          <w:lang w:val="en-US" w:eastAsia="en-US" w:bidi="ar-SA"/>
        </w:rPr>
        <w:t>  In Paragraphs 85 and 86, the Plaintiffs allege that such was not the case. They allege that the two appraisal firms did not work independently of the Defendants' influence and control, and did not prepare the appraisal on generally accepted appraisal principles.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21</w:t>
      </w:r>
      <w:r>
        <w:rPr>
          <w:rFonts w:ascii="arial" w:eastAsia="arial" w:hAnsi="arial" w:cs="arial"/>
          <w:color w:val="000000"/>
          <w:sz w:val="20"/>
          <w:lang w:val="en-US" w:eastAsia="en-US" w:bidi="ar-SA"/>
        </w:rPr>
        <w:t>  In Paragraph 88, the Plaintiffs allege that at no time prior to June, 1999 did the Defendants disclose any of the information set forth therein to the Plaintiffs or to the public at large (collectively, the "Non-Disclosure"). In Paragraph 89, the Plaintiffs allege that this information was material and ought to have been disclosed.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22</w:t>
      </w:r>
      <w:r>
        <w:rPr>
          <w:rFonts w:ascii="arial" w:eastAsia="arial" w:hAnsi="arial" w:cs="arial"/>
          <w:color w:val="000000"/>
          <w:sz w:val="20"/>
          <w:lang w:val="en-US" w:eastAsia="en-US" w:bidi="ar-SA"/>
        </w:rPr>
        <w:t>  In Paragraph 90, the Plaintiffs allege that in making the Demand Misrepresentations, the Appraisal Misrepresentations and the Non-Disclosure, the Defendants acted with knowledge of the false or misleading nature of the information published to the Plaintiffs in the Defendants' Solicitations and to third parties. In the alternative, the Plaintiffs allege that the Defendants ought to have known the information to be false or misleading and acted negligently, or in the further alternative, recklessly, not caring whether the information was true, false or was misleading.</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23</w:t>
      </w:r>
      <w:r>
        <w:rPr>
          <w:rFonts w:ascii="arial" w:eastAsia="arial" w:hAnsi="arial" w:cs="arial"/>
          <w:color w:val="000000"/>
          <w:sz w:val="20"/>
          <w:lang w:val="en-US" w:eastAsia="en-US" w:bidi="ar-SA"/>
        </w:rPr>
        <w:t>  In Paragraph 91, the Plaintiffs allege that the Defendants knew that the Demand Misrepresentations, the Appraisal Misrepresentations and the Non-Disclosure would be relied upon by the Plaintiffs and by potential purchasers of the Plaintiffs' leasehold interests.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24</w:t>
      </w:r>
      <w:r>
        <w:rPr>
          <w:rFonts w:ascii="arial" w:eastAsia="arial" w:hAnsi="arial" w:cs="arial"/>
          <w:color w:val="000000"/>
          <w:sz w:val="20"/>
          <w:lang w:val="en-US" w:eastAsia="en-US" w:bidi="ar-SA"/>
        </w:rPr>
        <w:t>  In Paragraphs 93 and 94, the Plaintiffs who prepaid allege that they relied on the Demand Misrepresentations, the Appraisal Misrepresentations and the Non-Disclosure in deciding to accept the prepayment option. They allege that had it not been for the said Misrepresentations and Non-Disclosures, they would have taken steps to investigate and assess the basis for the prepayment amounts offered by the Defendants. This would have led each of them to conclude that the prepayment amounts offered by the City were unduly high and each would have either negotiated a lower prepayment amount with the City or declined the prepayment option altogether.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25</w:t>
      </w:r>
      <w:r>
        <w:rPr>
          <w:rFonts w:ascii="arial" w:eastAsia="arial" w:hAnsi="arial" w:cs="arial"/>
          <w:color w:val="000000"/>
          <w:sz w:val="20"/>
          <w:lang w:val="en-US" w:eastAsia="en-US" w:bidi="ar-SA"/>
        </w:rPr>
        <w:t>  In Paragraph 95, the Plaintiffs allege that the Defendants knew or ought to have known that the Demand Misrepresentations and the Appraisal Misrepresentations were false and misleading, and knew or ought to have known that the Non-Disclosure would mislead the Plaintiffs and induce them to accept the prepayment options offered by the City.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26</w:t>
      </w:r>
      <w:r>
        <w:rPr>
          <w:rFonts w:ascii="arial" w:eastAsia="arial" w:hAnsi="arial" w:cs="arial"/>
          <w:color w:val="000000"/>
          <w:sz w:val="20"/>
          <w:lang w:val="en-US" w:eastAsia="en-US" w:bidi="ar-SA"/>
        </w:rPr>
        <w:t>  I intend to deal first with the issue of whether the claim against Maitland is statute barred under section 294(3) of the Vancouver Charter.</w:t>
      </w:r>
      <w:r>
        <w:rPr>
          <w:rFonts w:ascii="arial" w:eastAsia="arial" w:hAnsi="arial" w:cs="arial"/>
          <w:sz w:val="20"/>
          <w:lang w:val="en-US" w:eastAsia="en-US" w:bidi="ar-SA"/>
        </w:rPr>
        <w:cr/>
      </w:r>
    </w:p>
    <w:p>
      <w:pPr>
        <w:numPr>
          <w:numId w:val="3"/>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Is the claim against Maitland statute barred under s. 294(3) of the Vancouver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27</w:t>
      </w:r>
      <w:r>
        <w:rPr>
          <w:rFonts w:ascii="arial" w:eastAsia="arial" w:hAnsi="arial" w:cs="arial"/>
          <w:color w:val="000000"/>
          <w:sz w:val="20"/>
          <w:lang w:val="en-US" w:eastAsia="en-US" w:bidi="ar-SA"/>
        </w:rPr>
        <w:t>  In my view, the claim against Maitland, a civic public officer acting in the course of his duties, is statute barred. Accordingly, it is plain and obvious that the Plaintiffs' claim against him personally must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28</w:t>
      </w:r>
      <w:r>
        <w:rPr>
          <w:rFonts w:ascii="arial" w:eastAsia="arial" w:hAnsi="arial" w:cs="arial"/>
          <w:color w:val="000000"/>
          <w:sz w:val="20"/>
          <w:lang w:val="en-US" w:eastAsia="en-US" w:bidi="ar-SA"/>
        </w:rPr>
        <w:t>  The relevant provisions of the Vancouver Charter are found in section 294:</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294(3) No action for damages lies or shall be instituted against a civic public officer for anything said or done or omitted to be said or done by him in the performance or intended performance of his duty or the exercise of his power or for any alleged neglect or default in the performance or intended performance of his duty or exercise of his power.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294(4) In this section "civic public officer" means</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council,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the Board of Parks and Recreation,</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directors of a regional board,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the Library Board,</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the Board of Variance,</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the members of the Building Board of Appeal,</w:t>
      </w:r>
    </w:p>
    <w:p>
      <w:pPr>
        <w:numPr>
          <w:numId w:val="4"/>
        </w:numPr>
        <w:tabs>
          <w:tab w:val="clear" w:pos="1120"/>
          <w:tab w:val="num" w:pos="148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an officer or employee of the City or the Library Board,</w:t>
      </w:r>
    </w:p>
    <w:p>
      <w:pPr>
        <w:numPr>
          <w:numId w:val="5"/>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an election official appointed under section 14,</w:t>
      </w:r>
    </w:p>
    <w:p>
      <w:pPr>
        <w:numPr>
          <w:numId w:val="6"/>
        </w:numPr>
        <w:tabs>
          <w:tab w:val="num" w:pos="1480"/>
          <w:tab w:val="clear" w:pos="184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member of a heritage commission under section 581,</w:t>
      </w:r>
    </w:p>
    <w:p>
      <w:pPr>
        <w:numPr>
          <w:numId w:val="7"/>
        </w:numPr>
        <w:tabs>
          <w:tab w:val="num" w:pos="1480"/>
          <w:tab w:val="clear" w:pos="2200"/>
        </w:tabs>
        <w:spacing w:before="120" w:line="260" w:lineRule="atLeast"/>
        <w:ind w:left="1480"/>
        <w:jc w:val="both"/>
        <w:rPr>
          <w:rFonts w:ascii="arial" w:eastAsia="arial" w:hAnsi="arial" w:cs="arial"/>
          <w:sz w:val="20"/>
          <w:lang w:val="en-US" w:eastAsia="en-US" w:bidi="ar-SA"/>
        </w:rPr>
      </w:pPr>
      <w:r>
        <w:rPr>
          <w:rFonts w:ascii="arial" w:eastAsia="arial" w:hAnsi="arial" w:cs="arial"/>
          <w:color w:val="000000"/>
          <w:sz w:val="20"/>
          <w:lang w:val="en-US" w:eastAsia="en-US" w:bidi="ar-SA"/>
        </w:rPr>
        <w:t>a special constable, and</w:t>
      </w:r>
    </w:p>
    <w:p>
      <w:pPr>
        <w:numPr>
          <w:numId w:val="9"/>
        </w:numPr>
        <w:tabs>
          <w:tab w:val="clear" w:pos="1120"/>
          <w:tab w:val="num" w:pos="1840"/>
        </w:tabs>
        <w:spacing w:before="120" w:line="260" w:lineRule="atLeast"/>
        <w:ind w:left="1840"/>
        <w:jc w:val="both"/>
        <w:rPr>
          <w:rFonts w:ascii="arial" w:eastAsia="arial" w:hAnsi="arial" w:cs="arial"/>
          <w:sz w:val="20"/>
          <w:lang w:val="en-US" w:eastAsia="en-US" w:bidi="ar-SA"/>
        </w:rPr>
      </w:pPr>
      <w:r>
        <w:rPr>
          <w:rFonts w:ascii="arial" w:eastAsia="arial" w:hAnsi="arial" w:cs="arial"/>
          <w:color w:val="000000"/>
          <w:sz w:val="20"/>
          <w:lang w:val="en-US" w:eastAsia="en-US" w:bidi="ar-SA"/>
        </w:rPr>
        <w:t>any volunteer who participates in the delivery of services by the city, or the bodies referred to in paragraphs (b) to (e) under the supervision of an officer or employee of the city, or of those bodies or an officer or employee of any of those bodies.</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294(5) Subsection (3) does not provide a defence where</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 xml:space="preserve">the civic public officer has, in relation to the conduct that is the subject matter of the action, been guilty of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or malicious or wilful misconduct, or</w:t>
      </w:r>
    </w:p>
    <w:p>
      <w:pPr>
        <w:numPr>
          <w:numId w:val="10"/>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the cause of action is libel or slander.</w:t>
      </w:r>
    </w:p>
    <w:p>
      <w:pPr>
        <w:spacing w:before="120"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Section 294(6) Subsection (3) does not absolve any of the corporations or bodies referred to in subsection (4)(a) to (h) from vicarious liability arising out of a tort committed by any of the individuals referred to in subsection (4) which the corporation or body would have been liable for had this section not been in force.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29</w:t>
      </w:r>
      <w:r>
        <w:rPr>
          <w:rFonts w:ascii="arial" w:eastAsia="arial" w:hAnsi="arial" w:cs="arial"/>
          <w:color w:val="000000"/>
          <w:sz w:val="20"/>
          <w:lang w:val="en-US" w:eastAsia="en-US" w:bidi="ar-SA"/>
        </w:rPr>
        <w:t xml:space="preserve">  Statutory interpretation requires the weighing of several different factors. In Pushpanathan v. Canada (Minister of Citizenship and Immigration) </w:t>
      </w:r>
      <w:hyperlink r:id="rId1199" w:history="1">
        <w:r>
          <w:rPr>
            <w:rFonts w:ascii="arial" w:eastAsia="arial" w:hAnsi="arial" w:cs="arial"/>
            <w:i/>
            <w:color w:val="0077CC"/>
            <w:sz w:val="20"/>
            <w:u w:val="single"/>
            <w:shd w:val="clear" w:color="auto" w:fill="FFFFFF"/>
            <w:lang w:val="en-US" w:eastAsia="en-US" w:bidi="ar-SA"/>
          </w:rPr>
          <w:t>(1998), 160 D.L.R. (4th) 193</w:t>
        </w:r>
      </w:hyperlink>
      <w:r>
        <w:rPr>
          <w:rFonts w:ascii="arial" w:eastAsia="arial" w:hAnsi="arial" w:cs="arial"/>
          <w:color w:val="000000"/>
          <w:sz w:val="20"/>
          <w:lang w:val="en-US" w:eastAsia="en-US" w:bidi="ar-SA"/>
        </w:rPr>
        <w:t xml:space="preserve"> (S.C.C.), Bastarache J. stated at para. 27:</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 xml:space="preserve">Since U.E.S., Local 298 v. Bibeault, </w:t>
      </w:r>
      <w:hyperlink r:id="rId1200" w:history="1">
        <w:r>
          <w:rPr>
            <w:rFonts w:ascii="arial" w:eastAsia="arial" w:hAnsi="arial" w:cs="arial"/>
            <w:i/>
            <w:color w:val="0077CC"/>
            <w:sz w:val="20"/>
            <w:u w:val="single"/>
            <w:shd w:val="clear" w:color="auto" w:fill="FFFFFF"/>
            <w:lang w:val="en-US" w:eastAsia="en-US" w:bidi="ar-SA"/>
          </w:rPr>
          <w:t>[1988] 2 S.C.R. 1048</w:t>
        </w:r>
      </w:hyperlink>
      <w:r>
        <w:rPr>
          <w:rFonts w:ascii="arial" w:eastAsia="arial" w:hAnsi="arial" w:cs="arial"/>
          <w:color w:val="000000"/>
          <w:sz w:val="20"/>
          <w:lang w:val="en-US" w:eastAsia="en-US" w:bidi="ar-SA"/>
        </w:rPr>
        <w:t>, this Court has determined that the task of statutory interpretation requires a weighing of several different factors, none of which are alone dispositive, and each of which provides an indication falling on a spectrum of the proper level of deference to be shown the decision in question. This has been dubbed the "pragmatic and functional" approach.</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30</w:t>
      </w:r>
      <w:r>
        <w:rPr>
          <w:rFonts w:ascii="arial" w:eastAsia="arial" w:hAnsi="arial" w:cs="arial"/>
          <w:color w:val="000000"/>
          <w:sz w:val="20"/>
          <w:lang w:val="en-US" w:eastAsia="en-US" w:bidi="ar-SA"/>
        </w:rPr>
        <w:t xml:space="preserve">  In Rizzo &amp; Rizzo Shoes Ltd. (Re), </w:t>
      </w:r>
      <w:hyperlink r:id="rId388" w:history="1">
        <w:r>
          <w:rPr>
            <w:rFonts w:ascii="arial" w:eastAsia="arial" w:hAnsi="arial" w:cs="arial"/>
            <w:i/>
            <w:color w:val="0077CC"/>
            <w:sz w:val="20"/>
            <w:u w:val="single"/>
            <w:shd w:val="clear" w:color="auto" w:fill="FFFFFF"/>
            <w:lang w:val="en-US" w:eastAsia="en-US" w:bidi="ar-SA"/>
          </w:rPr>
          <w:t>[1998] 1 S.C.R. 27</w:t>
        </w:r>
      </w:hyperlink>
      <w:r>
        <w:rPr>
          <w:rFonts w:ascii="arial" w:eastAsia="arial" w:hAnsi="arial" w:cs="arial"/>
          <w:color w:val="000000"/>
          <w:sz w:val="20"/>
          <w:lang w:val="en-US" w:eastAsia="en-US" w:bidi="ar-SA"/>
        </w:rPr>
        <w:t xml:space="preserve"> Iacobucci J., speaking for the Court, restated the fundamental principle of statutory construction in the following passage at para. 21:</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Although much has been written about the interpretation of legislation [citations omitted], Elmer Driedger in Construction of statutes (2d ed. 1983) best encapsulates the approach upon which I prefer to rely. He recognizes that statutory interpretation cannot be founded on the wording of the legislation alone. At p. 87 he states:</w:t>
      </w:r>
    </w:p>
    <w:p>
      <w:pPr>
        <w:spacing w:before="120" w:line="260" w:lineRule="atLeast"/>
        <w:ind w:left="1080"/>
        <w:rPr>
          <w:rFonts w:ascii="arial" w:eastAsia="arial" w:hAnsi="arial" w:cs="arial"/>
          <w:sz w:val="20"/>
          <w:lang w:val="en-US" w:eastAsia="en-US" w:bidi="ar-SA"/>
        </w:rPr>
      </w:pPr>
      <w:r>
        <w:rPr>
          <w:rFonts w:ascii="arial" w:eastAsia="arial" w:hAnsi="arial" w:cs="arial"/>
          <w:color w:val="000000"/>
          <w:sz w:val="20"/>
          <w:lang w:val="en-US" w:eastAsia="en-US" w:bidi="ar-SA"/>
        </w:rPr>
        <w:t>Today there is only one principle or approach, namely, the words of an Act are to be read in their entire context and in their grammatical and ordinary sense harmoniously with the scheme of the Act, the object of the Act, and the intention of Parliament.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31</w:t>
      </w:r>
      <w:r>
        <w:rPr>
          <w:rFonts w:ascii="arial" w:eastAsia="arial" w:hAnsi="arial" w:cs="arial"/>
          <w:color w:val="000000"/>
          <w:sz w:val="20"/>
          <w:lang w:val="en-US" w:eastAsia="en-US" w:bidi="ar-SA"/>
        </w:rPr>
        <w:t>  Applying these principles, it is clear that a corporate body such as the City cannot act except through its officers, agents, and employees - the civic public officers. The Vancouver Charter recognizes that these civic public officers may, while acting on behalf of the City, occasionally commit acts which give rise to a cause of action. The legislation protects such officers from the cost and trauma of facing and defending claims against them personally by making the City responsible for acts of the nature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32</w:t>
      </w:r>
      <w:r>
        <w:rPr>
          <w:rFonts w:ascii="arial" w:eastAsia="arial" w:hAnsi="arial" w:cs="arial"/>
          <w:color w:val="000000"/>
          <w:sz w:val="20"/>
          <w:lang w:val="en-US" w:eastAsia="en-US" w:bidi="ar-SA"/>
        </w:rPr>
        <w:t>  The Statement of Claim does not allege that Maitland did anything separate from those acts alleged to have been done by the City. In fact, the Plaintiffs specifically state in Paragraph 98 of the Statement of Claim that at all times Maitland acted in the course and scope of his employment. The legislation is clear that in such cases the remedy, if any, rests against the City, not against the civic public officer personally.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33</w:t>
      </w:r>
      <w:r>
        <w:rPr>
          <w:rFonts w:ascii="arial" w:eastAsia="arial" w:hAnsi="arial" w:cs="arial"/>
          <w:color w:val="000000"/>
          <w:sz w:val="20"/>
          <w:lang w:val="en-US" w:eastAsia="en-US" w:bidi="ar-SA"/>
        </w:rPr>
        <w:t>  The City agrees that Maitland acted at all material times in the course and scope of his employment and that the City is therefore vicariously liable for any torts committed by him in relation to the allegations contained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34</w:t>
      </w:r>
      <w:r>
        <w:rPr>
          <w:rFonts w:ascii="arial" w:eastAsia="arial" w:hAnsi="arial" w:cs="arial"/>
          <w:color w:val="000000"/>
          <w:sz w:val="20"/>
          <w:lang w:val="en-US" w:eastAsia="en-US" w:bidi="ar-SA"/>
        </w:rPr>
        <w:t xml:space="preserve">  The exception to this protection contained in section 294(5) does not, in my view, apply in the present case. The Plaintiffs do not allege dishonesty, gross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wilful misconduct, or a cause of action based on libel or slander. While the Statement of Claim makes a passing reference to an allegation of malice in paragraph 97, there are, in my view, insufficient particulars to support a claim of malicious misconduct such as would engage subsection (5). It would be contrary to the clear intentions of the Legislature to permit a claim against a civic public officer on the strength of a mere reference to malice without more.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35</w:t>
      </w:r>
      <w:r>
        <w:rPr>
          <w:rFonts w:ascii="arial" w:eastAsia="arial" w:hAnsi="arial" w:cs="arial"/>
          <w:color w:val="000000"/>
          <w:sz w:val="20"/>
          <w:lang w:val="en-US" w:eastAsia="en-US" w:bidi="ar-SA"/>
        </w:rPr>
        <w:t>  On the basis of the foregoing, I order that the action against Maitland be dismissed as it is statute barred by virtue of section 294(3) of the Vancouver Charter.</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36</w:t>
      </w:r>
      <w:r>
        <w:rPr>
          <w:rFonts w:ascii="arial" w:eastAsia="arial" w:hAnsi="arial" w:cs="arial"/>
          <w:color w:val="000000"/>
          <w:sz w:val="20"/>
          <w:lang w:val="en-US" w:eastAsia="en-US" w:bidi="ar-SA"/>
        </w:rPr>
        <w:t>  I now turn to the more difficult issue of whether it is "plain and obvious" that the Statement of Claim discloses no reasonable claim.</w:t>
      </w:r>
      <w:r>
        <w:rPr>
          <w:rFonts w:ascii="arial" w:eastAsia="arial" w:hAnsi="arial" w:cs="arial"/>
          <w:sz w:val="20"/>
          <w:lang w:val="en-US" w:eastAsia="en-US" w:bidi="ar-SA"/>
        </w:rPr>
        <w:cr/>
      </w:r>
    </w:p>
    <w:p>
      <w:pPr>
        <w:numPr>
          <w:numId w:val="1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Is it "plain and obvious" that the Statement of Claim discloses no reasonable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a. The Law</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37</w:t>
      </w:r>
      <w:r>
        <w:rPr>
          <w:rFonts w:ascii="arial" w:eastAsia="arial" w:hAnsi="arial" w:cs="arial"/>
          <w:color w:val="000000"/>
          <w:sz w:val="20"/>
          <w:lang w:val="en-US" w:eastAsia="en-US" w:bidi="ar-SA"/>
        </w:rPr>
        <w:t xml:space="preserve">  On an application to strike under Rule 19(24)(a), the Defendants must show that it is "plain and obvious" that the Statement of Claim discloses no reasonable claim: Hunt v. Carey Canada Inc., supra. It is to be assumed that evidence is available to establish the allegations contained in the pleadings; for the purpose of this rule, therefore, the pleadings must be taken as true: Hunt v. Carey Canada Inc., supra; Braun Investment Group Inc. v. Emco Investment Corporation </w:t>
      </w:r>
      <w:hyperlink r:id="rId1201" w:history="1">
        <w:r>
          <w:rPr>
            <w:rFonts w:ascii="arial" w:eastAsia="arial" w:hAnsi="arial" w:cs="arial"/>
            <w:i/>
            <w:color w:val="0077CC"/>
            <w:sz w:val="20"/>
            <w:u w:val="single"/>
            <w:shd w:val="clear" w:color="auto" w:fill="FFFFFF"/>
            <w:lang w:val="en-US" w:eastAsia="en-US" w:bidi="ar-SA"/>
          </w:rPr>
          <w:t>(1985), 58 B.C.L.R. 396</w:t>
        </w:r>
      </w:hyperlink>
      <w:r>
        <w:rPr>
          <w:rFonts w:ascii="arial" w:eastAsia="arial" w:hAnsi="arial" w:cs="arial"/>
          <w:color w:val="000000"/>
          <w:sz w:val="20"/>
          <w:lang w:val="en-US" w:eastAsia="en-US" w:bidi="ar-SA"/>
        </w:rPr>
        <w:t xml:space="preserve"> (B.C.S.C.); Rule 19(27). The issue to be determined is whether there is a question to be tried, regardless of its complexity. This issue must be decided on the basis of the pleadings as they stand or as they might be amended: Kripps v. Touche Ross &amp; Co. </w:t>
      </w:r>
      <w:hyperlink r:id="rId1202" w:history="1">
        <w:r>
          <w:rPr>
            <w:rFonts w:ascii="arial" w:eastAsia="arial" w:hAnsi="arial" w:cs="arial"/>
            <w:i/>
            <w:color w:val="0077CC"/>
            <w:sz w:val="20"/>
            <w:u w:val="single"/>
            <w:shd w:val="clear" w:color="auto" w:fill="FFFFFF"/>
            <w:lang w:val="en-US" w:eastAsia="en-US" w:bidi="ar-SA"/>
          </w:rPr>
          <w:t>(1992), 69 B.C.L.R. (2d) 62</w:t>
        </w:r>
      </w:hyperlink>
      <w:r>
        <w:rPr>
          <w:rFonts w:ascii="arial" w:eastAsia="arial" w:hAnsi="arial" w:cs="arial"/>
          <w:color w:val="000000"/>
          <w:sz w:val="20"/>
          <w:lang w:val="en-US" w:eastAsia="en-US" w:bidi="ar-SA"/>
        </w:rPr>
        <w:t xml:space="preserve"> (B.C.C.A.). If the Plaintiff has a plausible argument which ought to be heard at trial, an application under Rule 19(24) must be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38</w:t>
      </w:r>
      <w:r>
        <w:rPr>
          <w:rFonts w:ascii="arial" w:eastAsia="arial" w:hAnsi="arial" w:cs="arial"/>
          <w:color w:val="000000"/>
          <w:sz w:val="20"/>
          <w:lang w:val="en-US" w:eastAsia="en-US" w:bidi="ar-SA"/>
        </w:rPr>
        <w:t xml:space="preserve">  In the Statement of Claim, all of the Plaintiffs seek damages for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and injurious falsehood. In addition, the Prepaid Plaintiffs seek damages for negligent misrepresentation and deceit. I now intend to deal with each of the headings under which damages are claimed.</w:t>
      </w:r>
      <w:r>
        <w:rPr>
          <w:rFonts w:ascii="arial" w:eastAsia="arial" w:hAnsi="arial" w:cs="arial"/>
          <w:sz w:val="20"/>
          <w:lang w:val="en-US" w:eastAsia="en-US" w:bidi="ar-SA"/>
        </w:rPr>
        <w:cr/>
      </w:r>
    </w:p>
    <w:p>
      <w:pPr>
        <w:numPr>
          <w:numId w:val="12"/>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b/>
          <w:i/>
          <w:color w:val="000000"/>
          <w:sz w:val="20"/>
          <w:u w:val="single"/>
          <w:lang w:val="en-US" w:eastAsia="en-US" w:bidi="ar-SA"/>
        </w:rPr>
        <w:t>Negligence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39</w:t>
      </w:r>
      <w:r>
        <w:rPr>
          <w:rFonts w:ascii="arial" w:eastAsia="arial" w:hAnsi="arial" w:cs="arial"/>
          <w:color w:val="000000"/>
          <w:sz w:val="20"/>
          <w:lang w:val="en-US" w:eastAsia="en-US" w:bidi="ar-SA"/>
        </w:rPr>
        <w:t xml:space="preserve">  All of the Plaintiffs advance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allegations are that the prepayment amounts and the Demand and Appraisal Misrepresentations were "disseminated" to the public in meetings commencing in June of 1993. It is alleged that by disseminating that information to the public, the Defendants adversely affected the market value of all of the properties and made it difficult for some of the Plaintiffs to sell them. The Plaintiffs further allege that the Defendants knew that by making the misrepresentations to third parties the properties would be devalued.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40</w:t>
      </w:r>
      <w:r>
        <w:rPr>
          <w:rFonts w:ascii="arial" w:eastAsia="arial" w:hAnsi="arial" w:cs="arial"/>
          <w:color w:val="000000"/>
          <w:sz w:val="20"/>
          <w:lang w:val="en-US" w:eastAsia="en-US" w:bidi="ar-SA"/>
        </w:rPr>
        <w:t xml:space="preserve">  To succeed on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the Plaintiffs must show, inter alia, that the Defendants owed them a duty of care, that they breached that duty, and that the breach caused the damages alleged.</w:t>
      </w:r>
      <w:r>
        <w:rPr>
          <w:rFonts w:ascii="arial" w:eastAsia="arial" w:hAnsi="arial" w:cs="arial"/>
          <w:sz w:val="20"/>
          <w:lang w:val="en-US" w:eastAsia="en-US" w:bidi="ar-SA"/>
        </w:rPr>
        <w:cr/>
      </w:r>
    </w:p>
    <w:p>
      <w:pPr>
        <w:numPr>
          <w:numId w:val="14"/>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41</w:t>
      </w:r>
      <w:r>
        <w:rPr>
          <w:rFonts w:ascii="arial" w:eastAsia="arial" w:hAnsi="arial" w:cs="arial"/>
          <w:color w:val="000000"/>
          <w:sz w:val="20"/>
          <w:lang w:val="en-US" w:eastAsia="en-US" w:bidi="ar-SA"/>
        </w:rPr>
        <w:t xml:space="preserve">  The threshold question in relation to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is whether the City owed a duty of care to the leaseholders not to act negligently in the course of their dealings regarding prepayment.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42</w:t>
      </w:r>
      <w:r>
        <w:rPr>
          <w:rFonts w:ascii="arial" w:eastAsia="arial" w:hAnsi="arial" w:cs="arial"/>
          <w:color w:val="000000"/>
          <w:sz w:val="20"/>
          <w:lang w:val="en-US" w:eastAsia="en-US" w:bidi="ar-SA"/>
        </w:rPr>
        <w:t xml:space="preserve">  The Defendants submit that the damages the Plaintiffs allege they have suffered constitute pure economic loss, a category of damage potentially recoverable in only a limited set of circumstances. The situations in which courts have been prepared to extend a duty of care with respect to pure economic loss were canvassed by the Supreme Court of Canada in Martel Building Ltd. v. Canada, </w:t>
      </w:r>
      <w:hyperlink r:id="rId1203" w:history="1">
        <w:r>
          <w:rPr>
            <w:rFonts w:ascii="arial" w:eastAsia="arial" w:hAnsi="arial" w:cs="arial"/>
            <w:i/>
            <w:color w:val="0077CC"/>
            <w:sz w:val="20"/>
            <w:u w:val="single"/>
            <w:shd w:val="clear" w:color="auto" w:fill="FFFFFF"/>
            <w:lang w:val="en-US" w:eastAsia="en-US" w:bidi="ar-SA"/>
          </w:rPr>
          <w:t>[2000] 2 S.C.R. 860</w:t>
        </w:r>
      </w:hyperlink>
      <w:r>
        <w:rPr>
          <w:rFonts w:ascii="arial" w:eastAsia="arial" w:hAnsi="arial" w:cs="arial"/>
          <w:color w:val="000000"/>
          <w:sz w:val="20"/>
          <w:lang w:val="en-US" w:eastAsia="en-US" w:bidi="ar-SA"/>
        </w:rPr>
        <w:t xml:space="preserve">, and set out in the recent British Columbia Court of Appeal decision in M. Hasegawa &amp; Co. v. Pepsi Bottling Group (Canada), Co. </w:t>
      </w:r>
      <w:hyperlink r:id="rId1204" w:history="1">
        <w:r>
          <w:rPr>
            <w:rFonts w:ascii="arial" w:eastAsia="arial" w:hAnsi="arial" w:cs="arial"/>
            <w:i/>
            <w:color w:val="0077CC"/>
            <w:sz w:val="20"/>
            <w:u w:val="single"/>
            <w:shd w:val="clear" w:color="auto" w:fill="FFFFFF"/>
            <w:lang w:val="en-US" w:eastAsia="en-US" w:bidi="ar-SA"/>
          </w:rPr>
          <w:t>(2002), 1 B.C.L.R. (4th) 209</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involving the independent liability of statutory public authorities;</w:t>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of negligent misrepresentation;</w:t>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involving negligent performance of a service;</w:t>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of negligent supply of shoddy goods or structures; and</w:t>
      </w:r>
    </w:p>
    <w:p>
      <w:pPr>
        <w:numPr>
          <w:numId w:val="15"/>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cases of relational economic loss (flowing from physical damage).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43</w:t>
      </w:r>
      <w:r>
        <w:rPr>
          <w:rFonts w:ascii="arial" w:eastAsia="arial" w:hAnsi="arial" w:cs="arial"/>
          <w:color w:val="000000"/>
          <w:sz w:val="20"/>
          <w:lang w:val="en-US" w:eastAsia="en-US" w:bidi="ar-SA"/>
        </w:rPr>
        <w:t xml:space="preserve">  The Defendants submit that the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claim in the case at bar does not fall into any of these categories and therefore cannot stand.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44</w:t>
      </w:r>
      <w:r>
        <w:rPr>
          <w:rFonts w:ascii="arial" w:eastAsia="arial" w:hAnsi="arial" w:cs="arial"/>
          <w:color w:val="000000"/>
          <w:sz w:val="20"/>
          <w:lang w:val="en-US" w:eastAsia="en-US" w:bidi="ar-SA"/>
        </w:rPr>
        <w:t xml:space="preserve">  In Martel, supra, the Supreme Court of Canada addressed whether a duty of care should be owed in the context of pre-contractual negotiations. That case involved a negotiation between a landlord and tenant respecting a lease renewal. The Federal Court Trial Division found that the landlord owed and breached a duty of care in its conduct of the negotiations. The Federal Court of Appeal affirmed that decision. The Supreme Court of Canada applied the two-stage Anns test and, while finding that there was a sufficiently close relationship to establish a prima facie duty of care, concluded that there were compelling policy reasons to negate that duty of care in the context of pre-contractual negotiations: first, the very object of negotiation is to achieve the best financial bargain for oneself; second, to extend a duty to negotiations could deter socially and economically useful competitive behaviour; third, to impose a duty could make tort law after-the-fact insurance against failures to act with due diligence or to hedge the risk of failed negotiations; fourth, to extend the tort of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into negotiations would introduce the courts to a significant regulatory function; and finally, to extend the tort in this way could encourage needless litigation.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45</w:t>
      </w:r>
      <w:r>
        <w:rPr>
          <w:rFonts w:ascii="arial" w:eastAsia="arial" w:hAnsi="arial" w:cs="arial"/>
          <w:color w:val="000000"/>
          <w:sz w:val="20"/>
          <w:lang w:val="en-US" w:eastAsia="en-US" w:bidi="ar-SA"/>
        </w:rPr>
        <w:t xml:space="preserve">  Martel, supra, was followed by this Court in Minardi Team S.p.A. v. Clearly Canadian Beverage Corp., </w:t>
      </w:r>
      <w:hyperlink r:id="rId1205" w:history="1">
        <w:r>
          <w:rPr>
            <w:rFonts w:ascii="arial" w:eastAsia="arial" w:hAnsi="arial" w:cs="arial"/>
            <w:i/>
            <w:color w:val="0077CC"/>
            <w:sz w:val="20"/>
            <w:u w:val="single"/>
            <w:shd w:val="clear" w:color="auto" w:fill="FFFFFF"/>
            <w:lang w:val="en-US" w:eastAsia="en-US" w:bidi="ar-SA"/>
          </w:rPr>
          <w:t>[2001] B.C.J. No. 81</w:t>
        </w:r>
      </w:hyperlink>
      <w:r>
        <w:rPr>
          <w:rFonts w:ascii="arial" w:eastAsia="arial" w:hAnsi="arial" w:cs="arial"/>
          <w:color w:val="000000"/>
          <w:sz w:val="20"/>
          <w:lang w:val="en-US" w:eastAsia="en-US" w:bidi="ar-SA"/>
        </w:rPr>
        <w:t xml:space="preserve"> (B.C.S.C.). Levine J. characterized the relationship between Minardi and Clearly Canadian as one, at its highest, of two parties engaged in pre-contractual negotiations of an economic relationship. Such negotiations, she held, by their nature resulted in gains for one party at the expense of another. She noted at para. 96 that "[t]he Supreme Court of Canada found that protection of such economic loss would defeat the essence of negotiation and hobble the marketplace by discouraging economically efficient competitive behaviour." Levine J. declined to find a duty of care in the circumstances.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46</w:t>
      </w:r>
      <w:r>
        <w:rPr>
          <w:rFonts w:ascii="arial" w:eastAsia="arial" w:hAnsi="arial" w:cs="arial"/>
          <w:color w:val="000000"/>
          <w:sz w:val="20"/>
          <w:lang w:val="en-US" w:eastAsia="en-US" w:bidi="ar-SA"/>
        </w:rPr>
        <w:t xml:space="preserve">  Martel, supra, was also followed by the Alberta Court of Appeal in both Gross v. Great-West Life Assurance Co., </w:t>
      </w:r>
      <w:hyperlink r:id="rId1206" w:history="1">
        <w:r>
          <w:rPr>
            <w:rFonts w:ascii="arial" w:eastAsia="arial" w:hAnsi="arial" w:cs="arial"/>
            <w:i/>
            <w:color w:val="0077CC"/>
            <w:sz w:val="20"/>
            <w:u w:val="single"/>
            <w:shd w:val="clear" w:color="auto" w:fill="FFFFFF"/>
            <w:lang w:val="en-US" w:eastAsia="en-US" w:bidi="ar-SA"/>
          </w:rPr>
          <w:t>[2002] 4 W.W.R. 421</w:t>
        </w:r>
      </w:hyperlink>
      <w:r>
        <w:rPr>
          <w:rFonts w:ascii="arial" w:eastAsia="arial" w:hAnsi="arial" w:cs="arial"/>
          <w:color w:val="000000"/>
          <w:sz w:val="20"/>
          <w:lang w:val="en-US" w:eastAsia="en-US" w:bidi="ar-SA"/>
        </w:rPr>
        <w:t xml:space="preserve"> and Radhakrishnan v. University of Calgary Faculty Association </w:t>
      </w:r>
      <w:hyperlink r:id="rId1207" w:history="1">
        <w:r>
          <w:rPr>
            <w:rFonts w:ascii="arial" w:eastAsia="arial" w:hAnsi="arial" w:cs="arial"/>
            <w:i/>
            <w:color w:val="0077CC"/>
            <w:sz w:val="20"/>
            <w:u w:val="single"/>
            <w:shd w:val="clear" w:color="auto" w:fill="FFFFFF"/>
            <w:lang w:val="en-US" w:eastAsia="en-US" w:bidi="ar-SA"/>
          </w:rPr>
          <w:t>(2002), 215 D.L.R. (4th) 624</w:t>
        </w:r>
      </w:hyperlink>
      <w:r>
        <w:rPr>
          <w:rFonts w:ascii="arial" w:eastAsia="arial" w:hAnsi="arial" w:cs="arial"/>
          <w:color w:val="000000"/>
          <w:sz w:val="20"/>
          <w:lang w:val="en-US" w:eastAsia="en-US" w:bidi="ar-SA"/>
        </w:rPr>
        <w:t xml:space="preserve">, and by the Ontario Court of Appeal in 978011 Ontario Ltd. v. Cornell Engineering Co. </w:t>
      </w:r>
      <w:hyperlink r:id="rId1208" w:history="1">
        <w:r>
          <w:rPr>
            <w:rFonts w:ascii="arial" w:eastAsia="arial" w:hAnsi="arial" w:cs="arial"/>
            <w:i/>
            <w:color w:val="0077CC"/>
            <w:sz w:val="20"/>
            <w:u w:val="single"/>
            <w:shd w:val="clear" w:color="auto" w:fill="FFFFFF"/>
            <w:lang w:val="en-US" w:eastAsia="en-US" w:bidi="ar-SA"/>
          </w:rPr>
          <w:t>(2001), 198 D.L.R. (4th) 615</w:t>
        </w:r>
      </w:hyperlink>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47</w:t>
      </w:r>
      <w:r>
        <w:rPr>
          <w:rFonts w:ascii="arial" w:eastAsia="arial" w:hAnsi="arial" w:cs="arial"/>
          <w:color w:val="000000"/>
          <w:sz w:val="20"/>
          <w:lang w:val="en-US" w:eastAsia="en-US" w:bidi="ar-SA"/>
        </w:rPr>
        <w:t xml:space="preserve">  A further case applying Martel, supra, in circumstances similar to the case at bar is Pantlin v. Toronto, </w:t>
      </w:r>
      <w:hyperlink r:id="rId1209" w:history="1">
        <w:r>
          <w:rPr>
            <w:rFonts w:ascii="arial" w:eastAsia="arial" w:hAnsi="arial" w:cs="arial"/>
            <w:i/>
            <w:color w:val="0077CC"/>
            <w:sz w:val="20"/>
            <w:u w:val="single"/>
            <w:shd w:val="clear" w:color="auto" w:fill="FFFFFF"/>
            <w:lang w:val="en-US" w:eastAsia="en-US" w:bidi="ar-SA"/>
          </w:rPr>
          <w:t>[2002] O.J. No. 2740</w:t>
        </w:r>
      </w:hyperlink>
      <w:r>
        <w:rPr>
          <w:rFonts w:ascii="arial" w:eastAsia="arial" w:hAnsi="arial" w:cs="arial"/>
          <w:color w:val="000000"/>
          <w:sz w:val="20"/>
          <w:lang w:val="en-US" w:eastAsia="en-US" w:bidi="ar-SA"/>
        </w:rPr>
        <w:t xml:space="preserve"> (Ont. Sup. Ct. J.). The plaintiff wished to purchase the house he was leasing from the city. The city acted negligently in the ensuing negotiations, as a result of which the plaintiff was unable to buy the house for the price originally planned. The Court held that the city did not owe the plaintiff a 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48</w:t>
      </w:r>
      <w:r>
        <w:rPr>
          <w:rFonts w:ascii="arial" w:eastAsia="arial" w:hAnsi="arial" w:cs="arial"/>
          <w:color w:val="000000"/>
          <w:sz w:val="20"/>
          <w:lang w:val="en-US" w:eastAsia="en-US" w:bidi="ar-SA"/>
        </w:rPr>
        <w:t>  It is notable that Pantlin dealt with a relationship between a private individual and a municipality. Similarly, the plaintiffs in Gross, supra, and 978011 Ontario Ltd, supra, were private individuals, not sophisticated corporate entities. The Defendants submit that the Martel analysis is therefore not restricted to cases involving negotiations between two sophisticated commercial parties.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49</w:t>
      </w:r>
      <w:r>
        <w:rPr>
          <w:rFonts w:ascii="arial" w:eastAsia="arial" w:hAnsi="arial" w:cs="arial"/>
          <w:color w:val="000000"/>
          <w:sz w:val="20"/>
          <w:lang w:val="en-US" w:eastAsia="en-US" w:bidi="ar-SA"/>
        </w:rPr>
        <w:t>  The Defendants submit that the prepayment option was a new bargain between the parties and that the conduct leading to its implementation therefore constituted pre-contractual negotiations. Accordingly, they submit, they did not owe a duty of care to the Plaintiffs with respect to those allegations in the Statement of Claim.</w:t>
      </w:r>
      <w:r>
        <w:rPr>
          <w:rFonts w:ascii="arial" w:eastAsia="arial" w:hAnsi="arial" w:cs="arial"/>
          <w:sz w:val="20"/>
          <w:lang w:val="en-US" w:eastAsia="en-US" w:bidi="ar-SA"/>
        </w:rPr>
        <w:cr/>
      </w:r>
    </w:p>
    <w:p>
      <w:pPr>
        <w:numPr>
          <w:numId w:val="16"/>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Causation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50</w:t>
      </w:r>
      <w:r>
        <w:rPr>
          <w:rFonts w:ascii="arial" w:eastAsia="arial" w:hAnsi="arial" w:cs="arial"/>
          <w:color w:val="000000"/>
          <w:sz w:val="20"/>
          <w:lang w:val="en-US" w:eastAsia="en-US" w:bidi="ar-SA"/>
        </w:rPr>
        <w:t>  Even if a duty of care is established, the Plaintiffs must also prove that the City caused them loss. Here the allegation is that the properties were devalued as a result of the public receiving information negligently disseminated by the City. However, the Defendants submit, the information allegedly disseminated was not of a type that would have resulted in the devaluation of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51</w:t>
      </w:r>
      <w:r>
        <w:rPr>
          <w:rFonts w:ascii="arial" w:eastAsia="arial" w:hAnsi="arial" w:cs="arial"/>
          <w:color w:val="000000"/>
          <w:sz w:val="20"/>
          <w:lang w:val="en-US" w:eastAsia="en-US" w:bidi="ar-SA"/>
        </w:rPr>
        <w:t xml:space="preserve">  The Defendants submit that the information consisted of the prepayment amounts (which the Plaintiffs say were too high, thereby suggesting a higher property value than was reasonable), the Demand Misrepresentation (which would be innocuous to outsiders) and the Appraisal Misrepresentation (which again would be innocuous to outsiders or would tend to support the veracity of the "high" prepayment values). They submit that even if those representations were made to the public and even if there was some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in so doing, they could not have had any deleterious effect on the value of the Plaintiffs' properties.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52</w:t>
      </w:r>
      <w:r>
        <w:rPr>
          <w:rFonts w:ascii="arial" w:eastAsia="arial" w:hAnsi="arial" w:cs="arial"/>
          <w:color w:val="000000"/>
          <w:sz w:val="20"/>
          <w:lang w:val="en-US" w:eastAsia="en-US" w:bidi="ar-SA"/>
        </w:rPr>
        <w:t xml:space="preserve">  In light of the foregoing, the Defendants submit that it is plain and obvious from the facts alleged in the Statement of Claim that the Plaintiffs cannot succeed in any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53</w:t>
      </w:r>
      <w:r>
        <w:rPr>
          <w:rFonts w:ascii="arial" w:eastAsia="arial" w:hAnsi="arial" w:cs="arial"/>
          <w:color w:val="000000"/>
          <w:sz w:val="20"/>
          <w:lang w:val="en-US" w:eastAsia="en-US" w:bidi="ar-SA"/>
        </w:rPr>
        <w:t xml:space="preserve">  While the Defendants' submissions are impressive, after reviewing the Plaintiffs' Statement of Claim, I am unable to conclude that it is plain and obvious that they cannot succeed in a claim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1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54</w:t>
      </w:r>
      <w:r>
        <w:rPr>
          <w:rFonts w:ascii="arial" w:eastAsia="arial" w:hAnsi="arial" w:cs="arial"/>
          <w:color w:val="000000"/>
          <w:sz w:val="20"/>
          <w:lang w:val="en-US" w:eastAsia="en-US" w:bidi="ar-SA"/>
        </w:rPr>
        <w:t xml:space="preserve">  The Plaintiffs' claims for injurious falsehood appear to be based on the same allegations as those with respect to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except with an additional mention of malice. The Defendants submit, however, that in order to establish a claim in injurious falsehood, the Plaintiffs must demonstrate that:</w:t>
      </w:r>
      <w:r>
        <w:rPr>
          <w:rFonts w:ascii="arial" w:eastAsia="arial" w:hAnsi="arial" w:cs="arial"/>
          <w:sz w:val="20"/>
          <w:lang w:val="en-US" w:eastAsia="en-US" w:bidi="ar-SA"/>
        </w:rPr>
        <w:cr/>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communicated an untrue statement about the Plaintiffs' property to a third party;</w:t>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did so with malice (or at least an absence of bona fides in a situation where the statement would necessarily lead to a detriment); and</w:t>
      </w:r>
    </w:p>
    <w:p>
      <w:pPr>
        <w:numPr>
          <w:numId w:val="20"/>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damage resulted to the Plaintiffs as a result of such communication.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See N R Developments Ltd. v. Thomas, </w:t>
      </w:r>
      <w:hyperlink r:id="rId1210" w:history="1">
        <w:r>
          <w:rPr>
            <w:rFonts w:ascii="arial" w:eastAsia="arial" w:hAnsi="arial" w:cs="arial"/>
            <w:i/>
            <w:color w:val="0077CC"/>
            <w:sz w:val="20"/>
            <w:u w:val="single"/>
            <w:shd w:val="clear" w:color="auto" w:fill="FFFFFF"/>
            <w:lang w:val="en-US" w:eastAsia="en-US" w:bidi="ar-SA"/>
          </w:rPr>
          <w:t>[2002] B.C.J. No. 971</w:t>
        </w:r>
      </w:hyperlink>
      <w:r>
        <w:rPr>
          <w:rFonts w:ascii="arial" w:eastAsia="arial" w:hAnsi="arial" w:cs="arial"/>
          <w:color w:val="000000"/>
          <w:sz w:val="20"/>
          <w:lang w:val="en-US" w:eastAsia="en-US" w:bidi="ar-SA"/>
        </w:rPr>
        <w:t xml:space="preserve"> (B.C.S.C).</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55</w:t>
      </w:r>
      <w:r>
        <w:rPr>
          <w:rFonts w:ascii="arial" w:eastAsia="arial" w:hAnsi="arial" w:cs="arial"/>
          <w:color w:val="000000"/>
          <w:sz w:val="20"/>
          <w:lang w:val="en-US" w:eastAsia="en-US" w:bidi="ar-SA"/>
        </w:rPr>
        <w:t>  The Defendants submit that the facts alleged in the Statement of Claim do not establish these necessary elements. They submit firstly that the statements the Plaintiffs allege were made by the Defendants were not about the Plaintiffs' property itself. Rather, they were about the reason for offering prepayment options and the nature of the appraisal evidence used by the City to formulate its offer. Accordingly, they submit, these allegations do not satisfy the first requirement of the factual allegations necessary to make out the tort of injurious falsehood.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56</w:t>
      </w:r>
      <w:r>
        <w:rPr>
          <w:rFonts w:ascii="arial" w:eastAsia="arial" w:hAnsi="arial" w:cs="arial"/>
          <w:color w:val="000000"/>
          <w:sz w:val="20"/>
          <w:lang w:val="en-US" w:eastAsia="en-US" w:bidi="ar-SA"/>
        </w:rPr>
        <w:t xml:space="preserve">  Secondly, the Defendants point out that the Supreme Court of Canada has held that the question of honesty or dishonesty in publication may be the determining factor as to whether the action lies: Manitoba Free Press Company v. Nagy </w:t>
      </w:r>
      <w:hyperlink r:id="rId1211" w:history="1">
        <w:r>
          <w:rPr>
            <w:rFonts w:ascii="arial" w:eastAsia="arial" w:hAnsi="arial" w:cs="arial"/>
            <w:i/>
            <w:color w:val="0077CC"/>
            <w:sz w:val="20"/>
            <w:u w:val="single"/>
            <w:shd w:val="clear" w:color="auto" w:fill="FFFFFF"/>
            <w:lang w:val="en-US" w:eastAsia="en-US" w:bidi="ar-SA"/>
          </w:rPr>
          <w:t>(1907), 39 S.C.R. 340</w:t>
        </w:r>
      </w:hyperlink>
      <w:r>
        <w:rPr>
          <w:rFonts w:ascii="arial" w:eastAsia="arial" w:hAnsi="arial" w:cs="arial"/>
          <w:color w:val="000000"/>
          <w:sz w:val="20"/>
          <w:lang w:val="en-US" w:eastAsia="en-US" w:bidi="ar-SA"/>
        </w:rPr>
        <w:t xml:space="preserve">. This case was recently applied in Boehringer Ingelheim (Canada) Ltd. v. Bristol-Myers Squibb Canada Inc., </w:t>
      </w:r>
      <w:hyperlink r:id="rId1212" w:history="1">
        <w:r>
          <w:rPr>
            <w:rFonts w:ascii="arial" w:eastAsia="arial" w:hAnsi="arial" w:cs="arial"/>
            <w:i/>
            <w:color w:val="0077CC"/>
            <w:sz w:val="20"/>
            <w:u w:val="single"/>
            <w:shd w:val="clear" w:color="auto" w:fill="FFFFFF"/>
            <w:lang w:val="en-US" w:eastAsia="en-US" w:bidi="ar-SA"/>
          </w:rPr>
          <w:t>[1998] O.J. No. 1932</w:t>
        </w:r>
      </w:hyperlink>
      <w:r>
        <w:rPr>
          <w:rFonts w:ascii="arial" w:eastAsia="arial" w:hAnsi="arial" w:cs="arial"/>
          <w:color w:val="000000"/>
          <w:sz w:val="20"/>
          <w:lang w:val="en-US" w:eastAsia="en-US" w:bidi="ar-SA"/>
        </w:rPr>
        <w:t xml:space="preserve"> (Ont. Ct. of J.), where the Court held that in order to make out a claim in injurious falsehood the plaintiff must establish actual malice, or at least an absence of bona fides such as the reckless publication of a falsehood, the natural result of which would be to cause damage to the plaintiff.</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57</w:t>
      </w:r>
      <w:r>
        <w:rPr>
          <w:rFonts w:ascii="arial" w:eastAsia="arial" w:hAnsi="arial" w:cs="arial"/>
          <w:color w:val="000000"/>
          <w:sz w:val="20"/>
          <w:lang w:val="en-US" w:eastAsia="en-US" w:bidi="ar-SA"/>
        </w:rPr>
        <w:t>  The Defendants submit that in the circumstances of the case at bar it is entirely implausible for the Plaintiffs to suggest that the City acted with actual malice as against all of the leaseholders of False Creek. They submit that no factual basis for the allegation of malice is set out in the Statement of Claim and the allegation itself is not pleaded with any particularity.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58</w:t>
      </w:r>
      <w:r>
        <w:rPr>
          <w:rFonts w:ascii="arial" w:eastAsia="arial" w:hAnsi="arial" w:cs="arial"/>
          <w:color w:val="000000"/>
          <w:sz w:val="20"/>
          <w:lang w:val="en-US" w:eastAsia="en-US" w:bidi="ar-SA"/>
        </w:rPr>
        <w:t>  Finally, the Defendants submit that the alleged statements are not of a character that would necessarily lead to devaluation of the properties. They say they are not statements about the property itself and, if anything, act to enhance its value. The Defendants therefore submit that the claim in injurious falsehood is bound to fail.</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59</w:t>
      </w:r>
      <w:r>
        <w:rPr>
          <w:rFonts w:ascii="arial" w:eastAsia="arial" w:hAnsi="arial" w:cs="arial"/>
          <w:color w:val="000000"/>
          <w:sz w:val="20"/>
          <w:lang w:val="en-US" w:eastAsia="en-US" w:bidi="ar-SA"/>
        </w:rPr>
        <w:t>  On close analysis of the Statement of Claim, I find it is clear that the Plaintiffs did plead malice on the part of the Defendants. In any event, I am unable, after reading the Statement of Claim, to find that it is plain and obvious that the Statement of Claim discloses no reasonable claim.</w:t>
      </w:r>
      <w:r>
        <w:rPr>
          <w:rFonts w:ascii="arial" w:eastAsia="arial" w:hAnsi="arial" w:cs="arial"/>
          <w:sz w:val="20"/>
          <w:lang w:val="en-US" w:eastAsia="en-US" w:bidi="ar-SA"/>
        </w:rPr>
        <w:cr/>
      </w:r>
    </w:p>
    <w:p>
      <w:pPr>
        <w:numPr>
          <w:numId w:val="21"/>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Negligent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60</w:t>
      </w:r>
      <w:r>
        <w:rPr>
          <w:rFonts w:ascii="arial" w:eastAsia="arial" w:hAnsi="arial" w:cs="arial"/>
          <w:color w:val="000000"/>
          <w:sz w:val="20"/>
          <w:lang w:val="en-US" w:eastAsia="en-US" w:bidi="ar-SA"/>
        </w:rPr>
        <w:t>  The Prepaid Plaintiffs allege that the City made two types of misrepresentation: the Demand Misrepresentations to the effect that the prepayment option was offered in response to demand from leaseholders; and the Appraisal Misrepresentations to the effect that the prepayment amounts had been calculated based on independent appraisals. The Prepaid Plaintiffs allege that both misrepresentations encouraged them to accept the prepayment option when they otherwise would have declined or attempted to negotiate a lower prepayment amount.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61</w:t>
      </w:r>
      <w:r>
        <w:rPr>
          <w:rFonts w:ascii="arial" w:eastAsia="arial" w:hAnsi="arial" w:cs="arial"/>
          <w:color w:val="000000"/>
          <w:sz w:val="20"/>
          <w:lang w:val="en-US" w:eastAsia="en-US" w:bidi="ar-SA"/>
        </w:rPr>
        <w:t>  In order to establish liability for negligent misrepresentation, the Prepaid Plaintiffs must prove five elements:</w:t>
      </w:r>
      <w:r>
        <w:rPr>
          <w:rFonts w:ascii="arial" w:eastAsia="arial" w:hAnsi="arial" w:cs="arial"/>
          <w:sz w:val="20"/>
          <w:lang w:val="en-US" w:eastAsia="en-US" w:bidi="ar-SA"/>
        </w:rPr>
        <w:cr/>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owed a duty of care to the Plaintiffs based upon a special relationship;</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there was a false representation made by the Defendants to the Plaintiffs;</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Defendants were negligent in making the false representation;</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reasonably relied upon the false representation; and</w:t>
      </w:r>
    </w:p>
    <w:p>
      <w:pPr>
        <w:numPr>
          <w:numId w:val="22"/>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Plaintiffs suffered a detriment as a result of that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62</w:t>
      </w:r>
      <w:r>
        <w:rPr>
          <w:rFonts w:ascii="arial" w:eastAsia="arial" w:hAnsi="arial" w:cs="arial"/>
          <w:color w:val="000000"/>
          <w:sz w:val="20"/>
          <w:lang w:val="en-US" w:eastAsia="en-US" w:bidi="ar-SA"/>
        </w:rPr>
        <w:t xml:space="preserve">  See Kingu v. Walmar Ventures Ltd. </w:t>
      </w:r>
      <w:hyperlink r:id="rId1213" w:history="1">
        <w:r>
          <w:rPr>
            <w:rFonts w:ascii="arial" w:eastAsia="arial" w:hAnsi="arial" w:cs="arial"/>
            <w:i/>
            <w:color w:val="0077CC"/>
            <w:sz w:val="20"/>
            <w:u w:val="single"/>
            <w:shd w:val="clear" w:color="auto" w:fill="FFFFFF"/>
            <w:lang w:val="en-US" w:eastAsia="en-US" w:bidi="ar-SA"/>
          </w:rPr>
          <w:t>(1986), 10 B.C.L.R. (2d) 15</w:t>
        </w:r>
      </w:hyperlink>
      <w:r>
        <w:rPr>
          <w:rFonts w:ascii="arial" w:eastAsia="arial" w:hAnsi="arial" w:cs="arial"/>
          <w:color w:val="000000"/>
          <w:sz w:val="20"/>
          <w:lang w:val="en-US" w:eastAsia="en-US" w:bidi="ar-SA"/>
        </w:rPr>
        <w:t xml:space="preserve"> (B.C.C.A.); Queen v. Cognos Inc., </w:t>
      </w:r>
      <w:hyperlink r:id="rId1214" w:history="1">
        <w:r>
          <w:rPr>
            <w:rFonts w:ascii="arial" w:eastAsia="arial" w:hAnsi="arial" w:cs="arial"/>
            <w:i/>
            <w:color w:val="0077CC"/>
            <w:sz w:val="20"/>
            <w:u w:val="single"/>
            <w:shd w:val="clear" w:color="auto" w:fill="FFFFFF"/>
            <w:lang w:val="en-US" w:eastAsia="en-US" w:bidi="ar-SA"/>
          </w:rPr>
          <w:t>[1993] 1 S.C.R. 87</w:t>
        </w:r>
      </w:hyperlink>
      <w:r>
        <w:rPr>
          <w:rFonts w:ascii="arial" w:eastAsia="arial" w:hAnsi="arial" w:cs="arial"/>
          <w:color w:val="000000"/>
          <w:sz w:val="20"/>
          <w:lang w:val="en-US" w:eastAsia="en-US" w:bidi="ar-SA"/>
        </w:rPr>
        <w:t>.</w:t>
      </w:r>
      <w:r>
        <w:rPr>
          <w:rFonts w:ascii="arial" w:eastAsia="arial" w:hAnsi="arial" w:cs="arial"/>
          <w:sz w:val="20"/>
          <w:lang w:val="en-US" w:eastAsia="en-US" w:bidi="ar-SA"/>
        </w:rPr>
        <w:cr/>
      </w:r>
    </w:p>
    <w:p>
      <w:pPr>
        <w:numPr>
          <w:numId w:val="23"/>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Duty of Care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63</w:t>
      </w:r>
      <w:r>
        <w:rPr>
          <w:rFonts w:ascii="arial" w:eastAsia="arial" w:hAnsi="arial" w:cs="arial"/>
          <w:color w:val="000000"/>
          <w:sz w:val="20"/>
          <w:lang w:val="en-US" w:eastAsia="en-US" w:bidi="ar-SA"/>
        </w:rPr>
        <w:t>  The Defendants submit that they owed no duty of care to the Prepaid Plaintiffs in the circumstances alleged in the Statement of Claim.</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64</w:t>
      </w:r>
      <w:r>
        <w:rPr>
          <w:rFonts w:ascii="arial" w:eastAsia="arial" w:hAnsi="arial" w:cs="arial"/>
          <w:color w:val="000000"/>
          <w:sz w:val="20"/>
          <w:lang w:val="en-US" w:eastAsia="en-US" w:bidi="ar-SA"/>
        </w:rPr>
        <w:t>  As set out in Kingu, supra, at p. 24, a duty of care will only arise if the maker of the statement is possessed of special skill or knowledge regarding the subject matter of the representation, and a reasonable person in his or her position would realize that the recipient was relying on the statement. Accepting for the purposes of this application only that the Defendants did represent that the prepayment option was offered in response to demand from the leaseholders and that the prepayment amounts had been calculated based on independent appraisals, the Defendants submit that such representations do not relate to any special skill or knowledge on the part of the Defendants or their staff, nor would a reasonable person in the position of the Defendants realize that the Prepaid Plaintiffs were relying on those statements in determining whether to prepay their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65</w:t>
      </w:r>
      <w:r>
        <w:rPr>
          <w:rFonts w:ascii="arial" w:eastAsia="arial" w:hAnsi="arial" w:cs="arial"/>
          <w:color w:val="000000"/>
          <w:sz w:val="20"/>
          <w:lang w:val="en-US" w:eastAsia="en-US" w:bidi="ar-SA"/>
        </w:rPr>
        <w:t xml:space="preserve">  Further, the alleged misrepresentations in this case arose in the context of pre-contractual negotiations. The Defendants submit that regard must be had to the flexible two-stage Anns analysis undertaken by the Supreme Court of Canada in Martel in considering whether the maker of a statement owes a duty of care to the recipient. Citing Pacific Playground Holdings v. Endeavour Developments, </w:t>
      </w:r>
      <w:hyperlink r:id="rId1215" w:history="1">
        <w:r>
          <w:rPr>
            <w:rFonts w:ascii="arial" w:eastAsia="arial" w:hAnsi="arial" w:cs="arial"/>
            <w:i/>
            <w:color w:val="0077CC"/>
            <w:sz w:val="20"/>
            <w:u w:val="single"/>
            <w:shd w:val="clear" w:color="auto" w:fill="FFFFFF"/>
            <w:lang w:val="en-US" w:eastAsia="en-US" w:bidi="ar-SA"/>
          </w:rPr>
          <w:t>[2002] B.C.J. No. 1109</w:t>
        </w:r>
      </w:hyperlink>
      <w:r>
        <w:rPr>
          <w:rFonts w:ascii="arial" w:eastAsia="arial" w:hAnsi="arial" w:cs="arial"/>
          <w:color w:val="000000"/>
          <w:sz w:val="20"/>
          <w:lang w:val="en-US" w:eastAsia="en-US" w:bidi="ar-SA"/>
        </w:rPr>
        <w:t xml:space="preserve"> (B.C.S.C.), they say that while Martel did not involve a claim in negligent misrepresentation, the policy considerations which were found to negate the imposition of a duty of care in </w:t>
      </w:r>
      <w:r>
        <w:rPr>
          <w:rFonts w:ascii="arial" w:eastAsia="arial" w:hAnsi="arial" w:cs="arial"/>
          <w:b/>
          <w:i/>
          <w:color w:val="000000"/>
          <w:sz w:val="20"/>
          <w:u w:val="single"/>
          <w:lang w:val="en-US" w:eastAsia="en-US" w:bidi="ar-SA"/>
        </w:rPr>
        <w:t>negligence</w:t>
      </w:r>
      <w:r>
        <w:rPr>
          <w:rFonts w:ascii="arial" w:eastAsia="arial" w:hAnsi="arial" w:cs="arial"/>
          <w:color w:val="000000"/>
          <w:sz w:val="20"/>
          <w:lang w:val="en-US" w:eastAsia="en-US" w:bidi="ar-SA"/>
        </w:rPr>
        <w:t xml:space="preserve"> have been found to be applicable also to pre-contractual misrepresentation claims.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66</w:t>
      </w:r>
      <w:r>
        <w:rPr>
          <w:rFonts w:ascii="arial" w:eastAsia="arial" w:hAnsi="arial" w:cs="arial"/>
          <w:color w:val="000000"/>
          <w:sz w:val="20"/>
          <w:lang w:val="en-US" w:eastAsia="en-US" w:bidi="ar-SA"/>
        </w:rPr>
        <w:t xml:space="preserve">  The Defendants also refer to Wild Dunes Holdings Inc. v. Hackett and Others, </w:t>
      </w:r>
      <w:hyperlink r:id="rId1216" w:history="1">
        <w:r>
          <w:rPr>
            <w:rFonts w:ascii="arial" w:eastAsia="arial" w:hAnsi="arial" w:cs="arial"/>
            <w:i/>
            <w:color w:val="0077CC"/>
            <w:sz w:val="20"/>
            <w:u w:val="single"/>
            <w:shd w:val="clear" w:color="auto" w:fill="FFFFFF"/>
            <w:lang w:val="en-US" w:eastAsia="en-US" w:bidi="ar-SA"/>
          </w:rPr>
          <w:t>[1998] B.C.J. No. 2336</w:t>
        </w:r>
      </w:hyperlink>
      <w:r>
        <w:rPr>
          <w:rFonts w:ascii="arial" w:eastAsia="arial" w:hAnsi="arial" w:cs="arial"/>
          <w:color w:val="000000"/>
          <w:sz w:val="20"/>
          <w:lang w:val="en-US" w:eastAsia="en-US" w:bidi="ar-SA"/>
        </w:rPr>
        <w:t xml:space="preserve"> (B.C.S.C.), where the Court held that the vendor owed no duty based on special skill or knowledge to assist the purchaser in assessing the factual information provided before entering into the contract. The Court indicated that the elements of proof must be separated and a duty is not to be inferred from the inaccuracy of a particular representation. Accordingly, in spite of material misrepresentations of fact that induced the plaintiff to purchase the property, the elements of negligent misrepresentation were not made out.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67</w:t>
      </w:r>
      <w:r>
        <w:rPr>
          <w:rFonts w:ascii="arial" w:eastAsia="arial" w:hAnsi="arial" w:cs="arial"/>
          <w:color w:val="000000"/>
          <w:sz w:val="20"/>
          <w:lang w:val="en-US" w:eastAsia="en-US" w:bidi="ar-SA"/>
        </w:rPr>
        <w:t>  Accordingly, the Defendants submit that on the facts alleged in the Statement of Claim, the Prepaid Plaintiffs cannot establish the required duty of care on the part of the Defendants that would give rise to liability for negligent misrepresentation.</w:t>
      </w:r>
      <w:r>
        <w:rPr>
          <w:rFonts w:ascii="arial" w:eastAsia="arial" w:hAnsi="arial" w:cs="arial"/>
          <w:sz w:val="20"/>
          <w:lang w:val="en-US" w:eastAsia="en-US" w:bidi="ar-SA"/>
        </w:rPr>
        <w:cr/>
      </w:r>
    </w:p>
    <w:p>
      <w:pPr>
        <w:numPr>
          <w:numId w:val="24"/>
        </w:numPr>
        <w:spacing w:before="120" w:line="260" w:lineRule="atLeast"/>
        <w:jc w:val="both"/>
        <w:rPr>
          <w:rFonts w:ascii="arial" w:eastAsia="arial" w:hAnsi="arial" w:cs="arial"/>
          <w:sz w:val="20"/>
          <w:lang w:val="en-US" w:eastAsia="en-US" w:bidi="ar-SA"/>
        </w:rPr>
      </w:pPr>
      <w:r>
        <w:rPr>
          <w:rFonts w:ascii="arial" w:eastAsia="arial" w:hAnsi="arial" w:cs="arial"/>
          <w:color w:val="000000"/>
          <w:sz w:val="20"/>
          <w:lang w:val="en-US" w:eastAsia="en-US" w:bidi="ar-SA"/>
        </w:rPr>
        <w:t>Materiality</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68</w:t>
      </w:r>
      <w:r>
        <w:rPr>
          <w:rFonts w:ascii="arial" w:eastAsia="arial" w:hAnsi="arial" w:cs="arial"/>
          <w:color w:val="000000"/>
          <w:sz w:val="20"/>
          <w:lang w:val="en-US" w:eastAsia="en-US" w:bidi="ar-SA"/>
        </w:rPr>
        <w:t>  The Defendants submit that even if a duty of care is established, the misrepresentations alleged by the Prepaid Plaintiffs were not material to their decision to prepay their leases. They submit that it is not alleged that the City misrepresented the prepayment values themselves or the actual results of the appraisals of the properties. Rather, it is alleged that the City misrepresented the reason for offering the prepayment option and the instructions given to the appraisers. The Defendants submit that these alleged misrepresentations could not reasonably have induced the Prepaid Plaintiffs to prepay their leases.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69</w:t>
      </w:r>
      <w:r>
        <w:rPr>
          <w:rFonts w:ascii="arial" w:eastAsia="arial" w:hAnsi="arial" w:cs="arial"/>
          <w:color w:val="000000"/>
          <w:sz w:val="20"/>
          <w:lang w:val="en-US" w:eastAsia="en-US" w:bidi="ar-SA"/>
        </w:rPr>
        <w:t>  The leading cases on materiality refer to Fleming v. Boultbee, [1929] O.W.N. 293, where it was set out at p. 296:</w:t>
      </w:r>
      <w:r>
        <w:rPr>
          <w:rFonts w:ascii="arial" w:eastAsia="arial" w:hAnsi="arial" w:cs="arial"/>
          <w:sz w:val="20"/>
          <w:lang w:val="en-US" w:eastAsia="en-US" w:bidi="ar-SA"/>
        </w:rPr>
        <w:cr/>
      </w:r>
    </w:p>
    <w:p>
      <w:pPr>
        <w:spacing w:line="260" w:lineRule="atLeast"/>
        <w:ind w:left="720"/>
        <w:rPr>
          <w:rFonts w:ascii="arial" w:eastAsia="arial" w:hAnsi="arial" w:cs="arial"/>
          <w:sz w:val="20"/>
          <w:lang w:val="en-US" w:eastAsia="en-US" w:bidi="ar-SA"/>
        </w:rPr>
      </w:pPr>
      <w:r>
        <w:rPr>
          <w:rFonts w:ascii="arial" w:eastAsia="arial" w:hAnsi="arial" w:cs="arial"/>
          <w:color w:val="000000"/>
          <w:sz w:val="20"/>
          <w:lang w:val="en-US" w:eastAsia="en-US" w:bidi="ar-SA"/>
        </w:rPr>
        <w:t>A misrepresentation goes for nothing unless it is a proximate and immediate cause of the transaction. It is not enough that it may have remotely or indirectly contributed to the transaction and may have supplied a motive to the other party to enter into it. The representation must be the very ground on which the transaction has taken place. The transaction must be a necessary and not merely an indirect result of the representation. It is not, however, necessary that the representation should have been the sole cause of the transaction. It is enough that it may have constituted a material inducement.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70</w:t>
      </w:r>
      <w:r>
        <w:rPr>
          <w:rFonts w:ascii="arial" w:eastAsia="arial" w:hAnsi="arial" w:cs="arial"/>
          <w:color w:val="000000"/>
          <w:sz w:val="20"/>
          <w:lang w:val="en-US" w:eastAsia="en-US" w:bidi="ar-SA"/>
        </w:rPr>
        <w:t xml:space="preserve">  The Ontario High Court similarly held that in order for a misrepresentation to be actionable, it must be material in its nature, intended to be acted upon and a determining ground of the transaction: Hinchey v. Gonda, </w:t>
      </w:r>
      <w:hyperlink r:id="rId1217" w:history="1">
        <w:r>
          <w:rPr>
            <w:rFonts w:ascii="arial" w:eastAsia="arial" w:hAnsi="arial" w:cs="arial"/>
            <w:i/>
            <w:color w:val="0077CC"/>
            <w:sz w:val="20"/>
            <w:u w:val="single"/>
            <w:shd w:val="clear" w:color="auto" w:fill="FFFFFF"/>
            <w:lang w:val="en-US" w:eastAsia="en-US" w:bidi="ar-SA"/>
          </w:rPr>
          <w:t>[1955] O.W.N. 125</w:t>
        </w:r>
      </w:hyperlink>
      <w:r>
        <w:rPr>
          <w:rFonts w:ascii="arial" w:eastAsia="arial" w:hAnsi="arial" w:cs="arial"/>
          <w:color w:val="000000"/>
          <w:sz w:val="20"/>
          <w:lang w:val="en-US" w:eastAsia="en-US" w:bidi="ar-SA"/>
        </w:rPr>
        <w:t xml:space="preserve"> (Ont. H.C.) at 126. See also Credit Bureau of Regina Ltd. v. Adpat Holdings Ltd., </w:t>
      </w:r>
      <w:hyperlink r:id="rId1218" w:history="1">
        <w:r>
          <w:rPr>
            <w:rFonts w:ascii="arial" w:eastAsia="arial" w:hAnsi="arial" w:cs="arial"/>
            <w:i/>
            <w:color w:val="0077CC"/>
            <w:sz w:val="20"/>
            <w:u w:val="single"/>
            <w:shd w:val="clear" w:color="auto" w:fill="FFFFFF"/>
            <w:lang w:val="en-US" w:eastAsia="en-US" w:bidi="ar-SA"/>
          </w:rPr>
          <w:t>[1984] S.J. No. 323</w:t>
        </w:r>
      </w:hyperlink>
      <w:r>
        <w:rPr>
          <w:rFonts w:ascii="arial" w:eastAsia="arial" w:hAnsi="arial" w:cs="arial"/>
          <w:color w:val="000000"/>
          <w:sz w:val="20"/>
          <w:lang w:val="en-US" w:eastAsia="en-US" w:bidi="ar-SA"/>
        </w:rPr>
        <w:t xml:space="preserve"> (Sask. Q.B.), and Kripps v. Touche Ross &amp; Co. </w:t>
      </w:r>
      <w:hyperlink r:id="rId1219" w:history="1">
        <w:r>
          <w:rPr>
            <w:rFonts w:ascii="arial" w:eastAsia="arial" w:hAnsi="arial" w:cs="arial"/>
            <w:i/>
            <w:color w:val="0077CC"/>
            <w:sz w:val="20"/>
            <w:u w:val="single"/>
            <w:shd w:val="clear" w:color="auto" w:fill="FFFFFF"/>
            <w:lang w:val="en-US" w:eastAsia="en-US" w:bidi="ar-SA"/>
          </w:rPr>
          <w:t>(1997), 33 B.C.L.R. (3d) 254</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71</w:t>
      </w:r>
      <w:r>
        <w:rPr>
          <w:rFonts w:ascii="arial" w:eastAsia="arial" w:hAnsi="arial" w:cs="arial"/>
          <w:color w:val="000000"/>
          <w:sz w:val="20"/>
          <w:lang w:val="en-US" w:eastAsia="en-US" w:bidi="ar-SA"/>
        </w:rPr>
        <w:t>  The Defendants submit that on the facts alleged in the Statement of Claim, the Prepaid Plaintiffs cannot make out a claim that a misrepresentation made by the Defendants induced them to modify their leases to allow for prepayment. The alleged misrepresentations, they submit, are too remote from the transaction.</w:t>
      </w:r>
      <w:r>
        <w:rPr>
          <w:rFonts w:ascii="arial" w:eastAsia="arial" w:hAnsi="arial" w:cs="arial"/>
          <w:sz w:val="20"/>
          <w:lang w:val="en-US" w:eastAsia="en-US" w:bidi="ar-SA"/>
        </w:rPr>
        <w:cr/>
      </w:r>
    </w:p>
    <w:p>
      <w:pPr>
        <w:numPr>
          <w:numId w:val="25"/>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Reasonable Reliance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72</w:t>
      </w:r>
      <w:r>
        <w:rPr>
          <w:rFonts w:ascii="arial" w:eastAsia="arial" w:hAnsi="arial" w:cs="arial"/>
          <w:color w:val="000000"/>
          <w:sz w:val="20"/>
          <w:lang w:val="en-US" w:eastAsia="en-US" w:bidi="ar-SA"/>
        </w:rPr>
        <w:t>  The Defendants further submit that in order for a misrepresentation to be actionable, a plaintiff must establish reasonable reliance on the misrepresentation. It is not sufficient to allege "deemed" or "presumed" reliance. Rather, actual reliance must be demonstrated: Kripps v. Touche Ross &amp; Co., supra.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73</w:t>
      </w:r>
      <w:r>
        <w:rPr>
          <w:rFonts w:ascii="arial" w:eastAsia="arial" w:hAnsi="arial" w:cs="arial"/>
          <w:color w:val="000000"/>
          <w:sz w:val="20"/>
          <w:lang w:val="en-US" w:eastAsia="en-US" w:bidi="ar-SA"/>
        </w:rPr>
        <w:t>  The Defendants submit that the Prepaid Plaintiffs have not pled any particulars of actual reliance by individuals on specific misrepresentations by the Defendants. There are no details as to the dates of specific misrepresentations, the identity of the maker of the misrepresentation, the manner in which the misrepresentation was communicated, or the specific reliance placed upon that misrepresentation by individuals. There are only general allegations of misrepresentations made "on mass" in mailings or at a public meeting.</w:t>
      </w:r>
      <w:r>
        <w:rPr>
          <w:rFonts w:ascii="arial" w:eastAsia="arial" w:hAnsi="arial" w:cs="arial"/>
          <w:sz w:val="20"/>
          <w:lang w:val="en-US" w:eastAsia="en-US" w:bidi="ar-SA"/>
        </w:rPr>
        <w:cr/>
      </w:r>
    </w:p>
    <w:p>
      <w:pPr>
        <w:numPr>
          <w:numId w:val="26"/>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Action to Plaintiffs'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74</w:t>
      </w:r>
      <w:r>
        <w:rPr>
          <w:rFonts w:ascii="arial" w:eastAsia="arial" w:hAnsi="arial" w:cs="arial"/>
          <w:color w:val="000000"/>
          <w:sz w:val="20"/>
          <w:lang w:val="en-US" w:eastAsia="en-US" w:bidi="ar-SA"/>
        </w:rPr>
        <w:t xml:space="preserve">  Finally, in order to meet the test outlined in Kingu, supra, and Queen v. Cognos Inc., supra, the Plaintiffs must establish that they acted to their detriment in relying upon the alleged misrepresentations. The tort is not actionable per se and the Plaintiffs must therefore establish actual damage: O.E.X. Electromagnetic Inc. v. Coopers &amp; Lybrand, </w:t>
      </w:r>
      <w:hyperlink r:id="rId1220" w:history="1">
        <w:r>
          <w:rPr>
            <w:rFonts w:ascii="arial" w:eastAsia="arial" w:hAnsi="arial" w:cs="arial"/>
            <w:i/>
            <w:color w:val="0077CC"/>
            <w:sz w:val="20"/>
            <w:u w:val="single"/>
            <w:shd w:val="clear" w:color="auto" w:fill="FFFFFF"/>
            <w:lang w:val="en-US" w:eastAsia="en-US" w:bidi="ar-SA"/>
          </w:rPr>
          <w:t>[1991] B.C.J. No. 3465</w:t>
        </w:r>
      </w:hyperlink>
      <w:r>
        <w:rPr>
          <w:rFonts w:ascii="arial" w:eastAsia="arial" w:hAnsi="arial" w:cs="arial"/>
          <w:color w:val="000000"/>
          <w:sz w:val="20"/>
          <w:lang w:val="en-US" w:eastAsia="en-US" w:bidi="ar-SA"/>
        </w:rPr>
        <w:t xml:space="preserve"> (B.C.S.C.), affirmed at </w:t>
      </w:r>
      <w:hyperlink r:id="rId1221" w:history="1">
        <w:r>
          <w:rPr>
            <w:rFonts w:ascii="arial" w:eastAsia="arial" w:hAnsi="arial" w:cs="arial"/>
            <w:i/>
            <w:color w:val="0077CC"/>
            <w:sz w:val="20"/>
            <w:u w:val="single"/>
            <w:shd w:val="clear" w:color="auto" w:fill="FFFFFF"/>
            <w:lang w:val="en-US" w:eastAsia="en-US" w:bidi="ar-SA"/>
          </w:rPr>
          <w:t>[1995] B.C.J. No. 1495</w:t>
        </w:r>
      </w:hyperlink>
      <w:r>
        <w:rPr>
          <w:rFonts w:ascii="arial" w:eastAsia="arial" w:hAnsi="arial" w:cs="arial"/>
          <w:color w:val="000000"/>
          <w:sz w:val="20"/>
          <w:lang w:val="en-US" w:eastAsia="en-US" w:bidi="ar-SA"/>
        </w:rPr>
        <w:t xml:space="preserve"> (B.C.C.A.).</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75</w:t>
      </w:r>
      <w:r>
        <w:rPr>
          <w:rFonts w:ascii="arial" w:eastAsia="arial" w:hAnsi="arial" w:cs="arial"/>
          <w:color w:val="000000"/>
          <w:sz w:val="20"/>
          <w:lang w:val="en-US" w:eastAsia="en-US" w:bidi="ar-SA"/>
        </w:rPr>
        <w:t>  The Plaintiffs' first suggestion of loss is that they might have been able to negotiate a lower prepayment value if the misrepresentations had not been made. The Defendants submit, however, that this is speculative and unsupported on the facts as alleged. The Defendants say that the City made an offer to accept a certain prepayment amount for each lease and there is no allegation in the Statement of Claim that the City would have agreed to negotiate those amounts, let alone agree to a lower prepayment value through any negotiation process.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76</w:t>
      </w:r>
      <w:r>
        <w:rPr>
          <w:rFonts w:ascii="arial" w:eastAsia="arial" w:hAnsi="arial" w:cs="arial"/>
          <w:color w:val="000000"/>
          <w:sz w:val="20"/>
          <w:lang w:val="en-US" w:eastAsia="en-US" w:bidi="ar-SA"/>
        </w:rPr>
        <w:t>  The Defendants submit that the second allegation of loss is that the Prepaid Plaintiffs have suffered some sort of detriment by prepaying their leases. However, they submit, this too is entirely speculative and unsupported by any allegation in the Statement of Claim as to the particulars of such loss. The attractiveness of the prepayment amount can only be measured against the value of ongoing lease payments. The value of ongoing lease payments on the subject properties is, at present, not determinable with any accuracy. The leases provide for periodic rent review and the rental payments that are imposed as time progresses will vary depending upon a number of factors including the market value of the land at the time. Consequently, they submit, it is not possible on the facts as alleged for a court to determine that the Prepaid Plaintiffs have made a "bad bargain" by prepaying their leases in the circumstances of this case.</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77</w:t>
      </w:r>
      <w:r>
        <w:rPr>
          <w:rFonts w:ascii="arial" w:eastAsia="arial" w:hAnsi="arial" w:cs="arial"/>
          <w:color w:val="000000"/>
          <w:sz w:val="20"/>
          <w:lang w:val="en-US" w:eastAsia="en-US" w:bidi="ar-SA"/>
        </w:rPr>
        <w:t>  Again, I find that notwithstanding the Defendants' able submissions, I am unable to conclude that it is plain and obvious that the Plaintiffs cannot succeed in a claim for negligent misrepresentation.</w:t>
      </w:r>
      <w:r>
        <w:rPr>
          <w:rFonts w:ascii="arial" w:eastAsia="arial" w:hAnsi="arial" w:cs="arial"/>
          <w:sz w:val="20"/>
          <w:lang w:val="en-US" w:eastAsia="en-US" w:bidi="ar-SA"/>
        </w:rPr>
        <w:cr/>
      </w:r>
    </w:p>
    <w:p>
      <w:pPr>
        <w:numPr>
          <w:numId w:val="27"/>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Deceit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78</w:t>
      </w:r>
      <w:r>
        <w:rPr>
          <w:rFonts w:ascii="arial" w:eastAsia="arial" w:hAnsi="arial" w:cs="arial"/>
          <w:color w:val="000000"/>
          <w:sz w:val="20"/>
          <w:lang w:val="en-US" w:eastAsia="en-US" w:bidi="ar-SA"/>
        </w:rPr>
        <w:t>  The claim in deceit appears to involve the same allegations by the Prepaid Plaintiffs as those with respect to negligent misrepresentation, with the exception of the alternative suggestion that the Defendants acted recklessly and knew or intended that the Prepaid Plaintiffs would rely on the alleged misrepresentations. While the factual allegations are the same, the legal tests are different. In order to succeed on a claim in deceit, a plaintiff must establish that:</w:t>
      </w:r>
      <w:r>
        <w:rPr>
          <w:rFonts w:ascii="arial" w:eastAsia="arial" w:hAnsi="arial" w:cs="arial"/>
          <w:sz w:val="20"/>
          <w:lang w:val="en-US" w:eastAsia="en-US" w:bidi="ar-SA"/>
        </w:rPr>
        <w:cr/>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a false representation was made;</w:t>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person making the representation knew it was false;</w:t>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was made with the intention to deceive; and</w:t>
      </w:r>
    </w:p>
    <w:p>
      <w:pPr>
        <w:numPr>
          <w:numId w:val="28"/>
        </w:numPr>
        <w:tabs>
          <w:tab w:val="num" w:pos="760"/>
          <w:tab w:val="clear" w:pos="112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the representation materially induced the plaintiff to act to his detriment: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 xml:space="preserve">Lee v. Li </w:t>
      </w:r>
      <w:hyperlink r:id="rId1222" w:history="1">
        <w:r>
          <w:rPr>
            <w:rFonts w:ascii="arial" w:eastAsia="arial" w:hAnsi="arial" w:cs="arial"/>
            <w:i/>
            <w:color w:val="0077CC"/>
            <w:sz w:val="20"/>
            <w:u w:val="single"/>
            <w:shd w:val="clear" w:color="auto" w:fill="FFFFFF"/>
            <w:lang w:val="en-US" w:eastAsia="en-US" w:bidi="ar-SA"/>
          </w:rPr>
          <w:t>(2002), 100 B.C.L.R. (3d) 291</w:t>
        </w:r>
      </w:hyperlink>
      <w:r>
        <w:rPr>
          <w:rFonts w:ascii="arial" w:eastAsia="arial" w:hAnsi="arial" w:cs="arial"/>
          <w:color w:val="000000"/>
          <w:sz w:val="20"/>
          <w:lang w:val="en-US" w:eastAsia="en-US" w:bidi="ar-SA"/>
        </w:rPr>
        <w:t xml:space="preserve"> (B.C.C.A.) at para. 28.</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79</w:t>
      </w:r>
      <w:r>
        <w:rPr>
          <w:rFonts w:ascii="arial" w:eastAsia="arial" w:hAnsi="arial" w:cs="arial"/>
          <w:color w:val="000000"/>
          <w:sz w:val="20"/>
          <w:lang w:val="en-US" w:eastAsia="en-US" w:bidi="ar-SA"/>
        </w:rPr>
        <w:t xml:space="preserve">  The Defendants submit that a preliminary difficulty with the claim in deceit is that it is not pled with any particularity. Rule 19(11) of the Rules of Court requires that where a party relies on misrepresentation, fraud, and other analogous claims, full particulars, with dates and items if applicable, shall be stated in the pleading. This rule was applied to misrepresentation claims (particularly with respect to class actions) in L.R. v. British Columbia </w:t>
      </w:r>
      <w:hyperlink r:id="rId1223" w:history="1">
        <w:r>
          <w:rPr>
            <w:rFonts w:ascii="arial" w:eastAsia="arial" w:hAnsi="arial" w:cs="arial"/>
            <w:i/>
            <w:color w:val="0077CC"/>
            <w:sz w:val="20"/>
            <w:u w:val="single"/>
            <w:shd w:val="clear" w:color="auto" w:fill="FFFFFF"/>
            <w:lang w:val="en-US" w:eastAsia="en-US" w:bidi="ar-SA"/>
          </w:rPr>
          <w:t>(1999), 65 B.C.L.R. (3d) 382</w:t>
        </w:r>
      </w:hyperlink>
      <w:r>
        <w:rPr>
          <w:rFonts w:ascii="arial" w:eastAsia="arial" w:hAnsi="arial" w:cs="arial"/>
          <w:color w:val="000000"/>
          <w:sz w:val="20"/>
          <w:lang w:val="en-US" w:eastAsia="en-US" w:bidi="ar-SA"/>
        </w:rPr>
        <w:t xml:space="preserve"> (B.C.S.C.) (appeal allowed with regard to certification of one portion of the claim not relevant to misrepresentation).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80</w:t>
      </w:r>
      <w:r>
        <w:rPr>
          <w:rFonts w:ascii="arial" w:eastAsia="arial" w:hAnsi="arial" w:cs="arial"/>
          <w:color w:val="000000"/>
          <w:sz w:val="20"/>
          <w:lang w:val="en-US" w:eastAsia="en-US" w:bidi="ar-SA"/>
        </w:rPr>
        <w:t xml:space="preserve">  The Defendants submit that it is even more critical that full particulars be provided in cases of deceit (fraud) than in cases of negligent misrepresentation. They cite Sun Life Assurance v. 401700 Ontario Ltd. </w:t>
      </w:r>
      <w:hyperlink r:id="rId1224" w:history="1">
        <w:r>
          <w:rPr>
            <w:rFonts w:ascii="arial" w:eastAsia="arial" w:hAnsi="arial" w:cs="arial"/>
            <w:i/>
            <w:color w:val="0077CC"/>
            <w:sz w:val="20"/>
            <w:u w:val="single"/>
            <w:shd w:val="clear" w:color="auto" w:fill="FFFFFF"/>
            <w:lang w:val="en-US" w:eastAsia="en-US" w:bidi="ar-SA"/>
          </w:rPr>
          <w:t>(1991), 3 O.R. (3d) 684</w:t>
        </w:r>
      </w:hyperlink>
      <w:r>
        <w:rPr>
          <w:rFonts w:ascii="arial" w:eastAsia="arial" w:hAnsi="arial" w:cs="arial"/>
          <w:color w:val="000000"/>
          <w:sz w:val="20"/>
          <w:lang w:val="en-US" w:eastAsia="en-US" w:bidi="ar-SA"/>
        </w:rPr>
        <w:t xml:space="preserve"> (Ont. Ct. (Gen. Div.)), where the Court held that fraud must be pled with full particulars; where a pleading fails to meet the minimum level of material fact disclosure, the appropriate recourse is a motion to strike the pleading, not one for particulars.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81</w:t>
      </w:r>
      <w:r>
        <w:rPr>
          <w:rFonts w:ascii="arial" w:eastAsia="arial" w:hAnsi="arial" w:cs="arial"/>
          <w:color w:val="000000"/>
          <w:sz w:val="20"/>
          <w:lang w:val="en-US" w:eastAsia="en-US" w:bidi="ar-SA"/>
        </w:rPr>
        <w:t>  The Defendants submit that there are no proper particulars provided in the case at bar and therefore the claim in deceit must be struck.</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82</w:t>
      </w:r>
      <w:r>
        <w:rPr>
          <w:rFonts w:ascii="arial" w:eastAsia="arial" w:hAnsi="arial" w:cs="arial"/>
          <w:color w:val="000000"/>
          <w:sz w:val="20"/>
          <w:lang w:val="en-US" w:eastAsia="en-US" w:bidi="ar-SA"/>
        </w:rPr>
        <w:t>  The Defendants submit in the alternative that the claim cannot be made out since the facts as pled do not satisfy all of the requirements set out in Lee v. Li, supra. In particular, as with the claim in negligent misrepresentation, they submit that it cannot be shown on the pleadings that the alleged misrepresentations materially induced the Plaintiffs to act to their detriment. Further, the facts alleged in the Statement of Claim do not make out that the required intention to deceive existed on the part of the City. Finally, the Defendants submit that the facts alleged in the Statement of Claim would not establish, if proved, that the Plaintiffs have suffered any damage as a result of the alleged deceit. The damages suffered by the Prepaid Plaintiffs must be the difference, if any, between the amount that they prepaid for their leases and the amount that the prepayment is actually "worth" based upon the future rental payment stream. This future rental payment stream will not be determined until rent reviews have taken place in the future. The Defendants say that the law is clear, however, that anticipated, as opposed to actual, damage is insufficient to found this tort.</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83</w:t>
      </w:r>
      <w:r>
        <w:rPr>
          <w:rFonts w:ascii="arial" w:eastAsia="arial" w:hAnsi="arial" w:cs="arial"/>
          <w:color w:val="000000"/>
          <w:sz w:val="20"/>
          <w:lang w:val="en-US" w:eastAsia="en-US" w:bidi="ar-SA"/>
        </w:rPr>
        <w:t>  After reading the Statement of Claim in its entirety, I am unable to find that it is plain and obvious that the Plaintiffs cannot succeed in a claim for deceit. Paragraph 95 of the Statement of Claim alleges fraud, and consequently brings the claims within the ambit of deceit.</w:t>
      </w:r>
      <w:r>
        <w:rPr>
          <w:rFonts w:ascii="arial" w:eastAsia="arial" w:hAnsi="arial" w:cs="arial"/>
          <w:sz w:val="20"/>
          <w:lang w:val="en-US" w:eastAsia="en-US" w:bidi="ar-SA"/>
        </w:rPr>
        <w:cr/>
      </w:r>
    </w:p>
    <w:p>
      <w:pPr>
        <w:numPr>
          <w:numId w:val="29"/>
        </w:numPr>
        <w:tabs>
          <w:tab w:val="num" w:pos="760"/>
          <w:tab w:val="clear" w:pos="1840"/>
        </w:tabs>
        <w:spacing w:before="120" w:line="260" w:lineRule="atLeast"/>
        <w:ind w:left="760"/>
        <w:jc w:val="both"/>
        <w:rPr>
          <w:rFonts w:ascii="arial" w:eastAsia="arial" w:hAnsi="arial" w:cs="arial"/>
          <w:sz w:val="20"/>
          <w:lang w:val="en-US" w:eastAsia="en-US" w:bidi="ar-SA"/>
        </w:rPr>
      </w:pPr>
      <w:r>
        <w:rPr>
          <w:rFonts w:ascii="arial" w:eastAsia="arial" w:hAnsi="arial" w:cs="arial"/>
          <w:color w:val="000000"/>
          <w:sz w:val="20"/>
          <w:lang w:val="en-US" w:eastAsia="en-US" w:bidi="ar-SA"/>
        </w:rPr>
        <w:t>Conclusion</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84</w:t>
      </w:r>
      <w:r>
        <w:rPr>
          <w:rFonts w:ascii="arial" w:eastAsia="arial" w:hAnsi="arial" w:cs="arial"/>
          <w:color w:val="000000"/>
          <w:sz w:val="20"/>
          <w:lang w:val="en-US" w:eastAsia="en-US" w:bidi="ar-SA"/>
        </w:rPr>
        <w:t>  On the basis of the foregoing, I find that the claim against Maitland is statute barred. The claim against him is therefore dismissed. The Defendants' application to strike the Statement of Claim is also dismissed.</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b/>
          <w:color w:val="000000"/>
          <w:sz w:val="20"/>
          <w:lang w:val="en-US" w:eastAsia="en-US" w:bidi="ar-SA"/>
        </w:rPr>
        <w:t>85</w:t>
      </w:r>
      <w:r>
        <w:rPr>
          <w:rFonts w:ascii="arial" w:eastAsia="arial" w:hAnsi="arial" w:cs="arial"/>
          <w:color w:val="000000"/>
          <w:sz w:val="20"/>
          <w:lang w:val="en-US" w:eastAsia="en-US" w:bidi="ar-SA"/>
        </w:rPr>
        <w:t>  Since the success of the parties is divided, I order that each party bear their own costs.</w:t>
      </w:r>
    </w:p>
    <w:p>
      <w:pPr>
        <w:spacing w:line="260" w:lineRule="atLeast"/>
        <w:jc w:val="both"/>
        <w:rPr>
          <w:rFonts w:ascii="arial" w:eastAsia="arial" w:hAnsi="arial" w:cs="arial"/>
          <w:sz w:val="20"/>
          <w:lang w:val="en-US" w:eastAsia="en-US" w:bidi="ar-SA"/>
        </w:rPr>
      </w:pPr>
      <w:r>
        <w:rPr>
          <w:rFonts w:ascii="arial" w:eastAsia="arial" w:hAnsi="arial" w:cs="arial"/>
          <w:sz w:val="20"/>
          <w:lang w:val="en-US" w:eastAsia="en-US" w:bidi="ar-SA"/>
        </w:rPr>
        <w:br/>
      </w:r>
      <w:r>
        <w:rPr>
          <w:rFonts w:ascii="arial" w:eastAsia="arial" w:hAnsi="arial" w:cs="arial"/>
          <w:color w:val="000000"/>
          <w:sz w:val="20"/>
          <w:lang w:val="en-US" w:eastAsia="en-US" w:bidi="ar-SA"/>
        </w:rPr>
        <w:t>ROMILLY J.</w:t>
      </w:r>
      <w:r>
        <w:rPr>
          <w:rFonts w:ascii="arial" w:eastAsia="arial" w:hAnsi="arial" w:cs="arial"/>
          <w:sz w:val="20"/>
          <w:lang w:val="en-US" w:eastAsia="en-US" w:bidi="ar-SA"/>
        </w:rPr>
        <w:cr/>
      </w:r>
    </w:p>
    <w:p>
      <w:pPr>
        <w:rPr>
          <w:rFonts w:ascii="arial" w:eastAsia="arial" w:hAnsi="arial" w:cs="arial"/>
          <w:sz w:val="20"/>
          <w:lang w:val="en-US" w:eastAsia="en-US" w:bidi="ar-SA"/>
        </w:rPr>
      </w:pPr>
    </w:p>
    <w:p>
      <w:pPr>
        <w:ind w:left="200"/>
        <w:rPr>
          <w:rFonts w:ascii="arial" w:eastAsia="arial" w:hAnsi="arial" w:cs="arial"/>
          <w:sz w:val="20"/>
          <w:lang w:val="en-US" w:eastAsia="en-US" w:bidi="ar-SA"/>
        </w:rPr>
      </w:pPr>
      <w:r>
        <w:rPr>
          <w:rFonts w:ascii="arial" w:eastAsia="arial" w:hAnsi="arial" w:cs="arial"/>
          <w:sz w:val="20"/>
          <w:lang w:val="en-US" w:eastAsia="en-US" w:bidi="ar-SA"/>
        </w:rPr>
        <w:br/>
      </w:r>
      <w:r>
        <w:pict>
          <v:line id="_x0000_s1265" style="position:absolute;z-index:251897856" from="0,10pt" to="512pt,10pt" strokecolor="black" strokeweight="1pt">
            <v:stroke linestyle="single"/>
          </v:line>
        </w:pict>
      </w:r>
      <w:r>
        <w:rPr>
          <w:b/>
          <w:color w:val="767676"/>
          <w:sz w:val="16"/>
          <w:lang w:val="en-US" w:eastAsia="en-US" w:bidi="ar-SA"/>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5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5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5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6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6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6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7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7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7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8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8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8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9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9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9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0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0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0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1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1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1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2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2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2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3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3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3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4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footer14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ftr>
</file>

<file path=word/footer149.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r>
            <w:rPr>
              <w:rFonts w:ascii="arial" w:eastAsia="arial" w:hAnsi="arial" w:cs="arial"/>
              <w:sz w:val="20"/>
            </w:rPr>
            <w:t>Lachlan Caunt</w:t>
          </w:r>
        </w:p>
      </w:tc>
      <w:tc>
        <w:tcPr>
          <w:tcW w:w="2600" w:type="dxa"/>
          <w:tcMar>
            <w:top w:w="200" w:type="dxa"/>
          </w:tcMar>
          <w:vAlign w:val="center"/>
        </w:tcPr>
        <w:p/>
      </w:tc>
    </w:tr>
  </w:tbl>
</w:ftr>
</file>

<file path=word/footer150.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r>
      <w:rPr>
        <w:rFonts w:ascii="arial" w:eastAsia="arial" w:hAnsi="arial" w:cs="arial"/>
        <w:sz w:val="20"/>
      </w:rPr>
      <w:t>Lachlan Caunt</w:t>
    </w: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Thiessen v. Mutual Life Assurance Co. of Canada, [2001] B.C.J. No. 1849</w:t>
          </w:r>
        </w:p>
      </w:tc>
    </w:tr>
  </w:tbl>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Watts v. Klaemt, [2007] B.C.J. No. 980</w:t>
          </w:r>
        </w:p>
      </w:tc>
    </w:tr>
  </w:tbl>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Weldon v. Teck Metals Ltd., 2012 CBPG para. 8002</w:t>
          </w:r>
        </w:p>
      </w:tc>
    </w:tr>
  </w:tbl>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Wilby v. Hyatt, [2008] B.C.J. No. 1437</w:t>
          </w:r>
        </w:p>
      </w:tc>
    </w:tr>
  </w:tbl>
</w:hdr>
</file>

<file path=word/header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Araya v. Nevsun Resources Ltd., [2016] B.C.J. No. 2095</w:t>
          </w:r>
        </w:p>
      </w:tc>
    </w:tr>
  </w:tbl>
</w:hdr>
</file>

<file path=word/header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Brown v. Raffan, [2013] B.C.J. No. 128</w:t>
          </w:r>
        </w:p>
      </w:tc>
    </w:tr>
  </w:tbl>
</w:hdr>
</file>

<file path=word/header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Dhaliwal v. Randhawa, [2016] B.C.J. No. 2253</w:t>
          </w:r>
        </w:p>
      </w:tc>
    </w:tr>
  </w:tbl>
</w:hdr>
</file>

<file path=word/header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Dominguez v. Northland Properties Corp. (c.o.b. Denny's Restaurants), [2012] B.C.J. No. 443</w:t>
          </w:r>
        </w:p>
      </w:tc>
    </w:tr>
  </w:tbl>
</w:hdr>
</file>

<file path=word/header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Dunne v. Sharma, [2014] B.C.J. No. 1255</w:t>
          </w:r>
        </w:p>
      </w:tc>
    </w:tr>
  </w:tbl>
</w:hdr>
</file>

<file path=word/header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Filsinger v. Insurance Corp. of British Columbia, [2009] B.C.J. No. 331</w:t>
          </w:r>
        </w:p>
      </w:tc>
    </w:tr>
  </w:tbl>
</w:hdr>
</file>

<file path=word/header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Teo, [2019] B.C.J. No. 1821</w:t>
          </w:r>
        </w:p>
      </w:tc>
    </w:tr>
  </w:tbl>
</w:hdr>
</file>

<file path=word/header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 Porte v. Earl, [2016] B.C.J. No. 2604</w:t>
          </w:r>
        </w:p>
      </w:tc>
    </w:tr>
  </w:tbl>
</w:hdr>
</file>

<file path=word/header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Paller v. Regan, [2013] B.C.J. No. 1986</w:t>
          </w:r>
        </w:p>
      </w:tc>
    </w:tr>
  </w:tbl>
</w:hdr>
</file>

<file path=word/header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Picton v. Fredericks, [2016] B.C.J. No. 1707</w:t>
          </w:r>
        </w:p>
      </w:tc>
    </w:tr>
  </w:tbl>
</w:hdr>
</file>

<file path=word/header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Saik'uz First Nation v. Rio Tinto Alcan Inc., [2013] B.C.J. No. 2748</w:t>
          </w:r>
        </w:p>
      </w:tc>
    </w:tr>
  </w:tbl>
</w:hdr>
</file>

<file path=word/header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Thorne v. Lind, [2013] B.C.J. No. 1014</w:t>
          </w:r>
        </w:p>
      </w:tc>
    </w:tr>
  </w:tbl>
</w:hdr>
</file>

<file path=word/header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Tzeachten First Nation v. Canada Lands Co., [2014] B.C.J. No. 3092</w:t>
          </w:r>
        </w:p>
      </w:tc>
    </w:tr>
  </w:tbl>
</w:hdr>
</file>

<file path=word/header5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Willing v. Ayles, [2009] B.C.J. No. 1522</w:t>
          </w:r>
        </w:p>
      </w:tc>
    </w:tr>
  </w:tbl>
</w:hdr>
</file>

<file path=word/header5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0742848 B.C. Ltd. v. 426008 B.C. Ltd., 2020 BREG para. 51,031</w:t>
          </w:r>
        </w:p>
      </w:tc>
    </w:tr>
  </w:tbl>
</w:hdr>
</file>

<file path=word/header5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5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Hi-Seas Marine Ltd. v. Boelman, [2006] B.C.J. No. 655</w:t>
          </w:r>
        </w:p>
      </w:tc>
    </w:tr>
  </w:tbl>
</w:hdr>
</file>

<file path=word/header6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Weber v. deBrouwer, [2012] B.C.J. No. 1468</w:t>
          </w:r>
        </w:p>
      </w:tc>
    </w:tr>
  </w:tbl>
</w:hdr>
</file>

<file path=word/header6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Beadle v. Nanaimo (City), [2009] B.C.J. No. 2191</w:t>
          </w:r>
        </w:p>
      </w:tc>
    </w:tr>
  </w:tbl>
</w:hdr>
</file>

<file path=word/header6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6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Berk v. Brent, [2001] B.C.J. No. 2125</w:t>
          </w:r>
        </w:p>
      </w:tc>
    </w:tr>
  </w:tbl>
</w:hdr>
</file>

<file path=word/header6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B.M. v. British Columbia (Attorney General), [2001] B.C.J. No. 1160</w:t>
          </w:r>
        </w:p>
      </w:tc>
    </w:tr>
  </w:tbl>
</w:hdr>
</file>

<file path=word/header7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Bolton v. Vancouver (City), [2003] B.C.J. No. 798</w:t>
          </w:r>
        </w:p>
      </w:tc>
    </w:tr>
  </w:tbl>
</w:hdr>
</file>

<file path=word/header7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Bradshaw v. North Cowichan (District), [2004] B.C.J. No. 2310</w:t>
          </w:r>
        </w:p>
      </w:tc>
    </w:tr>
  </w:tbl>
</w:hdr>
</file>

<file path=word/header7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7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Brewster (Guardian ad litem of) v. Swain, [2005] B.C.J. No. 2363</w:t>
          </w:r>
        </w:p>
      </w:tc>
    </w:tr>
  </w:tbl>
</w:hdr>
</file>

<file path=word/header8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Cameron v. British Columbia, [2016] B.C.J. No. 334</w:t>
          </w:r>
        </w:p>
      </w:tc>
    </w:tr>
  </w:tbl>
</w:hdr>
</file>

<file path=word/header8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Chau v. Crawford, [2015] B.C.J. No. 2099</w:t>
          </w:r>
        </w:p>
      </w:tc>
    </w:tr>
  </w:tbl>
</w:hdr>
</file>

<file path=word/header8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8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Dobie v. Dlin, [2002] B.C.J. No. 507</w:t>
          </w:r>
        </w:p>
      </w:tc>
    </w:tr>
  </w:tbl>
</w:hdr>
</file>

<file path=word/header9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Foisy Estate v. Queen of the North (The), [2008] B.C.J. No. 2518</w:t>
          </w:r>
        </w:p>
      </w:tc>
    </w:tr>
  </w:tbl>
</w:hdr>
</file>

<file path=word/header9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Forestieri v. Urban Recreation Ltd., [2015] I.L.R. para. G-2642</w:t>
          </w:r>
        </w:p>
      </w:tc>
    </w:tr>
  </w:tbl>
</w:hdr>
</file>

<file path=word/header9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9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Gunderson v. Jackson, [2005] B.C.J. No. 1862</w:t>
          </w:r>
        </w:p>
      </w:tc>
    </w:tr>
  </w:tbl>
</w:hdr>
</file>

<file path=word/header9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Hardie v. Kamloops Towne Lodge Ltd., [2014] B.C.J. No. 1065</w:t>
          </w:r>
        </w:p>
      </w:tc>
    </w:tr>
  </w:tbl>
</w:hdr>
</file>

<file path=word/header10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Harris v. Ladner Centre Holdings Ltd., [2008] B.C.J. No. 2462</w:t>
          </w:r>
        </w:p>
      </w:tc>
    </w:tr>
  </w:tbl>
</w:hdr>
</file>

<file path=word/header10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Hughes v. Baldwin, [2003] B.C.J. No. 2816</w:t>
          </w:r>
        </w:p>
      </w:tc>
    </w:tr>
  </w:tbl>
</w:hdr>
</file>

<file path=word/header10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0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Lam v. University of British Columbia, [2009] B.C.J. No. 281</w:t>
          </w:r>
        </w:p>
      </w:tc>
    </w:tr>
  </w:tbl>
</w:hdr>
</file>

<file path=word/header11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Lawrence v. Prince Rupert (City), [2003] B.C.J. No. 1987</w:t>
          </w:r>
        </w:p>
      </w:tc>
    </w:tr>
  </w:tbl>
</w:hdr>
</file>

<file path=word/header11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Lee v. Transamerica Life Canada, [2016] B.C.J. No. 220</w:t>
          </w:r>
        </w:p>
      </w:tc>
    </w:tr>
  </w:tbl>
</w:hdr>
</file>

<file path=word/header11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1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Loychuk v. Cougar Mountain Adventures Ltd., [2011] I.L.R. para. G-2375</w:t>
          </w:r>
        </w:p>
      </w:tc>
    </w:tr>
  </w:tbl>
</w:hdr>
</file>

<file path=word/header12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McKee (Guardian ad litem of) v. McCoy, [2001] B.C.J. No. 2675</w:t>
          </w:r>
        </w:p>
      </w:tc>
    </w:tr>
  </w:tbl>
</w:hdr>
</file>

<file path=word/header12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Mitchell (Guardian ad litem of) v. James, [2007] B.C.J. No. 1337</w:t>
          </w:r>
        </w:p>
      </w:tc>
    </w:tr>
  </w:tbl>
</w:hdr>
</file>

<file path=word/header12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2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National Union Fire Insurance Company of Pittsburgh, PA. v. National Semiconductor Corp., [2006] B.C.J. No. 229</w:t>
          </w:r>
        </w:p>
      </w:tc>
    </w:tr>
  </w:tbl>
</w:hdr>
</file>

<file path=word/header12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Newton v. Newton, [2002] B.C.J. No. 1220</w:t>
          </w:r>
        </w:p>
      </w:tc>
    </w:tr>
  </w:tbl>
</w:hdr>
</file>

<file path=word/header13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O'Ruairc (Guardian ad litem of) v. Pelletier, [2002] B.C.J. No. 953</w:t>
          </w:r>
        </w:p>
      </w:tc>
    </w:tr>
  </w:tbl>
</w:hdr>
</file>

<file path=word/header13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Plakholm v. Victoria (City), [2009] B.C.J. No. 1551</w:t>
          </w:r>
        </w:p>
      </w:tc>
    </w:tr>
  </w:tbl>
</w:hdr>
</file>

<file path=word/header13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3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Qiao v. Buckley, [2008] B.C.J. No. 2533</w:t>
          </w:r>
        </w:p>
      </w:tc>
    </w:tr>
  </w:tbl>
</w:hdr>
</file>

<file path=word/header14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Quade v. Schwartz, [2008] B.C.J. No. 1032</w:t>
          </w:r>
        </w:p>
      </w:tc>
    </w:tr>
  </w:tbl>
</w:hdr>
</file>

<file path=word/header14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Reimer Express Lines Ltd. v. Burke, [2010] B.C.J. No. 573</w:t>
          </w:r>
        </w:p>
      </w:tc>
    </w:tr>
  </w:tbl>
</w:hdr>
</file>

<file path=word/header14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header14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Style w:val="TableNormal"/>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Renger v. Vancouver (City), [2003] B.C.J. No. 437</w:t>
          </w:r>
        </w:p>
      </w:tc>
    </w:tr>
  </w:tbl>
</w:hdr>
</file>

<file path=word/header150.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
    <w:nsid w:val="00000002"/>
    <w:multiLevelType w:val="multilevel"/>
    <w:tmpl w:val="00000002"/>
    <w:lvl w:ilvl="0">
      <w:start w:val="4"/>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
    <w:nsid w:val="00000003"/>
    <w:multiLevelType w:val="multilevel"/>
    <w:tmpl w:val="00000003"/>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
    <w:nsid w:val="00000004"/>
    <w:multiLevelType w:val="multilevel"/>
    <w:tmpl w:val="00000004"/>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
    <w:nsid w:val="00000005"/>
    <w:multiLevelType w:val="multilevel"/>
    <w:tmpl w:val="00000005"/>
    <w:lvl w:ilvl="0">
      <w:start w:val="3"/>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
    <w:nsid w:val="00000006"/>
    <w:multiLevelType w:val="multilevel"/>
    <w:tmpl w:val="00000006"/>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
    <w:nsid w:val="00000007"/>
    <w:multiLevelType w:val="multilevel"/>
    <w:tmpl w:val="00000007"/>
    <w:lvl w:ilvl="0">
      <w:start w:val="1"/>
      <w:numFmt w:val="lowerLetter"/>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
    <w:nsid w:val="00000008"/>
    <w:multiLevelType w:val="multilevel"/>
    <w:tmpl w:val="00000008"/>
    <w:lvl w:ilvl="0">
      <w:start w:val="1"/>
      <w:numFmt w:val="decimal"/>
      <w:lvlText w:val="1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
    <w:nsid w:val="00000009"/>
    <w:multiLevelType w:val="multilevel"/>
    <w:tmpl w:val="00000009"/>
    <w:lvl w:ilvl="0">
      <w:start w:val="1"/>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
    <w:nsid w:val="0000000A"/>
    <w:multiLevelType w:val="multilevel"/>
    <w:tmpl w:val="0000000A"/>
    <w:lvl w:ilvl="0">
      <w:start w:val="1"/>
      <w:numFmt w:val="decimal"/>
      <w:lvlText w:val="3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
    <w:nsid w:val="0000000B"/>
    <w:multiLevelType w:val="multilevel"/>
    <w:tmpl w:val="0000000B"/>
    <w:lvl w:ilvl="0">
      <w:start w:val="1"/>
      <w:numFmt w:val="decimal"/>
      <w:lvlText w:val="3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
    <w:nsid w:val="0000000C"/>
    <w:multiLevelType w:val="multilevel"/>
    <w:tmpl w:val="0000000C"/>
    <w:lvl w:ilvl="0">
      <w:start w:val="1"/>
      <w:numFmt w:val="decimal"/>
      <w:lvlText w:val="5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
    <w:nsid w:val="0000000D"/>
    <w:multiLevelType w:val="multilevel"/>
    <w:tmpl w:val="0000000D"/>
    <w:lvl w:ilvl="0">
      <w:start w:val="1"/>
      <w:numFmt w:val="decimal"/>
      <w:lvlText w:val="4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
    <w:nsid w:val="0000000E"/>
    <w:multiLevelType w:val="multilevel"/>
    <w:tmpl w:val="0000000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
    <w:nsid w:val="0000000F"/>
    <w:multiLevelType w:val="multilevel"/>
    <w:tmpl w:val="0000000F"/>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
    <w:nsid w:val="00000010"/>
    <w:multiLevelType w:val="multilevel"/>
    <w:tmpl w:val="00000010"/>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
    <w:nsid w:val="00000011"/>
    <w:multiLevelType w:val="multilevel"/>
    <w:tmpl w:val="00000011"/>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
    <w:nsid w:val="00000012"/>
    <w:multiLevelType w:val="multilevel"/>
    <w:tmpl w:val="00000012"/>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
    <w:nsid w:val="00000013"/>
    <w:multiLevelType w:val="multilevel"/>
    <w:tmpl w:val="00000013"/>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
    <w:nsid w:val="00000014"/>
    <w:multiLevelType w:val="multilevel"/>
    <w:tmpl w:val="00000014"/>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
    <w:nsid w:val="00000015"/>
    <w:multiLevelType w:val="multilevel"/>
    <w:tmpl w:val="00000015"/>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
    <w:nsid w:val="00000016"/>
    <w:multiLevelType w:val="multilevel"/>
    <w:tmpl w:val="00000016"/>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
    <w:nsid w:val="00000017"/>
    <w:multiLevelType w:val="multilevel"/>
    <w:tmpl w:val="00000017"/>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
    <w:nsid w:val="00000018"/>
    <w:multiLevelType w:val="multilevel"/>
    <w:tmpl w:val="00000018"/>
    <w:lvl w:ilvl="0">
      <w:start w:val="5"/>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
    <w:nsid w:val="00000019"/>
    <w:multiLevelType w:val="multilevel"/>
    <w:tmpl w:val="00000019"/>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
    <w:nsid w:val="0000001A"/>
    <w:multiLevelType w:val="multilevel"/>
    <w:tmpl w:val="0000001A"/>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
    <w:nsid w:val="0000001B"/>
    <w:multiLevelType w:val="multilevel"/>
    <w:tmpl w:val="0000001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
    <w:nsid w:val="0000001C"/>
    <w:multiLevelType w:val="multilevel"/>
    <w:tmpl w:val="0000001C"/>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
    <w:nsid w:val="0000001D"/>
    <w:multiLevelType w:val="multilevel"/>
    <w:tmpl w:val="0000001D"/>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
    <w:nsid w:val="0000001E"/>
    <w:multiLevelType w:val="multilevel"/>
    <w:tmpl w:val="0000001E"/>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
    <w:nsid w:val="0000001F"/>
    <w:multiLevelType w:val="multilevel"/>
    <w:tmpl w:val="0000001F"/>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
    <w:nsid w:val="00000020"/>
    <w:multiLevelType w:val="multilevel"/>
    <w:tmpl w:val="00000020"/>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
    <w:nsid w:val="00000021"/>
    <w:multiLevelType w:val="multilevel"/>
    <w:tmpl w:val="00000021"/>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
    <w:nsid w:val="00000022"/>
    <w:multiLevelType w:val="multilevel"/>
    <w:tmpl w:val="0000002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
    <w:nsid w:val="00000023"/>
    <w:multiLevelType w:val="multilevel"/>
    <w:tmpl w:val="0000002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
    <w:nsid w:val="00000024"/>
    <w:multiLevelType w:val="multilevel"/>
    <w:tmpl w:val="0000002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
    <w:nsid w:val="00000025"/>
    <w:multiLevelType w:val="multilevel"/>
    <w:tmpl w:val="0000002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
    <w:nsid w:val="00000026"/>
    <w:multiLevelType w:val="multilevel"/>
    <w:tmpl w:val="00000026"/>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
    <w:nsid w:val="00000027"/>
    <w:multiLevelType w:val="multilevel"/>
    <w:tmpl w:val="0000002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
    <w:nsid w:val="00000028"/>
    <w:multiLevelType w:val="multilevel"/>
    <w:tmpl w:val="0000002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
    <w:nsid w:val="00000029"/>
    <w:multiLevelType w:val="multilevel"/>
    <w:tmpl w:val="0000002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
    <w:nsid w:val="0000002A"/>
    <w:multiLevelType w:val="multilevel"/>
    <w:tmpl w:val="0000002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
    <w:nsid w:val="0000002B"/>
    <w:multiLevelType w:val="multilevel"/>
    <w:tmpl w:val="0000002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
    <w:nsid w:val="0000002C"/>
    <w:multiLevelType w:val="multilevel"/>
    <w:tmpl w:val="0000002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
    <w:nsid w:val="0000002D"/>
    <w:multiLevelType w:val="multilevel"/>
    <w:tmpl w:val="0000002D"/>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
    <w:nsid w:val="0000002E"/>
    <w:multiLevelType w:val="multilevel"/>
    <w:tmpl w:val="0000002E"/>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
    <w:nsid w:val="0000002F"/>
    <w:multiLevelType w:val="multilevel"/>
    <w:tmpl w:val="0000002F"/>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
    <w:nsid w:val="00000030"/>
    <w:multiLevelType w:val="multilevel"/>
    <w:tmpl w:val="00000030"/>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
    <w:nsid w:val="00000031"/>
    <w:multiLevelType w:val="multilevel"/>
    <w:tmpl w:val="00000031"/>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
    <w:nsid w:val="00000032"/>
    <w:multiLevelType w:val="multilevel"/>
    <w:tmpl w:val="00000032"/>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
    <w:nsid w:val="00000033"/>
    <w:multiLevelType w:val="multilevel"/>
    <w:tmpl w:val="00000033"/>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
    <w:nsid w:val="00000034"/>
    <w:multiLevelType w:val="multilevel"/>
    <w:tmpl w:val="00000034"/>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
    <w:nsid w:val="00000035"/>
    <w:multiLevelType w:val="multilevel"/>
    <w:tmpl w:val="0000003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3">
    <w:nsid w:val="00000036"/>
    <w:multiLevelType w:val="multilevel"/>
    <w:tmpl w:val="0000003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4">
    <w:nsid w:val="00000037"/>
    <w:multiLevelType w:val="multilevel"/>
    <w:tmpl w:val="00000037"/>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5">
    <w:nsid w:val="00000038"/>
    <w:multiLevelType w:val="multilevel"/>
    <w:tmpl w:val="00000038"/>
    <w:lvl w:ilvl="0">
      <w:start w:val="1"/>
      <w:numFmt w:val="decimal"/>
      <w:lvlText w:val="60."/>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6">
    <w:nsid w:val="00000039"/>
    <w:multiLevelType w:val="multilevel"/>
    <w:tmpl w:val="00000039"/>
    <w:lvl w:ilvl="0">
      <w:start w:val="1"/>
      <w:numFmt w:val="decimal"/>
      <w:lvlText w:val="6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7">
    <w:nsid w:val="0000003A"/>
    <w:multiLevelType w:val="multilevel"/>
    <w:tmpl w:val="0000003A"/>
    <w:lvl w:ilvl="0">
      <w:start w:val="1"/>
      <w:numFmt w:val="decimal"/>
      <w:lvlText w:val="62."/>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8">
    <w:nsid w:val="0000003B"/>
    <w:multiLevelType w:val="multilevel"/>
    <w:tmpl w:val="0000003B"/>
    <w:lvl w:ilvl="0">
      <w:start w:val="1"/>
      <w:numFmt w:val="decimal"/>
      <w:lvlText w:val="63."/>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9">
    <w:nsid w:val="0000003C"/>
    <w:multiLevelType w:val="multilevel"/>
    <w:tmpl w:val="0000003C"/>
    <w:lvl w:ilvl="0">
      <w:start w:val="1"/>
      <w:numFmt w:val="decimal"/>
      <w:lvlText w:val="6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0">
    <w:nsid w:val="0000003D"/>
    <w:multiLevelType w:val="multilevel"/>
    <w:tmpl w:val="0000003D"/>
    <w:lvl w:ilvl="0">
      <w:start w:val="1"/>
      <w:numFmt w:val="decimal"/>
      <w:lvlText w:val="6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1">
    <w:nsid w:val="0000003E"/>
    <w:multiLevelType w:val="multilevel"/>
    <w:tmpl w:val="0000003E"/>
    <w:lvl w:ilvl="0">
      <w:start w:val="1"/>
      <w:numFmt w:val="decimal"/>
      <w:lvlText w:val="66."/>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2">
    <w:nsid w:val="0000003F"/>
    <w:multiLevelType w:val="multilevel"/>
    <w:tmpl w:val="0000003F"/>
    <w:lvl w:ilvl="0">
      <w:start w:val="1"/>
      <w:numFmt w:val="decimal"/>
      <w:lvlText w:val="67."/>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3">
    <w:nsid w:val="00000040"/>
    <w:multiLevelType w:val="multilevel"/>
    <w:tmpl w:val="00000040"/>
    <w:lvl w:ilvl="0">
      <w:start w:val="1"/>
      <w:numFmt w:val="decimal"/>
      <w:lvlText w:val="68."/>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4">
    <w:nsid w:val="00000041"/>
    <w:multiLevelType w:val="multilevel"/>
    <w:tmpl w:val="0000004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5">
    <w:nsid w:val="00000042"/>
    <w:multiLevelType w:val="multilevel"/>
    <w:tmpl w:val="0000004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6">
    <w:nsid w:val="00000043"/>
    <w:multiLevelType w:val="multilevel"/>
    <w:tmpl w:val="0000004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7">
    <w:nsid w:val="00000044"/>
    <w:multiLevelType w:val="multilevel"/>
    <w:tmpl w:val="00000044"/>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8">
    <w:nsid w:val="00000045"/>
    <w:multiLevelType w:val="multilevel"/>
    <w:tmpl w:val="0000004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69">
    <w:nsid w:val="00000046"/>
    <w:multiLevelType w:val="multilevel"/>
    <w:tmpl w:val="0000004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0">
    <w:nsid w:val="00000047"/>
    <w:multiLevelType w:val="multilevel"/>
    <w:tmpl w:val="0000004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1">
    <w:nsid w:val="00000048"/>
    <w:multiLevelType w:val="multilevel"/>
    <w:tmpl w:val="0000004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2">
    <w:nsid w:val="00000049"/>
    <w:multiLevelType w:val="multilevel"/>
    <w:tmpl w:val="00000049"/>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3">
    <w:nsid w:val="0000004A"/>
    <w:multiLevelType w:val="multilevel"/>
    <w:tmpl w:val="0000004A"/>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4">
    <w:nsid w:val="0000004B"/>
    <w:multiLevelType w:val="multilevel"/>
    <w:tmpl w:val="0000004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5">
    <w:nsid w:val="0000004C"/>
    <w:multiLevelType w:val="multilevel"/>
    <w:tmpl w:val="0000004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6">
    <w:nsid w:val="0000004D"/>
    <w:multiLevelType w:val="multilevel"/>
    <w:tmpl w:val="0000004D"/>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7">
    <w:nsid w:val="0000004E"/>
    <w:multiLevelType w:val="multilevel"/>
    <w:tmpl w:val="0000004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8">
    <w:nsid w:val="0000004F"/>
    <w:multiLevelType w:val="multilevel"/>
    <w:tmpl w:val="0000004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79">
    <w:nsid w:val="00000050"/>
    <w:multiLevelType w:val="multilevel"/>
    <w:tmpl w:val="0000005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0">
    <w:nsid w:val="00000051"/>
    <w:multiLevelType w:val="multilevel"/>
    <w:tmpl w:val="0000005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1">
    <w:nsid w:val="00000052"/>
    <w:multiLevelType w:val="multilevel"/>
    <w:tmpl w:val="0000005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2">
    <w:nsid w:val="00000053"/>
    <w:multiLevelType w:val="multilevel"/>
    <w:tmpl w:val="00000053"/>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3">
    <w:nsid w:val="00000054"/>
    <w:multiLevelType w:val="multilevel"/>
    <w:tmpl w:val="00000054"/>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4">
    <w:nsid w:val="00000055"/>
    <w:multiLevelType w:val="multilevel"/>
    <w:tmpl w:val="00000055"/>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5">
    <w:nsid w:val="00000056"/>
    <w:multiLevelType w:val="multilevel"/>
    <w:tmpl w:val="00000056"/>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6">
    <w:nsid w:val="00000057"/>
    <w:multiLevelType w:val="multilevel"/>
    <w:tmpl w:val="00000057"/>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7">
    <w:nsid w:val="00000058"/>
    <w:multiLevelType w:val="multilevel"/>
    <w:tmpl w:val="00000058"/>
    <w:lvl w:ilvl="0">
      <w:start w:val="1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8">
    <w:nsid w:val="00000059"/>
    <w:multiLevelType w:val="multilevel"/>
    <w:tmpl w:val="00000059"/>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89">
    <w:nsid w:val="0000005A"/>
    <w:multiLevelType w:val="multilevel"/>
    <w:tmpl w:val="0000005A"/>
    <w:lvl w:ilvl="0">
      <w:start w:val="1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0">
    <w:nsid w:val="0000005B"/>
    <w:multiLevelType w:val="multilevel"/>
    <w:tmpl w:val="0000005B"/>
    <w:lvl w:ilvl="0">
      <w:start w:val="1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1">
    <w:nsid w:val="0000005C"/>
    <w:multiLevelType w:val="multilevel"/>
    <w:tmpl w:val="0000005C"/>
    <w:lvl w:ilvl="0">
      <w:start w:val="1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2">
    <w:nsid w:val="0000005D"/>
    <w:multiLevelType w:val="multilevel"/>
    <w:tmpl w:val="0000005D"/>
    <w:lvl w:ilvl="0">
      <w:start w:val="1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3">
    <w:nsid w:val="0000005E"/>
    <w:multiLevelType w:val="multilevel"/>
    <w:tmpl w:val="0000005E"/>
    <w:lvl w:ilvl="0">
      <w:start w:val="1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4">
    <w:nsid w:val="0000005F"/>
    <w:multiLevelType w:val="multilevel"/>
    <w:tmpl w:val="0000005F"/>
    <w:lvl w:ilvl="0">
      <w:start w:val="1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5">
    <w:nsid w:val="00000060"/>
    <w:multiLevelType w:val="multilevel"/>
    <w:tmpl w:val="00000060"/>
    <w:lvl w:ilvl="0">
      <w:start w:val="1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6">
    <w:nsid w:val="00000061"/>
    <w:multiLevelType w:val="multilevel"/>
    <w:tmpl w:val="00000061"/>
    <w:lvl w:ilvl="0">
      <w:start w:val="19"/>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7">
    <w:nsid w:val="00000062"/>
    <w:multiLevelType w:val="multilevel"/>
    <w:tmpl w:val="00000062"/>
    <w:lvl w:ilvl="0">
      <w:start w:val="20"/>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8">
    <w:nsid w:val="00000063"/>
    <w:multiLevelType w:val="multilevel"/>
    <w:tmpl w:val="00000063"/>
    <w:lvl w:ilvl="0">
      <w:start w:val="2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99">
    <w:nsid w:val="00000064"/>
    <w:multiLevelType w:val="multilevel"/>
    <w:tmpl w:val="00000064"/>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0">
    <w:nsid w:val="00000065"/>
    <w:multiLevelType w:val="multilevel"/>
    <w:tmpl w:val="00000065"/>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1">
    <w:nsid w:val="00000066"/>
    <w:multiLevelType w:val="multilevel"/>
    <w:tmpl w:val="00000066"/>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2">
    <w:nsid w:val="00000067"/>
    <w:multiLevelType w:val="multilevel"/>
    <w:tmpl w:val="00000067"/>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3">
    <w:nsid w:val="00000068"/>
    <w:multiLevelType w:val="multilevel"/>
    <w:tmpl w:val="00000068"/>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4">
    <w:nsid w:val="00000069"/>
    <w:multiLevelType w:val="multilevel"/>
    <w:tmpl w:val="00000069"/>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5">
    <w:nsid w:val="0000006A"/>
    <w:multiLevelType w:val="multilevel"/>
    <w:tmpl w:val="0000006A"/>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6">
    <w:nsid w:val="0000006B"/>
    <w:multiLevelType w:val="multilevel"/>
    <w:tmpl w:val="0000006B"/>
    <w:lvl w:ilvl="0">
      <w:start w:val="1"/>
      <w:numFmt w:val="decimal"/>
      <w:lvlText w:val="v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7">
    <w:nsid w:val="0000006C"/>
    <w:multiLevelType w:val="multilevel"/>
    <w:tmpl w:val="0000006C"/>
    <w:lvl w:ilvl="0">
      <w:start w:val="1"/>
      <w:numFmt w:val="decimal"/>
      <w:lvlText w:val="v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8">
    <w:nsid w:val="0000006D"/>
    <w:multiLevelType w:val="multilevel"/>
    <w:tmpl w:val="0000006D"/>
    <w:lvl w:ilvl="0">
      <w:start w:val="1"/>
      <w:numFmt w:val="decimal"/>
      <w:lvlText w:val="ix."/>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09">
    <w:nsid w:val="0000006E"/>
    <w:multiLevelType w:val="multilevel"/>
    <w:tmpl w:val="0000006E"/>
    <w:lvl w:ilvl="0">
      <w:start w:val="1"/>
      <w:numFmt w:val="decimal"/>
      <w:lvlText w:val="x."/>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0">
    <w:nsid w:val="0000006F"/>
    <w:multiLevelType w:val="multilevel"/>
    <w:tmpl w:val="0000006F"/>
    <w:lvl w:ilvl="0">
      <w:start w:val="1"/>
      <w:numFmt w:val="decimal"/>
      <w:lvlText w:val="x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1">
    <w:nsid w:val="00000070"/>
    <w:multiLevelType w:val="multilevel"/>
    <w:tmpl w:val="0000007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2">
    <w:nsid w:val="00000071"/>
    <w:multiLevelType w:val="multilevel"/>
    <w:tmpl w:val="00000071"/>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3">
    <w:nsid w:val="00000072"/>
    <w:multiLevelType w:val="multilevel"/>
    <w:tmpl w:val="00000072"/>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4">
    <w:nsid w:val="00000073"/>
    <w:multiLevelType w:val="multilevel"/>
    <w:tmpl w:val="00000073"/>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5">
    <w:nsid w:val="00000074"/>
    <w:multiLevelType w:val="multilevel"/>
    <w:tmpl w:val="00000074"/>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6">
    <w:nsid w:val="00000075"/>
    <w:multiLevelType w:val="multilevel"/>
    <w:tmpl w:val="00000075"/>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7">
    <w:nsid w:val="00000076"/>
    <w:multiLevelType w:val="multilevel"/>
    <w:tmpl w:val="00000076"/>
    <w:lvl w:ilvl="0">
      <w:start w:val="1"/>
      <w:numFmt w:val="decimal"/>
      <w:lvlText w:val="v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8">
    <w:nsid w:val="00000077"/>
    <w:multiLevelType w:val="multilevel"/>
    <w:tmpl w:val="0000007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19">
    <w:nsid w:val="00000078"/>
    <w:multiLevelType w:val="multilevel"/>
    <w:tmpl w:val="00000078"/>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0">
    <w:nsid w:val="00000079"/>
    <w:multiLevelType w:val="multilevel"/>
    <w:tmpl w:val="00000079"/>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1">
    <w:nsid w:val="0000007A"/>
    <w:multiLevelType w:val="multilevel"/>
    <w:tmpl w:val="0000007A"/>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2">
    <w:nsid w:val="0000007B"/>
    <w:multiLevelType w:val="multilevel"/>
    <w:tmpl w:val="0000007B"/>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3">
    <w:nsid w:val="0000007C"/>
    <w:multiLevelType w:val="multilevel"/>
    <w:tmpl w:val="0000007C"/>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4">
    <w:nsid w:val="0000007D"/>
    <w:multiLevelType w:val="multilevel"/>
    <w:tmpl w:val="0000007D"/>
    <w:lvl w:ilvl="0">
      <w:start w:val="1"/>
      <w:numFmt w:val="decimal"/>
      <w:lvlText w:val="v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5">
    <w:nsid w:val="0000007E"/>
    <w:multiLevelType w:val="multilevel"/>
    <w:tmpl w:val="0000007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6">
    <w:nsid w:val="0000007F"/>
    <w:multiLevelType w:val="multilevel"/>
    <w:tmpl w:val="0000007F"/>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7">
    <w:nsid w:val="00000080"/>
    <w:multiLevelType w:val="multilevel"/>
    <w:tmpl w:val="00000080"/>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8">
    <w:nsid w:val="00000081"/>
    <w:multiLevelType w:val="multilevel"/>
    <w:tmpl w:val="0000008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29">
    <w:nsid w:val="00000082"/>
    <w:multiLevelType w:val="multilevel"/>
    <w:tmpl w:val="00000082"/>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0">
    <w:nsid w:val="00000083"/>
    <w:multiLevelType w:val="multilevel"/>
    <w:tmpl w:val="00000083"/>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1">
    <w:nsid w:val="00000084"/>
    <w:multiLevelType w:val="multilevel"/>
    <w:tmpl w:val="00000084"/>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2">
    <w:nsid w:val="00000085"/>
    <w:multiLevelType w:val="multilevel"/>
    <w:tmpl w:val="00000085"/>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3">
    <w:nsid w:val="00000086"/>
    <w:multiLevelType w:val="multilevel"/>
    <w:tmpl w:val="00000086"/>
    <w:lvl w:ilvl="0">
      <w:start w:val="1"/>
      <w:numFmt w:val="decimal"/>
      <w:lvlText w:val="v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4">
    <w:nsid w:val="00000087"/>
    <w:multiLevelType w:val="multilevel"/>
    <w:tmpl w:val="00000087"/>
    <w:lvl w:ilvl="0">
      <w:start w:val="1"/>
      <w:numFmt w:val="decimal"/>
      <w:lvlText w:val="v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5">
    <w:nsid w:val="00000088"/>
    <w:multiLevelType w:val="multilevel"/>
    <w:tmpl w:val="00000088"/>
    <w:lvl w:ilvl="0">
      <w:start w:val="1"/>
      <w:numFmt w:val="decimal"/>
      <w:lvlText w:val="v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6">
    <w:nsid w:val="00000089"/>
    <w:multiLevelType w:val="multilevel"/>
    <w:tmpl w:val="0000008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7">
    <w:nsid w:val="0000008A"/>
    <w:multiLevelType w:val="multilevel"/>
    <w:tmpl w:val="0000008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8">
    <w:nsid w:val="0000008B"/>
    <w:multiLevelType w:val="multilevel"/>
    <w:tmpl w:val="0000008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39">
    <w:nsid w:val="0000008C"/>
    <w:multiLevelType w:val="multilevel"/>
    <w:tmpl w:val="0000008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0">
    <w:nsid w:val="0000008D"/>
    <w:multiLevelType w:val="multilevel"/>
    <w:tmpl w:val="0000008D"/>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1">
    <w:nsid w:val="0000008E"/>
    <w:multiLevelType w:val="multilevel"/>
    <w:tmpl w:val="0000008E"/>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2">
    <w:nsid w:val="0000008F"/>
    <w:multiLevelType w:val="multilevel"/>
    <w:tmpl w:val="0000008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3">
    <w:nsid w:val="00000090"/>
    <w:multiLevelType w:val="multilevel"/>
    <w:tmpl w:val="0000009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4">
    <w:nsid w:val="00000091"/>
    <w:multiLevelType w:val="multilevel"/>
    <w:tmpl w:val="0000009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5">
    <w:nsid w:val="00000092"/>
    <w:multiLevelType w:val="multilevel"/>
    <w:tmpl w:val="0000009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6">
    <w:nsid w:val="00000093"/>
    <w:multiLevelType w:val="multilevel"/>
    <w:tmpl w:val="00000093"/>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7">
    <w:nsid w:val="00000094"/>
    <w:multiLevelType w:val="multilevel"/>
    <w:tmpl w:val="00000094"/>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8">
    <w:nsid w:val="00000095"/>
    <w:multiLevelType w:val="multilevel"/>
    <w:tmpl w:val="00000095"/>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49">
    <w:nsid w:val="00000096"/>
    <w:multiLevelType w:val="multilevel"/>
    <w:tmpl w:val="0000009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0">
    <w:nsid w:val="00000097"/>
    <w:multiLevelType w:val="multilevel"/>
    <w:tmpl w:val="0000009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1">
    <w:nsid w:val="00000098"/>
    <w:multiLevelType w:val="multilevel"/>
    <w:tmpl w:val="0000009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2">
    <w:nsid w:val="00000099"/>
    <w:multiLevelType w:val="multilevel"/>
    <w:tmpl w:val="0000009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3">
    <w:nsid w:val="0000009A"/>
    <w:multiLevelType w:val="multilevel"/>
    <w:tmpl w:val="0000009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4">
    <w:nsid w:val="0000009B"/>
    <w:multiLevelType w:val="multilevel"/>
    <w:tmpl w:val="0000009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5">
    <w:nsid w:val="0000009C"/>
    <w:multiLevelType w:val="multilevel"/>
    <w:tmpl w:val="0000009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6">
    <w:nsid w:val="0000009D"/>
    <w:multiLevelType w:val="multilevel"/>
    <w:tmpl w:val="0000009D"/>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7">
    <w:nsid w:val="0000009E"/>
    <w:multiLevelType w:val="multilevel"/>
    <w:tmpl w:val="0000009E"/>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8">
    <w:nsid w:val="0000009F"/>
    <w:multiLevelType w:val="multilevel"/>
    <w:tmpl w:val="0000009F"/>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59">
    <w:nsid w:val="000000A0"/>
    <w:multiLevelType w:val="multilevel"/>
    <w:tmpl w:val="000000A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0">
    <w:nsid w:val="000000A1"/>
    <w:multiLevelType w:val="multilevel"/>
    <w:tmpl w:val="000000A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1">
    <w:nsid w:val="000000A2"/>
    <w:multiLevelType w:val="multilevel"/>
    <w:tmpl w:val="000000A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2">
    <w:nsid w:val="000000A3"/>
    <w:multiLevelType w:val="multilevel"/>
    <w:tmpl w:val="000000A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3">
    <w:nsid w:val="000000A4"/>
    <w:multiLevelType w:val="multilevel"/>
    <w:tmpl w:val="000000A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4">
    <w:nsid w:val="000000A5"/>
    <w:multiLevelType w:val="multilevel"/>
    <w:tmpl w:val="000000A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5">
    <w:nsid w:val="000000A6"/>
    <w:multiLevelType w:val="multilevel"/>
    <w:tmpl w:val="000000A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6">
    <w:nsid w:val="000000A7"/>
    <w:multiLevelType w:val="multilevel"/>
    <w:tmpl w:val="000000A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7">
    <w:nsid w:val="000000A8"/>
    <w:multiLevelType w:val="multilevel"/>
    <w:tmpl w:val="000000A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8">
    <w:nsid w:val="000000A9"/>
    <w:multiLevelType w:val="multilevel"/>
    <w:tmpl w:val="000000A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69">
    <w:nsid w:val="000000AA"/>
    <w:multiLevelType w:val="multilevel"/>
    <w:tmpl w:val="000000AA"/>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0">
    <w:nsid w:val="000000AB"/>
    <w:multiLevelType w:val="multilevel"/>
    <w:tmpl w:val="000000A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1">
    <w:nsid w:val="000000AC"/>
    <w:multiLevelType w:val="multilevel"/>
    <w:tmpl w:val="000000A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2">
    <w:nsid w:val="000000AD"/>
    <w:multiLevelType w:val="multilevel"/>
    <w:tmpl w:val="000000AD"/>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3">
    <w:nsid w:val="000000AE"/>
    <w:multiLevelType w:val="multilevel"/>
    <w:tmpl w:val="000000AE"/>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4">
    <w:nsid w:val="000000AF"/>
    <w:multiLevelType w:val="multilevel"/>
    <w:tmpl w:val="000000AF"/>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5">
    <w:nsid w:val="000000B0"/>
    <w:multiLevelType w:val="multilevel"/>
    <w:tmpl w:val="000000B0"/>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6">
    <w:nsid w:val="000000B1"/>
    <w:multiLevelType w:val="multilevel"/>
    <w:tmpl w:val="000000B1"/>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7">
    <w:nsid w:val="000000B2"/>
    <w:multiLevelType w:val="multilevel"/>
    <w:tmpl w:val="000000B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8">
    <w:nsid w:val="000000B3"/>
    <w:multiLevelType w:val="multilevel"/>
    <w:tmpl w:val="000000B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79">
    <w:nsid w:val="000000B4"/>
    <w:multiLevelType w:val="multilevel"/>
    <w:tmpl w:val="000000B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0">
    <w:nsid w:val="000000B5"/>
    <w:multiLevelType w:val="multilevel"/>
    <w:tmpl w:val="000000B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1">
    <w:nsid w:val="000000B6"/>
    <w:multiLevelType w:val="multilevel"/>
    <w:tmpl w:val="000000B6"/>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2">
    <w:nsid w:val="000000B7"/>
    <w:multiLevelType w:val="multilevel"/>
    <w:tmpl w:val="000000B7"/>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3">
    <w:nsid w:val="000000B8"/>
    <w:multiLevelType w:val="multilevel"/>
    <w:tmpl w:val="000000B8"/>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4">
    <w:nsid w:val="000000B9"/>
    <w:multiLevelType w:val="multilevel"/>
    <w:tmpl w:val="000000B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5">
    <w:nsid w:val="000000BA"/>
    <w:multiLevelType w:val="multilevel"/>
    <w:tmpl w:val="000000B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6">
    <w:nsid w:val="000000BB"/>
    <w:multiLevelType w:val="multilevel"/>
    <w:tmpl w:val="000000B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7">
    <w:nsid w:val="000000BC"/>
    <w:multiLevelType w:val="multilevel"/>
    <w:tmpl w:val="000000B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8">
    <w:nsid w:val="000000BD"/>
    <w:multiLevelType w:val="multilevel"/>
    <w:tmpl w:val="000000B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89">
    <w:nsid w:val="000000BE"/>
    <w:multiLevelType w:val="multilevel"/>
    <w:tmpl w:val="000000B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0">
    <w:nsid w:val="000000BF"/>
    <w:multiLevelType w:val="multilevel"/>
    <w:tmpl w:val="000000B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1">
    <w:nsid w:val="000000C0"/>
    <w:multiLevelType w:val="multilevel"/>
    <w:tmpl w:val="000000C0"/>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2">
    <w:nsid w:val="000000C1"/>
    <w:multiLevelType w:val="multilevel"/>
    <w:tmpl w:val="000000C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3">
    <w:nsid w:val="000000C2"/>
    <w:multiLevelType w:val="multilevel"/>
    <w:tmpl w:val="000000C2"/>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4">
    <w:nsid w:val="000000C3"/>
    <w:multiLevelType w:val="multilevel"/>
    <w:tmpl w:val="000000C3"/>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5">
    <w:nsid w:val="000000C4"/>
    <w:multiLevelType w:val="multilevel"/>
    <w:tmpl w:val="000000C4"/>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6">
    <w:nsid w:val="000000C5"/>
    <w:multiLevelType w:val="multilevel"/>
    <w:tmpl w:val="000000C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7">
    <w:nsid w:val="000000C6"/>
    <w:multiLevelType w:val="multilevel"/>
    <w:tmpl w:val="000000C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8">
    <w:nsid w:val="000000C7"/>
    <w:multiLevelType w:val="multilevel"/>
    <w:tmpl w:val="000000C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199">
    <w:nsid w:val="000000C8"/>
    <w:multiLevelType w:val="multilevel"/>
    <w:tmpl w:val="000000C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0">
    <w:nsid w:val="000000C9"/>
    <w:multiLevelType w:val="multilevel"/>
    <w:tmpl w:val="000000C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1">
    <w:nsid w:val="000000CA"/>
    <w:multiLevelType w:val="multilevel"/>
    <w:tmpl w:val="000000C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2">
    <w:nsid w:val="000000CB"/>
    <w:multiLevelType w:val="multilevel"/>
    <w:tmpl w:val="000000C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3">
    <w:nsid w:val="000000CC"/>
    <w:multiLevelType w:val="multilevel"/>
    <w:tmpl w:val="000000C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4">
    <w:nsid w:val="000000CD"/>
    <w:multiLevelType w:val="multilevel"/>
    <w:tmpl w:val="000000CD"/>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5">
    <w:nsid w:val="000000CE"/>
    <w:multiLevelType w:val="multilevel"/>
    <w:tmpl w:val="000000CE"/>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6">
    <w:nsid w:val="000000CF"/>
    <w:multiLevelType w:val="multilevel"/>
    <w:tmpl w:val="000000CF"/>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7">
    <w:nsid w:val="000000D0"/>
    <w:multiLevelType w:val="multilevel"/>
    <w:tmpl w:val="000000D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8">
    <w:nsid w:val="000000D1"/>
    <w:multiLevelType w:val="multilevel"/>
    <w:tmpl w:val="000000D1"/>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09">
    <w:nsid w:val="000000D2"/>
    <w:multiLevelType w:val="multilevel"/>
    <w:tmpl w:val="000000D2"/>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0">
    <w:nsid w:val="000000D3"/>
    <w:multiLevelType w:val="multilevel"/>
    <w:tmpl w:val="000000D3"/>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1">
    <w:nsid w:val="000000D4"/>
    <w:multiLevelType w:val="multilevel"/>
    <w:tmpl w:val="000000D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2">
    <w:nsid w:val="000000D5"/>
    <w:multiLevelType w:val="multilevel"/>
    <w:tmpl w:val="000000D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3">
    <w:nsid w:val="000000D6"/>
    <w:multiLevelType w:val="multilevel"/>
    <w:tmpl w:val="000000D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4">
    <w:nsid w:val="000000D7"/>
    <w:multiLevelType w:val="multilevel"/>
    <w:tmpl w:val="000000D7"/>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5">
    <w:nsid w:val="000000D8"/>
    <w:multiLevelType w:val="multilevel"/>
    <w:tmpl w:val="000000D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6">
    <w:nsid w:val="000000D9"/>
    <w:multiLevelType w:val="multilevel"/>
    <w:tmpl w:val="000000D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7">
    <w:nsid w:val="000000DA"/>
    <w:multiLevelType w:val="multilevel"/>
    <w:tmpl w:val="000000DA"/>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8">
    <w:nsid w:val="000000DB"/>
    <w:multiLevelType w:val="multilevel"/>
    <w:tmpl w:val="000000DB"/>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19">
    <w:nsid w:val="000000DC"/>
    <w:multiLevelType w:val="multilevel"/>
    <w:tmpl w:val="000000D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0">
    <w:nsid w:val="000000DD"/>
    <w:multiLevelType w:val="multilevel"/>
    <w:tmpl w:val="000000DD"/>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1">
    <w:nsid w:val="000000DE"/>
    <w:multiLevelType w:val="multilevel"/>
    <w:tmpl w:val="000000D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2">
    <w:nsid w:val="000000DF"/>
    <w:multiLevelType w:val="multilevel"/>
    <w:tmpl w:val="000000DF"/>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3">
    <w:nsid w:val="000000E0"/>
    <w:multiLevelType w:val="multilevel"/>
    <w:tmpl w:val="000000E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4">
    <w:nsid w:val="000000E1"/>
    <w:multiLevelType w:val="multilevel"/>
    <w:tmpl w:val="000000E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5">
    <w:nsid w:val="000000E2"/>
    <w:multiLevelType w:val="multilevel"/>
    <w:tmpl w:val="000000E2"/>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6">
    <w:nsid w:val="000000E3"/>
    <w:multiLevelType w:val="multilevel"/>
    <w:tmpl w:val="000000E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7">
    <w:nsid w:val="000000E4"/>
    <w:multiLevelType w:val="multilevel"/>
    <w:tmpl w:val="000000E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8">
    <w:nsid w:val="000000E5"/>
    <w:multiLevelType w:val="multilevel"/>
    <w:tmpl w:val="000000E5"/>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29">
    <w:nsid w:val="000000E6"/>
    <w:multiLevelType w:val="multilevel"/>
    <w:tmpl w:val="000000E6"/>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0">
    <w:nsid w:val="000000E7"/>
    <w:multiLevelType w:val="multilevel"/>
    <w:tmpl w:val="000000E7"/>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1">
    <w:nsid w:val="000000E8"/>
    <w:multiLevelType w:val="multilevel"/>
    <w:tmpl w:val="000000E8"/>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2">
    <w:nsid w:val="000000E9"/>
    <w:multiLevelType w:val="multilevel"/>
    <w:tmpl w:val="000000E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3">
    <w:nsid w:val="000000EA"/>
    <w:multiLevelType w:val="multilevel"/>
    <w:tmpl w:val="000000E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4">
    <w:nsid w:val="000000EB"/>
    <w:multiLevelType w:val="multilevel"/>
    <w:tmpl w:val="000000E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5">
    <w:nsid w:val="000000EC"/>
    <w:multiLevelType w:val="multilevel"/>
    <w:tmpl w:val="000000E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6">
    <w:nsid w:val="000000ED"/>
    <w:multiLevelType w:val="multilevel"/>
    <w:tmpl w:val="000000ED"/>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7">
    <w:nsid w:val="000000EE"/>
    <w:multiLevelType w:val="multilevel"/>
    <w:tmpl w:val="000000EE"/>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8">
    <w:nsid w:val="000000EF"/>
    <w:multiLevelType w:val="multilevel"/>
    <w:tmpl w:val="000000EF"/>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39">
    <w:nsid w:val="000000F0"/>
    <w:multiLevelType w:val="multilevel"/>
    <w:tmpl w:val="000000F0"/>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0">
    <w:nsid w:val="000000F1"/>
    <w:multiLevelType w:val="multilevel"/>
    <w:tmpl w:val="000000F1"/>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1">
    <w:nsid w:val="000000F2"/>
    <w:multiLevelType w:val="multilevel"/>
    <w:tmpl w:val="000000F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2">
    <w:nsid w:val="000000F3"/>
    <w:multiLevelType w:val="multilevel"/>
    <w:tmpl w:val="000000F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3">
    <w:nsid w:val="000000F4"/>
    <w:multiLevelType w:val="multilevel"/>
    <w:tmpl w:val="000000F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4">
    <w:nsid w:val="000000F5"/>
    <w:multiLevelType w:val="multilevel"/>
    <w:tmpl w:val="000000F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5">
    <w:nsid w:val="000000F6"/>
    <w:multiLevelType w:val="multilevel"/>
    <w:tmpl w:val="000000F6"/>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6">
    <w:nsid w:val="000000F7"/>
    <w:multiLevelType w:val="multilevel"/>
    <w:tmpl w:val="000000F7"/>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7">
    <w:nsid w:val="000000F8"/>
    <w:multiLevelType w:val="multilevel"/>
    <w:tmpl w:val="000000F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8">
    <w:nsid w:val="000000F9"/>
    <w:multiLevelType w:val="multilevel"/>
    <w:tmpl w:val="000000F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49">
    <w:nsid w:val="000000FA"/>
    <w:multiLevelType w:val="multilevel"/>
    <w:tmpl w:val="000000F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0">
    <w:nsid w:val="000000FB"/>
    <w:multiLevelType w:val="multilevel"/>
    <w:tmpl w:val="000000F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1">
    <w:nsid w:val="000000FC"/>
    <w:multiLevelType w:val="multilevel"/>
    <w:tmpl w:val="000000FC"/>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2">
    <w:nsid w:val="000000FD"/>
    <w:multiLevelType w:val="multilevel"/>
    <w:tmpl w:val="000000FD"/>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3">
    <w:nsid w:val="000000FE"/>
    <w:multiLevelType w:val="multilevel"/>
    <w:tmpl w:val="000000FE"/>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4">
    <w:nsid w:val="000000FF"/>
    <w:multiLevelType w:val="multilevel"/>
    <w:tmpl w:val="000000F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5">
    <w:nsid w:val="00000100"/>
    <w:multiLevelType w:val="multilevel"/>
    <w:tmpl w:val="0000010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6">
    <w:nsid w:val="00000101"/>
    <w:multiLevelType w:val="multilevel"/>
    <w:tmpl w:val="0000010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7">
    <w:nsid w:val="00000102"/>
    <w:multiLevelType w:val="multilevel"/>
    <w:tmpl w:val="00000102"/>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8">
    <w:nsid w:val="00000103"/>
    <w:multiLevelType w:val="multilevel"/>
    <w:tmpl w:val="00000103"/>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59">
    <w:nsid w:val="00000104"/>
    <w:multiLevelType w:val="multilevel"/>
    <w:tmpl w:val="00000104"/>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0">
    <w:nsid w:val="00000105"/>
    <w:multiLevelType w:val="multilevel"/>
    <w:tmpl w:val="00000105"/>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1">
    <w:nsid w:val="00000106"/>
    <w:multiLevelType w:val="multilevel"/>
    <w:tmpl w:val="00000106"/>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2">
    <w:nsid w:val="00000107"/>
    <w:multiLevelType w:val="multilevel"/>
    <w:tmpl w:val="0000010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3">
    <w:nsid w:val="00000108"/>
    <w:multiLevelType w:val="multilevel"/>
    <w:tmpl w:val="0000010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4">
    <w:nsid w:val="00000109"/>
    <w:multiLevelType w:val="multilevel"/>
    <w:tmpl w:val="0000010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5">
    <w:nsid w:val="0000010A"/>
    <w:multiLevelType w:val="multilevel"/>
    <w:tmpl w:val="0000010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6">
    <w:nsid w:val="0000010B"/>
    <w:multiLevelType w:val="multilevel"/>
    <w:tmpl w:val="0000010B"/>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7">
    <w:nsid w:val="0000010C"/>
    <w:multiLevelType w:val="multilevel"/>
    <w:tmpl w:val="0000010C"/>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8">
    <w:nsid w:val="0000010D"/>
    <w:multiLevelType w:val="multilevel"/>
    <w:tmpl w:val="0000010D"/>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69">
    <w:nsid w:val="0000010E"/>
    <w:multiLevelType w:val="multilevel"/>
    <w:tmpl w:val="0000010E"/>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0">
    <w:nsid w:val="0000010F"/>
    <w:multiLevelType w:val="multilevel"/>
    <w:tmpl w:val="0000010F"/>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1">
    <w:nsid w:val="00000110"/>
    <w:multiLevelType w:val="multilevel"/>
    <w:tmpl w:val="00000110"/>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2">
    <w:nsid w:val="00000111"/>
    <w:multiLevelType w:val="multilevel"/>
    <w:tmpl w:val="00000111"/>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3">
    <w:nsid w:val="00000112"/>
    <w:multiLevelType w:val="multilevel"/>
    <w:tmpl w:val="00000112"/>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4">
    <w:nsid w:val="00000113"/>
    <w:multiLevelType w:val="multilevel"/>
    <w:tmpl w:val="00000113"/>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5">
    <w:nsid w:val="00000114"/>
    <w:multiLevelType w:val="multilevel"/>
    <w:tmpl w:val="00000114"/>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6">
    <w:nsid w:val="00000115"/>
    <w:multiLevelType w:val="multilevel"/>
    <w:tmpl w:val="0000011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7">
    <w:nsid w:val="00000116"/>
    <w:multiLevelType w:val="multilevel"/>
    <w:tmpl w:val="0000011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8">
    <w:nsid w:val="00000117"/>
    <w:multiLevelType w:val="multilevel"/>
    <w:tmpl w:val="0000011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79">
    <w:nsid w:val="00000118"/>
    <w:multiLevelType w:val="multilevel"/>
    <w:tmpl w:val="0000011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0">
    <w:nsid w:val="00000119"/>
    <w:multiLevelType w:val="multilevel"/>
    <w:tmpl w:val="0000011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1">
    <w:nsid w:val="0000011A"/>
    <w:multiLevelType w:val="multilevel"/>
    <w:tmpl w:val="0000011A"/>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2">
    <w:nsid w:val="0000011B"/>
    <w:multiLevelType w:val="multilevel"/>
    <w:tmpl w:val="0000011B"/>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3">
    <w:nsid w:val="0000011C"/>
    <w:multiLevelType w:val="multilevel"/>
    <w:tmpl w:val="0000011C"/>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4">
    <w:nsid w:val="0000011D"/>
    <w:multiLevelType w:val="multilevel"/>
    <w:tmpl w:val="0000011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5">
    <w:nsid w:val="0000011E"/>
    <w:multiLevelType w:val="multilevel"/>
    <w:tmpl w:val="0000011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6">
    <w:nsid w:val="0000011F"/>
    <w:multiLevelType w:val="multilevel"/>
    <w:tmpl w:val="0000011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7">
    <w:nsid w:val="00000120"/>
    <w:multiLevelType w:val="multilevel"/>
    <w:tmpl w:val="0000012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8">
    <w:nsid w:val="00000121"/>
    <w:multiLevelType w:val="multilevel"/>
    <w:tmpl w:val="0000012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89">
    <w:nsid w:val="00000122"/>
    <w:multiLevelType w:val="multilevel"/>
    <w:tmpl w:val="0000012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0">
    <w:nsid w:val="00000123"/>
    <w:multiLevelType w:val="multilevel"/>
    <w:tmpl w:val="00000123"/>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1">
    <w:nsid w:val="00000124"/>
    <w:multiLevelType w:val="multilevel"/>
    <w:tmpl w:val="0000012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2">
    <w:nsid w:val="00000125"/>
    <w:multiLevelType w:val="multilevel"/>
    <w:tmpl w:val="0000012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3">
    <w:nsid w:val="00000126"/>
    <w:multiLevelType w:val="multilevel"/>
    <w:tmpl w:val="0000012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4">
    <w:nsid w:val="00000127"/>
    <w:multiLevelType w:val="multilevel"/>
    <w:tmpl w:val="00000127"/>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5">
    <w:nsid w:val="00000128"/>
    <w:multiLevelType w:val="multilevel"/>
    <w:tmpl w:val="0000012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6">
    <w:nsid w:val="00000129"/>
    <w:multiLevelType w:val="multilevel"/>
    <w:tmpl w:val="0000012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7">
    <w:nsid w:val="0000012A"/>
    <w:multiLevelType w:val="multilevel"/>
    <w:tmpl w:val="0000012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8">
    <w:nsid w:val="0000012B"/>
    <w:multiLevelType w:val="multilevel"/>
    <w:tmpl w:val="0000012B"/>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299">
    <w:nsid w:val="0000012C"/>
    <w:multiLevelType w:val="multilevel"/>
    <w:tmpl w:val="0000012C"/>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0">
    <w:nsid w:val="0000012D"/>
    <w:multiLevelType w:val="multilevel"/>
    <w:tmpl w:val="0000012D"/>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1">
    <w:nsid w:val="0000012E"/>
    <w:multiLevelType w:val="multilevel"/>
    <w:tmpl w:val="0000012E"/>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2">
    <w:nsid w:val="0000012F"/>
    <w:multiLevelType w:val="multilevel"/>
    <w:tmpl w:val="0000012F"/>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3">
    <w:nsid w:val="00000130"/>
    <w:multiLevelType w:val="multilevel"/>
    <w:tmpl w:val="00000130"/>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4">
    <w:nsid w:val="00000131"/>
    <w:multiLevelType w:val="multilevel"/>
    <w:tmpl w:val="0000013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5">
    <w:nsid w:val="00000132"/>
    <w:multiLevelType w:val="multilevel"/>
    <w:tmpl w:val="0000013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6">
    <w:nsid w:val="00000133"/>
    <w:multiLevelType w:val="multilevel"/>
    <w:tmpl w:val="0000013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7">
    <w:nsid w:val="00000134"/>
    <w:multiLevelType w:val="multilevel"/>
    <w:tmpl w:val="0000013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8">
    <w:nsid w:val="00000135"/>
    <w:multiLevelType w:val="multilevel"/>
    <w:tmpl w:val="00000135"/>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09">
    <w:nsid w:val="00000136"/>
    <w:multiLevelType w:val="multilevel"/>
    <w:tmpl w:val="0000013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0">
    <w:nsid w:val="00000137"/>
    <w:multiLevelType w:val="multilevel"/>
    <w:tmpl w:val="00000137"/>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1">
    <w:nsid w:val="00000138"/>
    <w:multiLevelType w:val="multilevel"/>
    <w:tmpl w:val="00000138"/>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2">
    <w:nsid w:val="00000139"/>
    <w:multiLevelType w:val="multilevel"/>
    <w:tmpl w:val="00000139"/>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3">
    <w:nsid w:val="0000013A"/>
    <w:multiLevelType w:val="multilevel"/>
    <w:tmpl w:val="0000013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4">
    <w:nsid w:val="0000013B"/>
    <w:multiLevelType w:val="multilevel"/>
    <w:tmpl w:val="0000013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5">
    <w:nsid w:val="0000013C"/>
    <w:multiLevelType w:val="multilevel"/>
    <w:tmpl w:val="0000013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6">
    <w:nsid w:val="0000013D"/>
    <w:multiLevelType w:val="multilevel"/>
    <w:tmpl w:val="0000013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7">
    <w:nsid w:val="0000013E"/>
    <w:multiLevelType w:val="multilevel"/>
    <w:tmpl w:val="0000013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8">
    <w:nsid w:val="0000013F"/>
    <w:multiLevelType w:val="multilevel"/>
    <w:tmpl w:val="0000013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19">
    <w:nsid w:val="00000140"/>
    <w:multiLevelType w:val="multilevel"/>
    <w:tmpl w:val="00000140"/>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0">
    <w:nsid w:val="00000141"/>
    <w:multiLevelType w:val="multilevel"/>
    <w:tmpl w:val="0000014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1">
    <w:nsid w:val="00000142"/>
    <w:multiLevelType w:val="multilevel"/>
    <w:tmpl w:val="00000142"/>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2">
    <w:nsid w:val="00000143"/>
    <w:multiLevelType w:val="multilevel"/>
    <w:tmpl w:val="00000143"/>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3">
    <w:nsid w:val="00000144"/>
    <w:multiLevelType w:val="multilevel"/>
    <w:tmpl w:val="0000014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4">
    <w:nsid w:val="00000145"/>
    <w:multiLevelType w:val="multilevel"/>
    <w:tmpl w:val="00000145"/>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5">
    <w:nsid w:val="00000146"/>
    <w:multiLevelType w:val="multilevel"/>
    <w:tmpl w:val="0000014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6">
    <w:nsid w:val="00000147"/>
    <w:multiLevelType w:val="multilevel"/>
    <w:tmpl w:val="0000014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7">
    <w:nsid w:val="00000148"/>
    <w:multiLevelType w:val="multilevel"/>
    <w:tmpl w:val="00000148"/>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8">
    <w:nsid w:val="00000149"/>
    <w:multiLevelType w:val="multilevel"/>
    <w:tmpl w:val="0000014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29">
    <w:nsid w:val="0000014A"/>
    <w:multiLevelType w:val="multilevel"/>
    <w:tmpl w:val="0000014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0">
    <w:nsid w:val="0000014B"/>
    <w:multiLevelType w:val="multilevel"/>
    <w:tmpl w:val="0000014B"/>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1">
    <w:nsid w:val="0000014C"/>
    <w:multiLevelType w:val="multilevel"/>
    <w:tmpl w:val="0000014C"/>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2">
    <w:nsid w:val="0000014D"/>
    <w:multiLevelType w:val="multilevel"/>
    <w:tmpl w:val="0000014D"/>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3">
    <w:nsid w:val="0000014E"/>
    <w:multiLevelType w:val="multilevel"/>
    <w:tmpl w:val="0000014E"/>
    <w:lvl w:ilvl="0">
      <w:start w:val="3"/>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4">
    <w:nsid w:val="0000014F"/>
    <w:multiLevelType w:val="multilevel"/>
    <w:tmpl w:val="0000014F"/>
    <w:lvl w:ilvl="0">
      <w:start w:val="4"/>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5">
    <w:nsid w:val="00000150"/>
    <w:multiLevelType w:val="multilevel"/>
    <w:tmpl w:val="00000150"/>
    <w:lvl w:ilvl="0">
      <w:start w:val="5"/>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6">
    <w:nsid w:val="00000151"/>
    <w:multiLevelType w:val="multilevel"/>
    <w:tmpl w:val="00000151"/>
    <w:lvl w:ilvl="0">
      <w:start w:val="1"/>
      <w:numFmt w:val="decimal"/>
      <w:lvlText w:val="55."/>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7">
    <w:nsid w:val="00000152"/>
    <w:multiLevelType w:val="multilevel"/>
    <w:tmpl w:val="00000152"/>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8">
    <w:nsid w:val="00000153"/>
    <w:multiLevelType w:val="multilevel"/>
    <w:tmpl w:val="0000015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39">
    <w:nsid w:val="00000154"/>
    <w:multiLevelType w:val="multilevel"/>
    <w:tmpl w:val="0000015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0">
    <w:nsid w:val="00000155"/>
    <w:multiLevelType w:val="multilevel"/>
    <w:tmpl w:val="0000015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1">
    <w:nsid w:val="00000156"/>
    <w:multiLevelType w:val="multilevel"/>
    <w:tmpl w:val="00000156"/>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2">
    <w:nsid w:val="00000157"/>
    <w:multiLevelType w:val="multilevel"/>
    <w:tmpl w:val="00000157"/>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3">
    <w:nsid w:val="00000158"/>
    <w:multiLevelType w:val="multilevel"/>
    <w:tmpl w:val="00000158"/>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4">
    <w:nsid w:val="00000159"/>
    <w:multiLevelType w:val="multilevel"/>
    <w:tmpl w:val="00000159"/>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5">
    <w:nsid w:val="0000015A"/>
    <w:multiLevelType w:val="multilevel"/>
    <w:tmpl w:val="0000015A"/>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6">
    <w:nsid w:val="0000015B"/>
    <w:multiLevelType w:val="multilevel"/>
    <w:tmpl w:val="0000015B"/>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7">
    <w:nsid w:val="0000015C"/>
    <w:multiLevelType w:val="multilevel"/>
    <w:tmpl w:val="0000015C"/>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8">
    <w:nsid w:val="0000015D"/>
    <w:multiLevelType w:val="multilevel"/>
    <w:tmpl w:val="0000015D"/>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49">
    <w:nsid w:val="0000015E"/>
    <w:multiLevelType w:val="multilevel"/>
    <w:tmpl w:val="0000015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0">
    <w:nsid w:val="0000015F"/>
    <w:multiLevelType w:val="multilevel"/>
    <w:tmpl w:val="0000015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1">
    <w:nsid w:val="00000160"/>
    <w:multiLevelType w:val="multilevel"/>
    <w:tmpl w:val="00000160"/>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2">
    <w:nsid w:val="00000161"/>
    <w:multiLevelType w:val="multilevel"/>
    <w:tmpl w:val="00000161"/>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3">
    <w:nsid w:val="00000162"/>
    <w:multiLevelType w:val="multilevel"/>
    <w:tmpl w:val="00000162"/>
    <w:lvl w:ilvl="0">
      <w:start w:val="2"/>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4">
    <w:nsid w:val="00000163"/>
    <w:multiLevelType w:val="multilevel"/>
    <w:tmpl w:val="00000163"/>
    <w:lvl w:ilvl="0">
      <w:start w:val="3"/>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5">
    <w:nsid w:val="00000164"/>
    <w:multiLevelType w:val="multilevel"/>
    <w:tmpl w:val="00000164"/>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6">
    <w:nsid w:val="00000165"/>
    <w:multiLevelType w:val="multilevel"/>
    <w:tmpl w:val="00000165"/>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7">
    <w:nsid w:val="00000166"/>
    <w:multiLevelType w:val="multilevel"/>
    <w:tmpl w:val="00000166"/>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8">
    <w:nsid w:val="00000167"/>
    <w:multiLevelType w:val="multilevel"/>
    <w:tmpl w:val="00000167"/>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59">
    <w:nsid w:val="00000168"/>
    <w:multiLevelType w:val="multilevel"/>
    <w:tmpl w:val="00000168"/>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0">
    <w:nsid w:val="00000169"/>
    <w:multiLevelType w:val="multilevel"/>
    <w:tmpl w:val="00000169"/>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1">
    <w:nsid w:val="0000016A"/>
    <w:multiLevelType w:val="multilevel"/>
    <w:tmpl w:val="0000016A"/>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2">
    <w:nsid w:val="0000016B"/>
    <w:multiLevelType w:val="multilevel"/>
    <w:tmpl w:val="0000016B"/>
    <w:lvl w:ilvl="0">
      <w:start w:val="1"/>
      <w:numFmt w:val="decimal"/>
      <w:lvlText w:val="i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3">
    <w:nsid w:val="0000016C"/>
    <w:multiLevelType w:val="multilevel"/>
    <w:tmpl w:val="0000016C"/>
    <w:lvl w:ilvl="0">
      <w:start w:val="1"/>
      <w:numFmt w:val="decimal"/>
      <w:lvlText w:val="i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4">
    <w:nsid w:val="0000016D"/>
    <w:multiLevelType w:val="multilevel"/>
    <w:tmpl w:val="0000016D"/>
    <w:lvl w:ilvl="0">
      <w:start w:val="1"/>
      <w:numFmt w:val="decimal"/>
      <w:lvlText w:val="v."/>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5">
    <w:nsid w:val="0000016E"/>
    <w:multiLevelType w:val="multilevel"/>
    <w:tmpl w:val="0000016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6">
    <w:nsid w:val="0000016F"/>
    <w:multiLevelType w:val="multilevel"/>
    <w:tmpl w:val="0000016F"/>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7">
    <w:nsid w:val="00000170"/>
    <w:multiLevelType w:val="multilevel"/>
    <w:tmpl w:val="00000170"/>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8">
    <w:nsid w:val="00000171"/>
    <w:multiLevelType w:val="multilevel"/>
    <w:tmpl w:val="0000017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69">
    <w:nsid w:val="00000172"/>
    <w:multiLevelType w:val="multilevel"/>
    <w:tmpl w:val="0000017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0">
    <w:nsid w:val="00000173"/>
    <w:multiLevelType w:val="multilevel"/>
    <w:tmpl w:val="00000173"/>
    <w:lvl w:ilvl="0">
      <w:start w:val="1"/>
      <w:numFmt w:val="lowerRoman"/>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1">
    <w:nsid w:val="00000174"/>
    <w:multiLevelType w:val="multilevel"/>
    <w:tmpl w:val="00000174"/>
    <w:lvl w:ilvl="0">
      <w:start w:val="1"/>
      <w:numFmt w:val="decimal"/>
      <w:lvlText w:val="ii."/>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2">
    <w:nsid w:val="00000175"/>
    <w:multiLevelType w:val="multilevel"/>
    <w:tmpl w:val="00000175"/>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3">
    <w:nsid w:val="00000176"/>
    <w:multiLevelType w:val="multilevel"/>
    <w:tmpl w:val="00000176"/>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4">
    <w:nsid w:val="00000177"/>
    <w:multiLevelType w:val="multilevel"/>
    <w:tmpl w:val="00000177"/>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5">
    <w:nsid w:val="00000178"/>
    <w:multiLevelType w:val="multilevel"/>
    <w:tmpl w:val="0000017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6">
    <w:nsid w:val="00000179"/>
    <w:multiLevelType w:val="multilevel"/>
    <w:tmpl w:val="00000179"/>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7">
    <w:nsid w:val="0000017A"/>
    <w:multiLevelType w:val="multilevel"/>
    <w:tmpl w:val="0000017A"/>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8">
    <w:nsid w:val="0000017B"/>
    <w:multiLevelType w:val="multilevel"/>
    <w:tmpl w:val="0000017B"/>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79">
    <w:nsid w:val="0000017C"/>
    <w:multiLevelType w:val="multilevel"/>
    <w:tmpl w:val="0000017C"/>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0">
    <w:nsid w:val="0000017D"/>
    <w:multiLevelType w:val="multilevel"/>
    <w:tmpl w:val="0000017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1">
    <w:nsid w:val="0000017E"/>
    <w:multiLevelType w:val="multilevel"/>
    <w:tmpl w:val="0000017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2">
    <w:nsid w:val="0000017F"/>
    <w:multiLevelType w:val="multilevel"/>
    <w:tmpl w:val="0000017F"/>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3">
    <w:nsid w:val="00000180"/>
    <w:multiLevelType w:val="multilevel"/>
    <w:tmpl w:val="00000180"/>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4">
    <w:nsid w:val="00000181"/>
    <w:multiLevelType w:val="multilevel"/>
    <w:tmpl w:val="0000018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5">
    <w:nsid w:val="00000182"/>
    <w:multiLevelType w:val="multilevel"/>
    <w:tmpl w:val="00000182"/>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6">
    <w:nsid w:val="00000183"/>
    <w:multiLevelType w:val="multilevel"/>
    <w:tmpl w:val="00000183"/>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7">
    <w:nsid w:val="00000184"/>
    <w:multiLevelType w:val="multilevel"/>
    <w:tmpl w:val="00000184"/>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8">
    <w:nsid w:val="00000185"/>
    <w:multiLevelType w:val="multilevel"/>
    <w:tmpl w:val="00000185"/>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89">
    <w:nsid w:val="00000186"/>
    <w:multiLevelType w:val="multilevel"/>
    <w:tmpl w:val="00000186"/>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0">
    <w:nsid w:val="00000187"/>
    <w:multiLevelType w:val="multilevel"/>
    <w:tmpl w:val="00000187"/>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1">
    <w:nsid w:val="00000188"/>
    <w:multiLevelType w:val="multilevel"/>
    <w:tmpl w:val="0000018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2">
    <w:nsid w:val="00000189"/>
    <w:multiLevelType w:val="multilevel"/>
    <w:tmpl w:val="00000189"/>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3">
    <w:nsid w:val="0000018A"/>
    <w:multiLevelType w:val="multilevel"/>
    <w:tmpl w:val="0000018A"/>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4">
    <w:nsid w:val="0000018B"/>
    <w:multiLevelType w:val="multilevel"/>
    <w:tmpl w:val="0000018B"/>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5">
    <w:nsid w:val="0000018C"/>
    <w:multiLevelType w:val="multilevel"/>
    <w:tmpl w:val="0000018C"/>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6">
    <w:nsid w:val="0000018D"/>
    <w:multiLevelType w:val="multilevel"/>
    <w:tmpl w:val="0000018D"/>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7">
    <w:nsid w:val="0000018E"/>
    <w:multiLevelType w:val="multilevel"/>
    <w:tmpl w:val="0000018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8">
    <w:nsid w:val="0000018F"/>
    <w:multiLevelType w:val="multilevel"/>
    <w:tmpl w:val="0000018F"/>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399">
    <w:nsid w:val="00000190"/>
    <w:multiLevelType w:val="multilevel"/>
    <w:tmpl w:val="00000190"/>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0">
    <w:nsid w:val="00000191"/>
    <w:multiLevelType w:val="multilevel"/>
    <w:tmpl w:val="00000191"/>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1">
    <w:nsid w:val="00000192"/>
    <w:multiLevelType w:val="multilevel"/>
    <w:tmpl w:val="00000192"/>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2">
    <w:nsid w:val="00000193"/>
    <w:multiLevelType w:val="multilevel"/>
    <w:tmpl w:val="00000193"/>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3">
    <w:nsid w:val="00000194"/>
    <w:multiLevelType w:val="multilevel"/>
    <w:tmpl w:val="00000194"/>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4">
    <w:nsid w:val="00000195"/>
    <w:multiLevelType w:val="multilevel"/>
    <w:tmpl w:val="00000195"/>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5">
    <w:nsid w:val="00000196"/>
    <w:multiLevelType w:val="multilevel"/>
    <w:tmpl w:val="00000196"/>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6">
    <w:nsid w:val="00000197"/>
    <w:multiLevelType w:val="multilevel"/>
    <w:tmpl w:val="00000197"/>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7">
    <w:nsid w:val="00000198"/>
    <w:multiLevelType w:val="multilevel"/>
    <w:tmpl w:val="00000198"/>
    <w:lvl w:ilvl="0">
      <w:start w:val="4"/>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8">
    <w:nsid w:val="00000199"/>
    <w:multiLevelType w:val="multilevel"/>
    <w:tmpl w:val="00000199"/>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09">
    <w:nsid w:val="0000019A"/>
    <w:multiLevelType w:val="multilevel"/>
    <w:tmpl w:val="0000019A"/>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0">
    <w:nsid w:val="0000019B"/>
    <w:multiLevelType w:val="multilevel"/>
    <w:tmpl w:val="0000019B"/>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1">
    <w:nsid w:val="0000019C"/>
    <w:multiLevelType w:val="multilevel"/>
    <w:tmpl w:val="0000019C"/>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2">
    <w:nsid w:val="0000019D"/>
    <w:multiLevelType w:val="multilevel"/>
    <w:tmpl w:val="0000019D"/>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3">
    <w:nsid w:val="0000019E"/>
    <w:multiLevelType w:val="multilevel"/>
    <w:tmpl w:val="0000019E"/>
    <w:lvl w:ilvl="0">
      <w:start w:val="1"/>
      <w:numFmt w:val="lowerRoman"/>
      <w:lvlText w:val="(%1)"/>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4">
    <w:nsid w:val="0000019F"/>
    <w:multiLevelType w:val="multilevel"/>
    <w:tmpl w:val="0000019F"/>
    <w:lvl w:ilvl="0">
      <w:start w:val="1"/>
      <w:numFmt w:val="decimal"/>
      <w:lvlText w:val="(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5">
    <w:nsid w:val="000001A0"/>
    <w:multiLevelType w:val="multilevel"/>
    <w:tmpl w:val="000001A0"/>
    <w:lvl w:ilvl="0">
      <w:start w:val="1"/>
      <w:numFmt w:val="decimal"/>
      <w:lvlText w:val="(iii)"/>
      <w:lvlJc w:val="left"/>
      <w:pPr>
        <w:tabs>
          <w:tab w:val="num" w:pos="2200"/>
        </w:tabs>
        <w:ind w:left="220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6">
    <w:nsid w:val="000001A1"/>
    <w:multiLevelType w:val="multilevel"/>
    <w:tmpl w:val="000001A1"/>
    <w:lvl w:ilvl="0">
      <w:start w:val="2"/>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7">
    <w:nsid w:val="000001A2"/>
    <w:multiLevelType w:val="multilevel"/>
    <w:tmpl w:val="000001A2"/>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8">
    <w:nsid w:val="000001A3"/>
    <w:multiLevelType w:val="multilevel"/>
    <w:tmpl w:val="000001A3"/>
    <w:lvl w:ilvl="0">
      <w:start w:val="2"/>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19">
    <w:nsid w:val="000001A4"/>
    <w:multiLevelType w:val="multilevel"/>
    <w:tmpl w:val="000001A4"/>
    <w:lvl w:ilvl="0">
      <w:start w:val="3"/>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0">
    <w:nsid w:val="000001A5"/>
    <w:multiLevelType w:val="multilevel"/>
    <w:tmpl w:val="000001A5"/>
    <w:lvl w:ilvl="0">
      <w:start w:val="4"/>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1">
    <w:nsid w:val="000001A6"/>
    <w:multiLevelType w:val="multilevel"/>
    <w:tmpl w:val="000001A6"/>
    <w:lvl w:ilvl="0">
      <w:start w:val="5"/>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2">
    <w:nsid w:val="000001A7"/>
    <w:multiLevelType w:val="multilevel"/>
    <w:tmpl w:val="000001A7"/>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3">
    <w:nsid w:val="000001A8"/>
    <w:multiLevelType w:val="multilevel"/>
    <w:tmpl w:val="000001A8"/>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4">
    <w:nsid w:val="000001A9"/>
    <w:multiLevelType w:val="multilevel"/>
    <w:tmpl w:val="000001A9"/>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5">
    <w:nsid w:val="000001AA"/>
    <w:multiLevelType w:val="multilevel"/>
    <w:tmpl w:val="000001AA"/>
    <w:lvl w:ilvl="0">
      <w:start w:val="2"/>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6">
    <w:nsid w:val="000001AB"/>
    <w:multiLevelType w:val="multilevel"/>
    <w:tmpl w:val="000001AB"/>
    <w:lvl w:ilvl="0">
      <w:start w:val="3"/>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7">
    <w:nsid w:val="000001AC"/>
    <w:multiLevelType w:val="multilevel"/>
    <w:tmpl w:val="000001AC"/>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8">
    <w:nsid w:val="000001AD"/>
    <w:multiLevelType w:val="multilevel"/>
    <w:tmpl w:val="000001AD"/>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29">
    <w:nsid w:val="000001AE"/>
    <w:multiLevelType w:val="multilevel"/>
    <w:tmpl w:val="000001AE"/>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0">
    <w:nsid w:val="000001AF"/>
    <w:multiLevelType w:val="multilevel"/>
    <w:tmpl w:val="000001AF"/>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1">
    <w:nsid w:val="000001B0"/>
    <w:multiLevelType w:val="multilevel"/>
    <w:tmpl w:val="000001B0"/>
    <w:lvl w:ilvl="0">
      <w:start w:val="2"/>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2">
    <w:nsid w:val="000001B1"/>
    <w:multiLevelType w:val="multilevel"/>
    <w:tmpl w:val="000001B1"/>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3">
    <w:nsid w:val="000001B2"/>
    <w:multiLevelType w:val="multilevel"/>
    <w:tmpl w:val="000001B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4">
    <w:nsid w:val="000001B3"/>
    <w:multiLevelType w:val="multilevel"/>
    <w:tmpl w:val="000001B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5">
    <w:nsid w:val="000001B4"/>
    <w:multiLevelType w:val="multilevel"/>
    <w:tmpl w:val="000001B4"/>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6">
    <w:nsid w:val="000001B5"/>
    <w:multiLevelType w:val="multilevel"/>
    <w:tmpl w:val="000001B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7">
    <w:nsid w:val="000001B6"/>
    <w:multiLevelType w:val="multilevel"/>
    <w:tmpl w:val="000001B6"/>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8">
    <w:nsid w:val="000001B7"/>
    <w:multiLevelType w:val="multilevel"/>
    <w:tmpl w:val="000001B7"/>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39">
    <w:nsid w:val="000001B8"/>
    <w:multiLevelType w:val="multilevel"/>
    <w:tmpl w:val="000001B8"/>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0">
    <w:nsid w:val="000001B9"/>
    <w:multiLevelType w:val="multilevel"/>
    <w:tmpl w:val="000001B9"/>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1">
    <w:nsid w:val="000001BA"/>
    <w:multiLevelType w:val="multilevel"/>
    <w:tmpl w:val="000001BA"/>
    <w:lvl w:ilvl="0">
      <w:start w:val="1"/>
      <w:numFmt w:val="lowerRoman"/>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2">
    <w:nsid w:val="000001BB"/>
    <w:multiLevelType w:val="multilevel"/>
    <w:tmpl w:val="000001BB"/>
    <w:lvl w:ilvl="0">
      <w:start w:val="10"/>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3">
    <w:nsid w:val="000001BC"/>
    <w:multiLevelType w:val="multilevel"/>
    <w:tmpl w:val="000001BC"/>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4">
    <w:nsid w:val="000001BD"/>
    <w:multiLevelType w:val="multilevel"/>
    <w:tmpl w:val="000001BD"/>
    <w:lvl w:ilvl="0">
      <w:start w:val="1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5">
    <w:nsid w:val="000001BE"/>
    <w:multiLevelType w:val="multilevel"/>
    <w:tmpl w:val="000001BE"/>
    <w:lvl w:ilvl="0">
      <w:start w:val="1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6">
    <w:nsid w:val="000001BF"/>
    <w:multiLevelType w:val="multilevel"/>
    <w:tmpl w:val="000001BF"/>
    <w:lvl w:ilvl="0">
      <w:start w:val="1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7">
    <w:nsid w:val="000001C0"/>
    <w:multiLevelType w:val="multilevel"/>
    <w:tmpl w:val="000001C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8">
    <w:nsid w:val="000001C1"/>
    <w:multiLevelType w:val="multilevel"/>
    <w:tmpl w:val="000001C1"/>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49">
    <w:nsid w:val="000001C2"/>
    <w:multiLevelType w:val="multilevel"/>
    <w:tmpl w:val="000001C2"/>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0">
    <w:nsid w:val="000001C3"/>
    <w:multiLevelType w:val="multilevel"/>
    <w:tmpl w:val="000001C3"/>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1">
    <w:nsid w:val="000001C4"/>
    <w:multiLevelType w:val="multilevel"/>
    <w:tmpl w:val="000001C4"/>
    <w:lvl w:ilvl="0">
      <w:start w:val="1"/>
      <w:numFmt w:val="decimal"/>
      <w:lvlText w:val="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2">
    <w:nsid w:val="000001C5"/>
    <w:multiLevelType w:val="multilevel"/>
    <w:tmpl w:val="000001C5"/>
    <w:lvl w:ilvl="0">
      <w:start w:val="1"/>
      <w:numFmt w:val="decimal"/>
      <w:lvlText w:val="iii."/>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3">
    <w:nsid w:val="000001C6"/>
    <w:multiLevelType w:val="multilevel"/>
    <w:tmpl w:val="000001C6"/>
    <w:lvl w:ilvl="0">
      <w:start w:val="1"/>
      <w:numFmt w:val="decimal"/>
      <w:lvlText w:val="i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4">
    <w:nsid w:val="000001C7"/>
    <w:multiLevelType w:val="multilevel"/>
    <w:tmpl w:val="000001C7"/>
    <w:lvl w:ilvl="0">
      <w:start w:val="1"/>
      <w:numFmt w:val="decimal"/>
      <w:lvlText w:val="v."/>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5">
    <w:nsid w:val="000001C8"/>
    <w:multiLevelType w:val="multilevel"/>
    <w:tmpl w:val="000001C8"/>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6">
    <w:nsid w:val="000001C9"/>
    <w:multiLevelType w:val="multilevel"/>
    <w:tmpl w:val="000001C9"/>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7">
    <w:nsid w:val="000001CA"/>
    <w:multiLevelType w:val="multilevel"/>
    <w:tmpl w:val="000001CA"/>
    <w:lvl w:ilvl="0">
      <w:start w:val="6"/>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8">
    <w:nsid w:val="000001CB"/>
    <w:multiLevelType w:val="multilevel"/>
    <w:tmpl w:val="000001CB"/>
    <w:lvl w:ilvl="0">
      <w:start w:val="7"/>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59">
    <w:nsid w:val="000001CC"/>
    <w:multiLevelType w:val="multilevel"/>
    <w:tmpl w:val="000001CC"/>
    <w:lvl w:ilvl="0">
      <w:start w:val="8"/>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0">
    <w:nsid w:val="000001CD"/>
    <w:multiLevelType w:val="multilevel"/>
    <w:tmpl w:val="000001CD"/>
    <w:lvl w:ilvl="0">
      <w:start w:val="1"/>
      <w:numFmt w:val="lowerRoman"/>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1">
    <w:nsid w:val="000001CE"/>
    <w:multiLevelType w:val="multilevel"/>
    <w:tmpl w:val="000001CE"/>
    <w:lvl w:ilvl="0">
      <w:start w:val="10"/>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2">
    <w:nsid w:val="000001CF"/>
    <w:multiLevelType w:val="multilevel"/>
    <w:tmpl w:val="000001CF"/>
    <w:lvl w:ilvl="0">
      <w:start w:val="1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3">
    <w:nsid w:val="000001D0"/>
    <w:multiLevelType w:val="multilevel"/>
    <w:tmpl w:val="000001D0"/>
    <w:lvl w:ilvl="0">
      <w:start w:val="1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4">
    <w:nsid w:val="000001D1"/>
    <w:multiLevelType w:val="multilevel"/>
    <w:tmpl w:val="000001D1"/>
    <w:lvl w:ilvl="0">
      <w:start w:val="1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5">
    <w:nsid w:val="000001D2"/>
    <w:multiLevelType w:val="multilevel"/>
    <w:tmpl w:val="000001D2"/>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6">
    <w:nsid w:val="000001D3"/>
    <w:multiLevelType w:val="multilevel"/>
    <w:tmpl w:val="000001D3"/>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7">
    <w:nsid w:val="000001D4"/>
    <w:multiLevelType w:val="multilevel"/>
    <w:tmpl w:val="000001D4"/>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8">
    <w:nsid w:val="000001D5"/>
    <w:multiLevelType w:val="multilevel"/>
    <w:tmpl w:val="000001D5"/>
    <w:lvl w:ilvl="0">
      <w:start w:val="4"/>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69">
    <w:nsid w:val="000001D6"/>
    <w:multiLevelType w:val="multilevel"/>
    <w:tmpl w:val="000001D6"/>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0">
    <w:nsid w:val="000001D7"/>
    <w:multiLevelType w:val="multilevel"/>
    <w:tmpl w:val="000001D7"/>
    <w:lvl w:ilvl="0">
      <w:start w:val="5"/>
      <w:numFmt w:val="lowerLetter"/>
      <w:lvlText w:val="(%1)"/>
      <w:lvlJc w:val="left"/>
      <w:pPr>
        <w:tabs>
          <w:tab w:val="num" w:pos="1480"/>
        </w:tabs>
        <w:ind w:left="1480" w:hanging="400"/>
      </w:pPr>
      <w:rPr>
        <w:b/>
        <w:i/>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1">
    <w:nsid w:val="000001D8"/>
    <w:multiLevelType w:val="multilevel"/>
    <w:tmpl w:val="000001D8"/>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2">
    <w:nsid w:val="000001D9"/>
    <w:multiLevelType w:val="multilevel"/>
    <w:tmpl w:val="000001D9"/>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3">
    <w:nsid w:val="000001DA"/>
    <w:multiLevelType w:val="multilevel"/>
    <w:tmpl w:val="000001DA"/>
    <w:lvl w:ilvl="0">
      <w:start w:val="3"/>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4">
    <w:nsid w:val="000001DB"/>
    <w:multiLevelType w:val="multilevel"/>
    <w:tmpl w:val="000001DB"/>
    <w:lvl w:ilvl="0">
      <w:start w:val="4"/>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5">
    <w:nsid w:val="000001DC"/>
    <w:multiLevelType w:val="multilevel"/>
    <w:tmpl w:val="000001DC"/>
    <w:lvl w:ilvl="0">
      <w:start w:val="5"/>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6">
    <w:nsid w:val="000001DD"/>
    <w:multiLevelType w:val="multilevel"/>
    <w:tmpl w:val="000001DD"/>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7">
    <w:nsid w:val="000001DE"/>
    <w:multiLevelType w:val="multilevel"/>
    <w:tmpl w:val="000001DE"/>
    <w:lvl w:ilvl="0">
      <w:start w:val="2"/>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8">
    <w:nsid w:val="000001DF"/>
    <w:multiLevelType w:val="multilevel"/>
    <w:tmpl w:val="000001DF"/>
    <w:lvl w:ilvl="0">
      <w:start w:val="3"/>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79">
    <w:nsid w:val="000001E0"/>
    <w:multiLevelType w:val="multilevel"/>
    <w:tmpl w:val="000001E0"/>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0">
    <w:nsid w:val="000001E1"/>
    <w:multiLevelType w:val="multilevel"/>
    <w:tmpl w:val="000001E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1">
    <w:nsid w:val="0097D583"/>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2">
    <w:nsid w:val="028A336B"/>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3">
    <w:nsid w:val="072A8E6E"/>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4">
    <w:nsid w:val="079E7C11"/>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5">
    <w:nsid w:val="08FBFA19"/>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6">
    <w:nsid w:val="0D939431"/>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7">
    <w:nsid w:val="0E81D898"/>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8">
    <w:nsid w:val="0F7267B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89">
    <w:nsid w:val="10556518"/>
    <w:multiLevelType w:val="multilevel"/>
    <w:tmpl w:val="00000001"/>
    <w:lvl w:ilvl="0">
      <w:start w:val="1"/>
      <w:numFmt w:val="lowerRoman"/>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0">
    <w:nsid w:val="11C9D7D1"/>
    <w:multiLevelType w:val="multilevel"/>
    <w:tmpl w:val="00000001"/>
    <w:lvl w:ilvl="0">
      <w:start w:val="2"/>
      <w:numFmt w:val="lowerLetter"/>
      <w:lvlText w:val=" %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1">
    <w:nsid w:val="1600B26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2">
    <w:nsid w:val="1A868FA2"/>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3">
    <w:nsid w:val="212FF3C5"/>
    <w:multiLevelType w:val="multilevel"/>
    <w:tmpl w:val="00000001"/>
    <w:lvl w:ilvl="0">
      <w:start w:val="1"/>
      <w:numFmt w:val="decimal"/>
      <w:lvlText w:val="*"/>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4">
    <w:nsid w:val="215E672B"/>
    <w:multiLevelType w:val="multilevel"/>
    <w:tmpl w:val="00000001"/>
    <w:lvl w:ilvl="0">
      <w:start w:val="1"/>
      <w:numFmt w:val="upperRoman"/>
      <w:lvlText w:val=" %1."/>
      <w:lvlJc w:val="left"/>
      <w:pPr>
        <w:tabs>
          <w:tab w:val="num" w:pos="760"/>
        </w:tabs>
        <w:ind w:left="76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5">
    <w:nsid w:val="23B1BF27"/>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6">
    <w:nsid w:val="294F552C"/>
    <w:multiLevelType w:val="multilevel"/>
    <w:tmpl w:val="00000001"/>
    <w:lvl w:ilvl="0">
      <w:start w:val="1"/>
      <w:numFmt w:val="decimal"/>
      <w:lvlText w:val="15."/>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7">
    <w:nsid w:val="2AE6B080"/>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8">
    <w:nsid w:val="3450CF52"/>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499">
    <w:nsid w:val="3BDC5F12"/>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0">
    <w:nsid w:val="3CFC8AD4"/>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1">
    <w:nsid w:val="3E76D66E"/>
    <w:multiLevelType w:val="multilevel"/>
    <w:tmpl w:val="00000001"/>
    <w:lvl w:ilvl="0">
      <w:start w:val="1"/>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2">
    <w:nsid w:val="44DC08E3"/>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3">
    <w:nsid w:val="46829F40"/>
    <w:multiLevelType w:val="multilevel"/>
    <w:tmpl w:val="00000001"/>
    <w:lvl w:ilvl="0">
      <w:start w:val="6"/>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4">
    <w:nsid w:val="471FAA38"/>
    <w:multiLevelType w:val="multilevel"/>
    <w:tmpl w:val="00000001"/>
    <w:lvl w:ilvl="0">
      <w:start w:val="1"/>
      <w:numFmt w:val="lowerLetter"/>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5">
    <w:nsid w:val="47FE9191"/>
    <w:multiLevelType w:val="multilevel"/>
    <w:tmpl w:val="00000001"/>
    <w:lvl w:ilvl="0">
      <w:start w:val="1"/>
      <w:numFmt w:val="upperRoman"/>
      <w:lvlText w:val="(%1)"/>
      <w:lvlJc w:val="left"/>
      <w:pPr>
        <w:tabs>
          <w:tab w:val="num" w:pos="760"/>
        </w:tabs>
        <w:ind w:left="760" w:hanging="400"/>
      </w:pPr>
      <w:rPr>
        <w:b/>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6">
    <w:nsid w:val="52487709"/>
    <w:multiLevelType w:val="multilevel"/>
    <w:tmpl w:val="00000001"/>
    <w:lvl w:ilvl="0">
      <w:start w:val="1"/>
      <w:numFmt w:val="decimal"/>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7">
    <w:nsid w:val="556EEF5C"/>
    <w:multiLevelType w:val="multilevel"/>
    <w:tmpl w:val="00000001"/>
    <w:lvl w:ilvl="0">
      <w:start w:val="1"/>
      <w:numFmt w:val="decimal"/>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8">
    <w:nsid w:val="576805C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09">
    <w:nsid w:val="5B00D0CF"/>
    <w:multiLevelType w:val="multilevel"/>
    <w:tmpl w:val="00000001"/>
    <w:lvl w:ilvl="0">
      <w:start w:val="7"/>
      <w:numFmt w:val="decimal"/>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0">
    <w:nsid w:val="5D4FE5B0"/>
    <w:multiLevelType w:val="multilevel"/>
    <w:tmpl w:val="00000001"/>
    <w:lvl w:ilvl="0">
      <w:start w:val="1"/>
      <w:numFmt w:val="decimal"/>
      <w:lvlText w:val="1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1">
    <w:nsid w:val="61A3F906"/>
    <w:multiLevelType w:val="multilevel"/>
    <w:tmpl w:val="00000001"/>
    <w:lvl w:ilvl="0">
      <w:start w:val="1"/>
      <w:numFmt w:val="lowerLetter"/>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2">
    <w:nsid w:val="61F45323"/>
    <w:multiLevelType w:val="multilevel"/>
    <w:tmpl w:val="00000001"/>
    <w:lvl w:ilvl="0">
      <w:start w:val="4"/>
      <w:numFmt w:val="decimal"/>
      <w:lvlText w:val="(%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3">
    <w:nsid w:val="651FE725"/>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4">
    <w:nsid w:val="684327CA"/>
    <w:multiLevelType w:val="multilevel"/>
    <w:tmpl w:val="00000001"/>
    <w:lvl w:ilvl="0">
      <w:start w:val="2"/>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5">
    <w:nsid w:val="6E0E6307"/>
    <w:multiLevelType w:val="multilevel"/>
    <w:tmpl w:val="00000001"/>
    <w:lvl w:ilvl="0">
      <w:start w:val="1"/>
      <w:numFmt w:val="lowerLetter"/>
      <w:lvlText w:val="(%1)"/>
      <w:lvlJc w:val="left"/>
      <w:pPr>
        <w:tabs>
          <w:tab w:val="num" w:pos="1840"/>
        </w:tabs>
        <w:ind w:left="184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6">
    <w:nsid w:val="70925A09"/>
    <w:multiLevelType w:val="multilevel"/>
    <w:tmpl w:val="00000001"/>
    <w:lvl w:ilvl="0">
      <w:start w:val="1"/>
      <w:numFmt w:val="lowerLetter"/>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7">
    <w:nsid w:val="71A1AD10"/>
    <w:multiLevelType w:val="multilevel"/>
    <w:tmpl w:val="00000001"/>
    <w:lvl w:ilvl="0">
      <w:start w:val="1"/>
      <w:numFmt w:val="decimal"/>
      <w:lvlText w:val=" %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8">
    <w:nsid w:val="745D3253"/>
    <w:multiLevelType w:val="multilevel"/>
    <w:tmpl w:val="00000001"/>
    <w:lvl w:ilvl="0">
      <w:start w:val="1"/>
      <w:numFmt w:val="decimal"/>
      <w:lvlText w:val="14."/>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19">
    <w:nsid w:val="77A7D16E"/>
    <w:multiLevelType w:val="multilevel"/>
    <w:tmpl w:val="00000001"/>
    <w:lvl w:ilvl="0">
      <w:start w:val="1"/>
      <w:numFmt w:val="decimal"/>
      <w:lvlText w:val="*"/>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0">
    <w:nsid w:val="7D200B97"/>
    <w:multiLevelType w:val="multilevel"/>
    <w:tmpl w:val="00000001"/>
    <w:lvl w:ilvl="0">
      <w:start w:val="1"/>
      <w:numFmt w:val="decimal"/>
      <w:lvlText w:val="(%1)"/>
      <w:lvlJc w:val="left"/>
      <w:pPr>
        <w:tabs>
          <w:tab w:val="num" w:pos="1480"/>
        </w:tabs>
        <w:ind w:left="148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abstractNum w:abstractNumId="521">
    <w:nsid w:val="7D70883C"/>
    <w:multiLevelType w:val="multilevel"/>
    <w:tmpl w:val="00000001"/>
    <w:lvl w:ilvl="0">
      <w:start w:val="1"/>
      <w:numFmt w:val="lowerLetter"/>
      <w:lvlText w:val=" %1)"/>
      <w:lvlJc w:val="left"/>
      <w:pPr>
        <w:tabs>
          <w:tab w:val="num" w:pos="1120"/>
        </w:tabs>
        <w:ind w:left="1120" w:hanging="400"/>
      </w:pPr>
      <w:rPr>
        <w:b w:val="0"/>
        <w:i w:val="0"/>
        <w:color w:val="000000"/>
        <w:sz w:val="20"/>
      </w:rPr>
    </w:lvl>
    <w:lvl w:ilvl="1">
      <w:start w:val="1"/>
      <w:numFmt w:val="lowerLetter"/>
      <w:lvlText w:val="%2."/>
      <w:lvlJc w:val="left"/>
      <w:pPr>
        <w:tabs>
          <w:tab w:val="num" w:pos="1440"/>
        </w:tabs>
        <w:ind w:left="1440" w:hanging="360"/>
      </w:pPr>
    </w:lvl>
    <w:lvl w:ilvl="2">
      <w:start w:val="1"/>
      <w:numFmt w:val="lowerRoman"/>
      <w:lvlText w:val="%3."/>
      <w:lvlJc w:val="right"/>
      <w:pPr>
        <w:tabs>
          <w:tab w:val="num" w:pos="2160"/>
        </w:tabs>
        <w:ind w:left="2160" w:hanging="180"/>
      </w:pPr>
    </w:lvl>
    <w:lvl w:ilvl="3">
      <w:start w:val="1"/>
      <w:numFmt w:val="decimal"/>
      <w:lvlText w:val="%4."/>
      <w:lvlJc w:val="left"/>
      <w:pPr>
        <w:tabs>
          <w:tab w:val="num" w:pos="2880"/>
        </w:tabs>
        <w:ind w:left="2880" w:hanging="360"/>
      </w:pPr>
    </w:lvl>
    <w:lvl w:ilvl="4">
      <w:start w:val="1"/>
      <w:numFmt w:val="lowerLetter"/>
      <w:lvlText w:val="%5."/>
      <w:lvlJc w:val="left"/>
      <w:pPr>
        <w:tabs>
          <w:tab w:val="num" w:pos="3600"/>
        </w:tabs>
        <w:ind w:left="3600" w:hanging="360"/>
      </w:pPr>
    </w:lvl>
    <w:lvl w:ilvl="5">
      <w:start w:val="1"/>
      <w:numFmt w:val="lowerRoman"/>
      <w:lvlText w:val="%6."/>
      <w:lvlJc w:val="right"/>
      <w:pPr>
        <w:tabs>
          <w:tab w:val="num" w:pos="4320"/>
        </w:tabs>
        <w:ind w:left="4320" w:hanging="180"/>
      </w:pPr>
    </w:lvl>
    <w:lvl w:ilvl="6">
      <w:start w:val="1"/>
      <w:numFmt w:val="decimal"/>
      <w:lvlText w:val="%7."/>
      <w:lvlJc w:val="left"/>
      <w:pPr>
        <w:tabs>
          <w:tab w:val="num" w:pos="5040"/>
        </w:tabs>
        <w:ind w:left="5040" w:hanging="360"/>
      </w:pPr>
    </w:lvl>
    <w:lvl w:ilvl="7">
      <w:start w:val="1"/>
      <w:numFmt w:val="lowerLetter"/>
      <w:lvlText w:val="%8."/>
      <w:lvlJc w:val="left"/>
      <w:pPr>
        <w:tabs>
          <w:tab w:val="num" w:pos="5760"/>
        </w:tabs>
        <w:ind w:left="5760" w:hanging="360"/>
      </w:pPr>
    </w:lvl>
    <w:lvl w:ilvl="8">
      <w:start w:val="1"/>
      <w:numFmt w:val="lowerRoman"/>
      <w:lvlText w:val="%9."/>
      <w:lvlJc w:val="right"/>
      <w:pPr>
        <w:tabs>
          <w:tab w:val="num" w:pos="6480"/>
        </w:tabs>
        <w:ind w:left="6480" w:hanging="180"/>
      </w:pPr>
    </w:lvl>
  </w:abstractNum>
  <w:num w:numId="1">
    <w:abstractNumId w:val="0"/>
  </w:num>
  <w:num w:numId="2">
    <w:abstractNumId w:val="1"/>
  </w:num>
  <w:num w:numId="3">
    <w:abstractNumId w:val="2"/>
  </w:num>
  <w:num w:numId="4">
    <w:abstractNumId w:val="3"/>
  </w:num>
  <w:num w:numId="5">
    <w:abstractNumId w:val="4"/>
  </w:num>
  <w:num w:numId="6">
    <w:abstractNumId w:val="5"/>
  </w:num>
  <w:num w:numId="7">
    <w:abstractNumId w:val="6"/>
  </w:num>
  <w:num w:numId="8">
    <w:abstractNumId w:val="498"/>
  </w:num>
  <w:num w:numId="9">
    <w:abstractNumId w:val="7"/>
  </w:num>
  <w:num w:numId="10">
    <w:abstractNumId w:val="8"/>
  </w:num>
  <w:num w:numId="11">
    <w:abstractNumId w:val="9"/>
  </w:num>
  <w:num w:numId="12">
    <w:abstractNumId w:val="10"/>
  </w:num>
  <w:num w:numId="13">
    <w:abstractNumId w:val="521"/>
  </w:num>
  <w:num w:numId="14">
    <w:abstractNumId w:val="11"/>
  </w:num>
  <w:num w:numId="15">
    <w:abstractNumId w:val="12"/>
  </w:num>
  <w:num w:numId="16">
    <w:abstractNumId w:val="13"/>
  </w:num>
  <w:num w:numId="17">
    <w:abstractNumId w:val="482"/>
  </w:num>
  <w:num w:numId="18">
    <w:abstractNumId w:val="506"/>
  </w:num>
  <w:num w:numId="19">
    <w:abstractNumId w:val="14"/>
  </w:num>
  <w:num w:numId="20">
    <w:abstractNumId w:val="15"/>
  </w:num>
  <w:num w:numId="21">
    <w:abstractNumId w:val="16"/>
  </w:num>
  <w:num w:numId="22">
    <w:abstractNumId w:val="17"/>
  </w:num>
  <w:num w:numId="23">
    <w:abstractNumId w:val="18"/>
  </w:num>
  <w:num w:numId="24">
    <w:abstractNumId w:val="19"/>
  </w:num>
  <w:num w:numId="25">
    <w:abstractNumId w:val="20"/>
  </w:num>
  <w:num w:numId="26">
    <w:abstractNumId w:val="21"/>
  </w:num>
  <w:num w:numId="27">
    <w:abstractNumId w:val="22"/>
  </w:num>
  <w:num w:numId="28">
    <w:abstractNumId w:val="23"/>
  </w:num>
  <w:num w:numId="29">
    <w:abstractNumId w:val="24"/>
  </w:num>
  <w:num w:numId="30">
    <w:abstractNumId w:val="25"/>
  </w:num>
  <w:num w:numId="31">
    <w:abstractNumId w:val="26"/>
  </w:num>
  <w:num w:numId="32">
    <w:abstractNumId w:val="27"/>
  </w:num>
  <w:num w:numId="33">
    <w:abstractNumId w:val="28"/>
  </w:num>
  <w:num w:numId="34">
    <w:abstractNumId w:val="29"/>
  </w:num>
  <w:num w:numId="35">
    <w:abstractNumId w:val="30"/>
  </w:num>
  <w:num w:numId="36">
    <w:abstractNumId w:val="31"/>
  </w:num>
  <w:num w:numId="37">
    <w:abstractNumId w:val="32"/>
  </w:num>
  <w:num w:numId="38">
    <w:abstractNumId w:val="33"/>
  </w:num>
  <w:num w:numId="39">
    <w:abstractNumId w:val="34"/>
  </w:num>
  <w:num w:numId="40">
    <w:abstractNumId w:val="35"/>
  </w:num>
  <w:num w:numId="41">
    <w:abstractNumId w:val="36"/>
  </w:num>
  <w:num w:numId="42">
    <w:abstractNumId w:val="37"/>
  </w:num>
  <w:num w:numId="43">
    <w:abstractNumId w:val="38"/>
  </w:num>
  <w:num w:numId="44">
    <w:abstractNumId w:val="39"/>
  </w:num>
  <w:num w:numId="45">
    <w:abstractNumId w:val="40"/>
  </w:num>
  <w:num w:numId="46">
    <w:abstractNumId w:val="41"/>
  </w:num>
  <w:num w:numId="47">
    <w:abstractNumId w:val="42"/>
  </w:num>
  <w:num w:numId="48">
    <w:abstractNumId w:val="43"/>
  </w:num>
  <w:num w:numId="49">
    <w:abstractNumId w:val="44"/>
  </w:num>
  <w:num w:numId="50">
    <w:abstractNumId w:val="45"/>
  </w:num>
  <w:num w:numId="51">
    <w:abstractNumId w:val="46"/>
  </w:num>
  <w:num w:numId="52">
    <w:abstractNumId w:val="47"/>
  </w:num>
  <w:num w:numId="53">
    <w:abstractNumId w:val="48"/>
  </w:num>
  <w:num w:numId="54">
    <w:abstractNumId w:val="49"/>
  </w:num>
  <w:num w:numId="55">
    <w:abstractNumId w:val="50"/>
  </w:num>
  <w:num w:numId="56">
    <w:abstractNumId w:val="51"/>
  </w:num>
  <w:num w:numId="57">
    <w:abstractNumId w:val="52"/>
  </w:num>
  <w:num w:numId="58">
    <w:abstractNumId w:val="53"/>
  </w:num>
  <w:num w:numId="59">
    <w:abstractNumId w:val="54"/>
  </w:num>
  <w:num w:numId="60">
    <w:abstractNumId w:val="55"/>
  </w:num>
  <w:num w:numId="61">
    <w:abstractNumId w:val="56"/>
  </w:num>
  <w:num w:numId="62">
    <w:abstractNumId w:val="57"/>
  </w:num>
  <w:num w:numId="63">
    <w:abstractNumId w:val="58"/>
  </w:num>
  <w:num w:numId="64">
    <w:abstractNumId w:val="59"/>
  </w:num>
  <w:num w:numId="65">
    <w:abstractNumId w:val="60"/>
  </w:num>
  <w:num w:numId="66">
    <w:abstractNumId w:val="61"/>
  </w:num>
  <w:num w:numId="67">
    <w:abstractNumId w:val="62"/>
  </w:num>
  <w:num w:numId="68">
    <w:abstractNumId w:val="63"/>
  </w:num>
  <w:num w:numId="69">
    <w:abstractNumId w:val="64"/>
  </w:num>
  <w:num w:numId="70">
    <w:abstractNumId w:val="65"/>
  </w:num>
  <w:num w:numId="71">
    <w:abstractNumId w:val="66"/>
  </w:num>
  <w:num w:numId="72">
    <w:abstractNumId w:val="67"/>
  </w:num>
  <w:num w:numId="73">
    <w:abstractNumId w:val="68"/>
  </w:num>
  <w:num w:numId="74">
    <w:abstractNumId w:val="69"/>
  </w:num>
  <w:num w:numId="75">
    <w:abstractNumId w:val="70"/>
  </w:num>
  <w:num w:numId="76">
    <w:abstractNumId w:val="71"/>
  </w:num>
  <w:num w:numId="77">
    <w:abstractNumId w:val="72"/>
  </w:num>
  <w:num w:numId="78">
    <w:abstractNumId w:val="73"/>
  </w:num>
  <w:num w:numId="79">
    <w:abstractNumId w:val="74"/>
  </w:num>
  <w:num w:numId="80">
    <w:abstractNumId w:val="75"/>
  </w:num>
  <w:num w:numId="81">
    <w:abstractNumId w:val="76"/>
  </w:num>
  <w:num w:numId="82">
    <w:abstractNumId w:val="77"/>
  </w:num>
  <w:num w:numId="83">
    <w:abstractNumId w:val="78"/>
  </w:num>
  <w:num w:numId="84">
    <w:abstractNumId w:val="79"/>
  </w:num>
  <w:num w:numId="85">
    <w:abstractNumId w:val="80"/>
  </w:num>
  <w:num w:numId="86">
    <w:abstractNumId w:val="81"/>
  </w:num>
  <w:num w:numId="87">
    <w:abstractNumId w:val="82"/>
  </w:num>
  <w:num w:numId="88">
    <w:abstractNumId w:val="83"/>
  </w:num>
  <w:num w:numId="89">
    <w:abstractNumId w:val="84"/>
  </w:num>
  <w:num w:numId="90">
    <w:abstractNumId w:val="85"/>
  </w:num>
  <w:num w:numId="91">
    <w:abstractNumId w:val="86"/>
  </w:num>
  <w:num w:numId="92">
    <w:abstractNumId w:val="87"/>
  </w:num>
  <w:num w:numId="93">
    <w:abstractNumId w:val="88"/>
  </w:num>
  <w:num w:numId="94">
    <w:abstractNumId w:val="89"/>
  </w:num>
  <w:num w:numId="95">
    <w:abstractNumId w:val="90"/>
  </w:num>
  <w:num w:numId="96">
    <w:abstractNumId w:val="91"/>
  </w:num>
  <w:num w:numId="97">
    <w:abstractNumId w:val="92"/>
  </w:num>
  <w:num w:numId="98">
    <w:abstractNumId w:val="93"/>
  </w:num>
  <w:num w:numId="99">
    <w:abstractNumId w:val="94"/>
  </w:num>
  <w:num w:numId="100">
    <w:abstractNumId w:val="95"/>
  </w:num>
  <w:num w:numId="101">
    <w:abstractNumId w:val="96"/>
  </w:num>
  <w:num w:numId="102">
    <w:abstractNumId w:val="97"/>
  </w:num>
  <w:num w:numId="103">
    <w:abstractNumId w:val="98"/>
  </w:num>
  <w:num w:numId="104">
    <w:abstractNumId w:val="99"/>
  </w:num>
  <w:num w:numId="105">
    <w:abstractNumId w:val="100"/>
  </w:num>
  <w:num w:numId="106">
    <w:abstractNumId w:val="101"/>
  </w:num>
  <w:num w:numId="107">
    <w:abstractNumId w:val="102"/>
  </w:num>
  <w:num w:numId="108">
    <w:abstractNumId w:val="103"/>
  </w:num>
  <w:num w:numId="109">
    <w:abstractNumId w:val="104"/>
  </w:num>
  <w:num w:numId="110">
    <w:abstractNumId w:val="105"/>
  </w:num>
  <w:num w:numId="111">
    <w:abstractNumId w:val="106"/>
  </w:num>
  <w:num w:numId="112">
    <w:abstractNumId w:val="107"/>
  </w:num>
  <w:num w:numId="113">
    <w:abstractNumId w:val="108"/>
  </w:num>
  <w:num w:numId="114">
    <w:abstractNumId w:val="109"/>
  </w:num>
  <w:num w:numId="115">
    <w:abstractNumId w:val="110"/>
  </w:num>
  <w:num w:numId="116">
    <w:abstractNumId w:val="111"/>
  </w:num>
  <w:num w:numId="117">
    <w:abstractNumId w:val="112"/>
  </w:num>
  <w:num w:numId="118">
    <w:abstractNumId w:val="113"/>
  </w:num>
  <w:num w:numId="119">
    <w:abstractNumId w:val="114"/>
  </w:num>
  <w:num w:numId="120">
    <w:abstractNumId w:val="115"/>
  </w:num>
  <w:num w:numId="121">
    <w:abstractNumId w:val="116"/>
  </w:num>
  <w:num w:numId="122">
    <w:abstractNumId w:val="117"/>
  </w:num>
  <w:num w:numId="123">
    <w:abstractNumId w:val="118"/>
  </w:num>
  <w:num w:numId="124">
    <w:abstractNumId w:val="119"/>
  </w:num>
  <w:num w:numId="125">
    <w:abstractNumId w:val="120"/>
  </w:num>
  <w:num w:numId="126">
    <w:abstractNumId w:val="121"/>
  </w:num>
  <w:num w:numId="127">
    <w:abstractNumId w:val="122"/>
  </w:num>
  <w:num w:numId="128">
    <w:abstractNumId w:val="123"/>
  </w:num>
  <w:num w:numId="129">
    <w:abstractNumId w:val="124"/>
  </w:num>
  <w:num w:numId="130">
    <w:abstractNumId w:val="125"/>
  </w:num>
  <w:num w:numId="131">
    <w:abstractNumId w:val="126"/>
  </w:num>
  <w:num w:numId="132">
    <w:abstractNumId w:val="127"/>
  </w:num>
  <w:num w:numId="133">
    <w:abstractNumId w:val="128"/>
  </w:num>
  <w:num w:numId="134">
    <w:abstractNumId w:val="129"/>
  </w:num>
  <w:num w:numId="135">
    <w:abstractNumId w:val="130"/>
  </w:num>
  <w:num w:numId="136">
    <w:abstractNumId w:val="131"/>
  </w:num>
  <w:num w:numId="137">
    <w:abstractNumId w:val="132"/>
  </w:num>
  <w:num w:numId="138">
    <w:abstractNumId w:val="133"/>
  </w:num>
  <w:num w:numId="139">
    <w:abstractNumId w:val="134"/>
  </w:num>
  <w:num w:numId="140">
    <w:abstractNumId w:val="135"/>
  </w:num>
  <w:num w:numId="141">
    <w:abstractNumId w:val="136"/>
  </w:num>
  <w:num w:numId="142">
    <w:abstractNumId w:val="137"/>
  </w:num>
  <w:num w:numId="143">
    <w:abstractNumId w:val="138"/>
  </w:num>
  <w:num w:numId="144">
    <w:abstractNumId w:val="139"/>
  </w:num>
  <w:num w:numId="145">
    <w:abstractNumId w:val="140"/>
  </w:num>
  <w:num w:numId="146">
    <w:abstractNumId w:val="141"/>
  </w:num>
  <w:num w:numId="147">
    <w:abstractNumId w:val="142"/>
  </w:num>
  <w:num w:numId="148">
    <w:abstractNumId w:val="143"/>
  </w:num>
  <w:num w:numId="149">
    <w:abstractNumId w:val="144"/>
  </w:num>
  <w:num w:numId="150">
    <w:abstractNumId w:val="145"/>
  </w:num>
  <w:num w:numId="151">
    <w:abstractNumId w:val="146"/>
  </w:num>
  <w:num w:numId="152">
    <w:abstractNumId w:val="147"/>
  </w:num>
  <w:num w:numId="153">
    <w:abstractNumId w:val="148"/>
  </w:num>
  <w:num w:numId="154">
    <w:abstractNumId w:val="149"/>
  </w:num>
  <w:num w:numId="155">
    <w:abstractNumId w:val="150"/>
  </w:num>
  <w:num w:numId="156">
    <w:abstractNumId w:val="151"/>
  </w:num>
  <w:num w:numId="157">
    <w:abstractNumId w:val="152"/>
  </w:num>
  <w:num w:numId="158">
    <w:abstractNumId w:val="153"/>
  </w:num>
  <w:num w:numId="159">
    <w:abstractNumId w:val="154"/>
  </w:num>
  <w:num w:numId="160">
    <w:abstractNumId w:val="155"/>
  </w:num>
  <w:num w:numId="161">
    <w:abstractNumId w:val="156"/>
  </w:num>
  <w:num w:numId="162">
    <w:abstractNumId w:val="157"/>
  </w:num>
  <w:num w:numId="163">
    <w:abstractNumId w:val="158"/>
  </w:num>
  <w:num w:numId="164">
    <w:abstractNumId w:val="159"/>
  </w:num>
  <w:num w:numId="165">
    <w:abstractNumId w:val="160"/>
  </w:num>
  <w:num w:numId="166">
    <w:abstractNumId w:val="161"/>
  </w:num>
  <w:num w:numId="167">
    <w:abstractNumId w:val="162"/>
  </w:num>
  <w:num w:numId="168">
    <w:abstractNumId w:val="163"/>
  </w:num>
  <w:num w:numId="169">
    <w:abstractNumId w:val="164"/>
  </w:num>
  <w:num w:numId="170">
    <w:abstractNumId w:val="165"/>
  </w:num>
  <w:num w:numId="171">
    <w:abstractNumId w:val="166"/>
  </w:num>
  <w:num w:numId="172">
    <w:abstractNumId w:val="167"/>
  </w:num>
  <w:num w:numId="173">
    <w:abstractNumId w:val="168"/>
  </w:num>
  <w:num w:numId="174">
    <w:abstractNumId w:val="169"/>
  </w:num>
  <w:num w:numId="175">
    <w:abstractNumId w:val="170"/>
  </w:num>
  <w:num w:numId="176">
    <w:abstractNumId w:val="171"/>
  </w:num>
  <w:num w:numId="177">
    <w:abstractNumId w:val="172"/>
  </w:num>
  <w:num w:numId="178">
    <w:abstractNumId w:val="173"/>
  </w:num>
  <w:num w:numId="179">
    <w:abstractNumId w:val="174"/>
  </w:num>
  <w:num w:numId="180">
    <w:abstractNumId w:val="175"/>
  </w:num>
  <w:num w:numId="181">
    <w:abstractNumId w:val="176"/>
  </w:num>
  <w:num w:numId="182">
    <w:abstractNumId w:val="177"/>
  </w:num>
  <w:num w:numId="183">
    <w:abstractNumId w:val="178"/>
  </w:num>
  <w:num w:numId="184">
    <w:abstractNumId w:val="179"/>
  </w:num>
  <w:num w:numId="185">
    <w:abstractNumId w:val="180"/>
  </w:num>
  <w:num w:numId="186">
    <w:abstractNumId w:val="181"/>
  </w:num>
  <w:num w:numId="187">
    <w:abstractNumId w:val="182"/>
  </w:num>
  <w:num w:numId="188">
    <w:abstractNumId w:val="183"/>
  </w:num>
  <w:num w:numId="189">
    <w:abstractNumId w:val="184"/>
  </w:num>
  <w:num w:numId="190">
    <w:abstractNumId w:val="185"/>
  </w:num>
  <w:num w:numId="191">
    <w:abstractNumId w:val="186"/>
  </w:num>
  <w:num w:numId="192">
    <w:abstractNumId w:val="187"/>
  </w:num>
  <w:num w:numId="193">
    <w:abstractNumId w:val="188"/>
  </w:num>
  <w:num w:numId="194">
    <w:abstractNumId w:val="189"/>
  </w:num>
  <w:num w:numId="195">
    <w:abstractNumId w:val="190"/>
  </w:num>
  <w:num w:numId="196">
    <w:abstractNumId w:val="191"/>
  </w:num>
  <w:num w:numId="197">
    <w:abstractNumId w:val="192"/>
  </w:num>
  <w:num w:numId="198">
    <w:abstractNumId w:val="193"/>
  </w:num>
  <w:num w:numId="199">
    <w:abstractNumId w:val="194"/>
  </w:num>
  <w:num w:numId="200">
    <w:abstractNumId w:val="195"/>
  </w:num>
  <w:num w:numId="201">
    <w:abstractNumId w:val="196"/>
  </w:num>
  <w:num w:numId="202">
    <w:abstractNumId w:val="197"/>
  </w:num>
  <w:num w:numId="203">
    <w:abstractNumId w:val="198"/>
  </w:num>
  <w:num w:numId="204">
    <w:abstractNumId w:val="199"/>
  </w:num>
  <w:num w:numId="205">
    <w:abstractNumId w:val="200"/>
  </w:num>
  <w:num w:numId="206">
    <w:abstractNumId w:val="201"/>
  </w:num>
  <w:num w:numId="207">
    <w:abstractNumId w:val="202"/>
  </w:num>
  <w:num w:numId="208">
    <w:abstractNumId w:val="203"/>
  </w:num>
  <w:num w:numId="209">
    <w:abstractNumId w:val="204"/>
  </w:num>
  <w:num w:numId="210">
    <w:abstractNumId w:val="205"/>
  </w:num>
  <w:num w:numId="211">
    <w:abstractNumId w:val="206"/>
  </w:num>
  <w:num w:numId="212">
    <w:abstractNumId w:val="207"/>
  </w:num>
  <w:num w:numId="213">
    <w:abstractNumId w:val="208"/>
  </w:num>
  <w:num w:numId="214">
    <w:abstractNumId w:val="209"/>
  </w:num>
  <w:num w:numId="215">
    <w:abstractNumId w:val="210"/>
  </w:num>
  <w:num w:numId="216">
    <w:abstractNumId w:val="211"/>
  </w:num>
  <w:num w:numId="217">
    <w:abstractNumId w:val="212"/>
  </w:num>
  <w:num w:numId="218">
    <w:abstractNumId w:val="213"/>
  </w:num>
  <w:num w:numId="219">
    <w:abstractNumId w:val="214"/>
  </w:num>
  <w:num w:numId="220">
    <w:abstractNumId w:val="215"/>
  </w:num>
  <w:num w:numId="221">
    <w:abstractNumId w:val="216"/>
  </w:num>
  <w:num w:numId="222">
    <w:abstractNumId w:val="217"/>
  </w:num>
  <w:num w:numId="223">
    <w:abstractNumId w:val="218"/>
  </w:num>
  <w:num w:numId="224">
    <w:abstractNumId w:val="219"/>
  </w:num>
  <w:num w:numId="225">
    <w:abstractNumId w:val="220"/>
  </w:num>
  <w:num w:numId="226">
    <w:abstractNumId w:val="221"/>
  </w:num>
  <w:num w:numId="227">
    <w:abstractNumId w:val="222"/>
  </w:num>
  <w:num w:numId="228">
    <w:abstractNumId w:val="223"/>
  </w:num>
  <w:num w:numId="229">
    <w:abstractNumId w:val="224"/>
  </w:num>
  <w:num w:numId="230">
    <w:abstractNumId w:val="225"/>
  </w:num>
  <w:num w:numId="231">
    <w:abstractNumId w:val="226"/>
  </w:num>
  <w:num w:numId="232">
    <w:abstractNumId w:val="227"/>
  </w:num>
  <w:num w:numId="233">
    <w:abstractNumId w:val="228"/>
  </w:num>
  <w:num w:numId="234">
    <w:abstractNumId w:val="229"/>
  </w:num>
  <w:num w:numId="235">
    <w:abstractNumId w:val="230"/>
  </w:num>
  <w:num w:numId="236">
    <w:abstractNumId w:val="231"/>
  </w:num>
  <w:num w:numId="237">
    <w:abstractNumId w:val="232"/>
  </w:num>
  <w:num w:numId="238">
    <w:abstractNumId w:val="233"/>
  </w:num>
  <w:num w:numId="239">
    <w:abstractNumId w:val="234"/>
  </w:num>
  <w:num w:numId="240">
    <w:abstractNumId w:val="235"/>
  </w:num>
  <w:num w:numId="241">
    <w:abstractNumId w:val="236"/>
  </w:num>
  <w:num w:numId="242">
    <w:abstractNumId w:val="237"/>
  </w:num>
  <w:num w:numId="243">
    <w:abstractNumId w:val="238"/>
  </w:num>
  <w:num w:numId="244">
    <w:abstractNumId w:val="239"/>
  </w:num>
  <w:num w:numId="245">
    <w:abstractNumId w:val="240"/>
  </w:num>
  <w:num w:numId="246">
    <w:abstractNumId w:val="241"/>
  </w:num>
  <w:num w:numId="247">
    <w:abstractNumId w:val="242"/>
  </w:num>
  <w:num w:numId="248">
    <w:abstractNumId w:val="243"/>
  </w:num>
  <w:num w:numId="249">
    <w:abstractNumId w:val="244"/>
  </w:num>
  <w:num w:numId="250">
    <w:abstractNumId w:val="245"/>
  </w:num>
  <w:num w:numId="251">
    <w:abstractNumId w:val="246"/>
  </w:num>
  <w:num w:numId="252">
    <w:abstractNumId w:val="247"/>
  </w:num>
  <w:num w:numId="253">
    <w:abstractNumId w:val="248"/>
  </w:num>
  <w:num w:numId="254">
    <w:abstractNumId w:val="249"/>
  </w:num>
  <w:num w:numId="255">
    <w:abstractNumId w:val="250"/>
  </w:num>
  <w:num w:numId="256">
    <w:abstractNumId w:val="251"/>
  </w:num>
  <w:num w:numId="257">
    <w:abstractNumId w:val="252"/>
  </w:num>
  <w:num w:numId="258">
    <w:abstractNumId w:val="253"/>
  </w:num>
  <w:num w:numId="259">
    <w:abstractNumId w:val="254"/>
  </w:num>
  <w:num w:numId="260">
    <w:abstractNumId w:val="255"/>
  </w:num>
  <w:num w:numId="261">
    <w:abstractNumId w:val="256"/>
  </w:num>
  <w:num w:numId="262">
    <w:abstractNumId w:val="257"/>
  </w:num>
  <w:num w:numId="263">
    <w:abstractNumId w:val="258"/>
  </w:num>
  <w:num w:numId="264">
    <w:abstractNumId w:val="259"/>
  </w:num>
  <w:num w:numId="265">
    <w:abstractNumId w:val="260"/>
  </w:num>
  <w:num w:numId="266">
    <w:abstractNumId w:val="261"/>
  </w:num>
  <w:num w:numId="267">
    <w:abstractNumId w:val="262"/>
  </w:num>
  <w:num w:numId="268">
    <w:abstractNumId w:val="263"/>
  </w:num>
  <w:num w:numId="269">
    <w:abstractNumId w:val="264"/>
  </w:num>
  <w:num w:numId="270">
    <w:abstractNumId w:val="265"/>
  </w:num>
  <w:num w:numId="271">
    <w:abstractNumId w:val="266"/>
  </w:num>
  <w:num w:numId="272">
    <w:abstractNumId w:val="267"/>
  </w:num>
  <w:num w:numId="273">
    <w:abstractNumId w:val="268"/>
  </w:num>
  <w:num w:numId="274">
    <w:abstractNumId w:val="269"/>
  </w:num>
  <w:num w:numId="275">
    <w:abstractNumId w:val="270"/>
  </w:num>
  <w:num w:numId="276">
    <w:abstractNumId w:val="271"/>
  </w:num>
  <w:num w:numId="277">
    <w:abstractNumId w:val="272"/>
  </w:num>
  <w:num w:numId="278">
    <w:abstractNumId w:val="273"/>
  </w:num>
  <w:num w:numId="279">
    <w:abstractNumId w:val="274"/>
  </w:num>
  <w:num w:numId="280">
    <w:abstractNumId w:val="275"/>
  </w:num>
  <w:num w:numId="281">
    <w:abstractNumId w:val="276"/>
  </w:num>
  <w:num w:numId="282">
    <w:abstractNumId w:val="277"/>
  </w:num>
  <w:num w:numId="283">
    <w:abstractNumId w:val="278"/>
  </w:num>
  <w:num w:numId="284">
    <w:abstractNumId w:val="279"/>
  </w:num>
  <w:num w:numId="285">
    <w:abstractNumId w:val="280"/>
  </w:num>
  <w:num w:numId="286">
    <w:abstractNumId w:val="281"/>
  </w:num>
  <w:num w:numId="287">
    <w:abstractNumId w:val="282"/>
  </w:num>
  <w:num w:numId="288">
    <w:abstractNumId w:val="283"/>
  </w:num>
  <w:num w:numId="289">
    <w:abstractNumId w:val="284"/>
  </w:num>
  <w:num w:numId="290">
    <w:abstractNumId w:val="285"/>
  </w:num>
  <w:num w:numId="291">
    <w:abstractNumId w:val="286"/>
  </w:num>
  <w:num w:numId="292">
    <w:abstractNumId w:val="287"/>
  </w:num>
  <w:num w:numId="293">
    <w:abstractNumId w:val="288"/>
  </w:num>
  <w:num w:numId="294">
    <w:abstractNumId w:val="289"/>
  </w:num>
  <w:num w:numId="295">
    <w:abstractNumId w:val="290"/>
  </w:num>
  <w:num w:numId="296">
    <w:abstractNumId w:val="291"/>
  </w:num>
  <w:num w:numId="297">
    <w:abstractNumId w:val="292"/>
  </w:num>
  <w:num w:numId="298">
    <w:abstractNumId w:val="293"/>
  </w:num>
  <w:num w:numId="299">
    <w:abstractNumId w:val="294"/>
  </w:num>
  <w:num w:numId="300">
    <w:abstractNumId w:val="295"/>
  </w:num>
  <w:num w:numId="301">
    <w:abstractNumId w:val="296"/>
  </w:num>
  <w:num w:numId="302">
    <w:abstractNumId w:val="297"/>
  </w:num>
  <w:num w:numId="303">
    <w:abstractNumId w:val="298"/>
  </w:num>
  <w:num w:numId="304">
    <w:abstractNumId w:val="299"/>
  </w:num>
  <w:num w:numId="305">
    <w:abstractNumId w:val="300"/>
  </w:num>
  <w:num w:numId="306">
    <w:abstractNumId w:val="301"/>
  </w:num>
  <w:num w:numId="307">
    <w:abstractNumId w:val="302"/>
  </w:num>
  <w:num w:numId="308">
    <w:abstractNumId w:val="303"/>
  </w:num>
  <w:num w:numId="309">
    <w:abstractNumId w:val="304"/>
  </w:num>
  <w:num w:numId="310">
    <w:abstractNumId w:val="305"/>
  </w:num>
  <w:num w:numId="311">
    <w:abstractNumId w:val="306"/>
  </w:num>
  <w:num w:numId="312">
    <w:abstractNumId w:val="307"/>
  </w:num>
  <w:num w:numId="313">
    <w:abstractNumId w:val="308"/>
  </w:num>
  <w:num w:numId="314">
    <w:abstractNumId w:val="309"/>
  </w:num>
  <w:num w:numId="315">
    <w:abstractNumId w:val="310"/>
  </w:num>
  <w:num w:numId="316">
    <w:abstractNumId w:val="311"/>
  </w:num>
  <w:num w:numId="317">
    <w:abstractNumId w:val="312"/>
  </w:num>
  <w:num w:numId="318">
    <w:abstractNumId w:val="313"/>
  </w:num>
  <w:num w:numId="319">
    <w:abstractNumId w:val="314"/>
  </w:num>
  <w:num w:numId="320">
    <w:abstractNumId w:val="315"/>
  </w:num>
  <w:num w:numId="321">
    <w:abstractNumId w:val="316"/>
  </w:num>
  <w:num w:numId="322">
    <w:abstractNumId w:val="317"/>
  </w:num>
  <w:num w:numId="323">
    <w:abstractNumId w:val="318"/>
  </w:num>
  <w:num w:numId="324">
    <w:abstractNumId w:val="319"/>
  </w:num>
  <w:num w:numId="325">
    <w:abstractNumId w:val="320"/>
  </w:num>
  <w:num w:numId="326">
    <w:abstractNumId w:val="321"/>
  </w:num>
  <w:num w:numId="327">
    <w:abstractNumId w:val="322"/>
  </w:num>
  <w:num w:numId="328">
    <w:abstractNumId w:val="323"/>
  </w:num>
  <w:num w:numId="329">
    <w:abstractNumId w:val="324"/>
  </w:num>
  <w:num w:numId="330">
    <w:abstractNumId w:val="325"/>
  </w:num>
  <w:num w:numId="331">
    <w:abstractNumId w:val="326"/>
  </w:num>
  <w:num w:numId="332">
    <w:abstractNumId w:val="327"/>
  </w:num>
  <w:num w:numId="333">
    <w:abstractNumId w:val="328"/>
  </w:num>
  <w:num w:numId="334">
    <w:abstractNumId w:val="329"/>
  </w:num>
  <w:num w:numId="335">
    <w:abstractNumId w:val="330"/>
  </w:num>
  <w:num w:numId="336">
    <w:abstractNumId w:val="331"/>
  </w:num>
  <w:num w:numId="337">
    <w:abstractNumId w:val="332"/>
  </w:num>
  <w:num w:numId="338">
    <w:abstractNumId w:val="333"/>
  </w:num>
  <w:num w:numId="339">
    <w:abstractNumId w:val="334"/>
  </w:num>
  <w:num w:numId="340">
    <w:abstractNumId w:val="335"/>
  </w:num>
  <w:num w:numId="341">
    <w:abstractNumId w:val="336"/>
  </w:num>
  <w:num w:numId="342">
    <w:abstractNumId w:val="337"/>
  </w:num>
  <w:num w:numId="343">
    <w:abstractNumId w:val="338"/>
  </w:num>
  <w:num w:numId="344">
    <w:abstractNumId w:val="339"/>
  </w:num>
  <w:num w:numId="345">
    <w:abstractNumId w:val="340"/>
  </w:num>
  <w:num w:numId="346">
    <w:abstractNumId w:val="341"/>
  </w:num>
  <w:num w:numId="347">
    <w:abstractNumId w:val="342"/>
  </w:num>
  <w:num w:numId="348">
    <w:abstractNumId w:val="343"/>
  </w:num>
  <w:num w:numId="349">
    <w:abstractNumId w:val="344"/>
  </w:num>
  <w:num w:numId="350">
    <w:abstractNumId w:val="345"/>
  </w:num>
  <w:num w:numId="351">
    <w:abstractNumId w:val="346"/>
  </w:num>
  <w:num w:numId="352">
    <w:abstractNumId w:val="347"/>
  </w:num>
  <w:num w:numId="353">
    <w:abstractNumId w:val="348"/>
  </w:num>
  <w:num w:numId="354">
    <w:abstractNumId w:val="349"/>
  </w:num>
  <w:num w:numId="355">
    <w:abstractNumId w:val="350"/>
  </w:num>
  <w:num w:numId="356">
    <w:abstractNumId w:val="351"/>
  </w:num>
  <w:num w:numId="357">
    <w:abstractNumId w:val="352"/>
  </w:num>
  <w:num w:numId="358">
    <w:abstractNumId w:val="353"/>
  </w:num>
  <w:num w:numId="359">
    <w:abstractNumId w:val="354"/>
  </w:num>
  <w:num w:numId="360">
    <w:abstractNumId w:val="355"/>
  </w:num>
  <w:num w:numId="361">
    <w:abstractNumId w:val="356"/>
  </w:num>
  <w:num w:numId="362">
    <w:abstractNumId w:val="357"/>
  </w:num>
  <w:num w:numId="363">
    <w:abstractNumId w:val="358"/>
  </w:num>
  <w:num w:numId="364">
    <w:abstractNumId w:val="359"/>
  </w:num>
  <w:num w:numId="365">
    <w:abstractNumId w:val="360"/>
  </w:num>
  <w:num w:numId="366">
    <w:abstractNumId w:val="361"/>
  </w:num>
  <w:num w:numId="367">
    <w:abstractNumId w:val="362"/>
  </w:num>
  <w:num w:numId="368">
    <w:abstractNumId w:val="363"/>
  </w:num>
  <w:num w:numId="369">
    <w:abstractNumId w:val="364"/>
  </w:num>
  <w:num w:numId="370">
    <w:abstractNumId w:val="365"/>
  </w:num>
  <w:num w:numId="371">
    <w:abstractNumId w:val="366"/>
  </w:num>
  <w:num w:numId="372">
    <w:abstractNumId w:val="367"/>
  </w:num>
  <w:num w:numId="373">
    <w:abstractNumId w:val="368"/>
  </w:num>
  <w:num w:numId="374">
    <w:abstractNumId w:val="369"/>
  </w:num>
  <w:num w:numId="375">
    <w:abstractNumId w:val="370"/>
  </w:num>
  <w:num w:numId="376">
    <w:abstractNumId w:val="371"/>
  </w:num>
  <w:num w:numId="377">
    <w:abstractNumId w:val="372"/>
  </w:num>
  <w:num w:numId="378">
    <w:abstractNumId w:val="373"/>
  </w:num>
  <w:num w:numId="379">
    <w:abstractNumId w:val="374"/>
  </w:num>
  <w:num w:numId="380">
    <w:abstractNumId w:val="375"/>
  </w:num>
  <w:num w:numId="381">
    <w:abstractNumId w:val="376"/>
  </w:num>
  <w:num w:numId="382">
    <w:abstractNumId w:val="377"/>
  </w:num>
  <w:num w:numId="383">
    <w:abstractNumId w:val="378"/>
  </w:num>
  <w:num w:numId="384">
    <w:abstractNumId w:val="379"/>
  </w:num>
  <w:num w:numId="385">
    <w:abstractNumId w:val="380"/>
  </w:num>
  <w:num w:numId="386">
    <w:abstractNumId w:val="381"/>
  </w:num>
  <w:num w:numId="387">
    <w:abstractNumId w:val="382"/>
  </w:num>
  <w:num w:numId="388">
    <w:abstractNumId w:val="383"/>
  </w:num>
  <w:num w:numId="389">
    <w:abstractNumId w:val="384"/>
  </w:num>
  <w:num w:numId="390">
    <w:abstractNumId w:val="385"/>
  </w:num>
  <w:num w:numId="391">
    <w:abstractNumId w:val="386"/>
  </w:num>
  <w:num w:numId="392">
    <w:abstractNumId w:val="387"/>
  </w:num>
  <w:num w:numId="393">
    <w:abstractNumId w:val="388"/>
  </w:num>
  <w:num w:numId="394">
    <w:abstractNumId w:val="389"/>
  </w:num>
  <w:num w:numId="395">
    <w:abstractNumId w:val="390"/>
  </w:num>
  <w:num w:numId="396">
    <w:abstractNumId w:val="391"/>
  </w:num>
  <w:num w:numId="397">
    <w:abstractNumId w:val="392"/>
  </w:num>
  <w:num w:numId="398">
    <w:abstractNumId w:val="393"/>
  </w:num>
  <w:num w:numId="399">
    <w:abstractNumId w:val="394"/>
  </w:num>
  <w:num w:numId="400">
    <w:abstractNumId w:val="395"/>
  </w:num>
  <w:num w:numId="401">
    <w:abstractNumId w:val="396"/>
  </w:num>
  <w:num w:numId="402">
    <w:abstractNumId w:val="397"/>
  </w:num>
  <w:num w:numId="403">
    <w:abstractNumId w:val="398"/>
  </w:num>
  <w:num w:numId="404">
    <w:abstractNumId w:val="399"/>
  </w:num>
  <w:num w:numId="405">
    <w:abstractNumId w:val="400"/>
  </w:num>
  <w:num w:numId="406">
    <w:abstractNumId w:val="401"/>
  </w:num>
  <w:num w:numId="407">
    <w:abstractNumId w:val="402"/>
  </w:num>
  <w:num w:numId="408">
    <w:abstractNumId w:val="403"/>
  </w:num>
  <w:num w:numId="409">
    <w:abstractNumId w:val="404"/>
  </w:num>
  <w:num w:numId="410">
    <w:abstractNumId w:val="405"/>
  </w:num>
  <w:num w:numId="411">
    <w:abstractNumId w:val="406"/>
  </w:num>
  <w:num w:numId="412">
    <w:abstractNumId w:val="407"/>
  </w:num>
  <w:num w:numId="413">
    <w:abstractNumId w:val="408"/>
  </w:num>
  <w:num w:numId="414">
    <w:abstractNumId w:val="409"/>
  </w:num>
  <w:num w:numId="415">
    <w:abstractNumId w:val="410"/>
  </w:num>
  <w:num w:numId="416">
    <w:abstractNumId w:val="411"/>
  </w:num>
  <w:num w:numId="417">
    <w:abstractNumId w:val="412"/>
  </w:num>
  <w:num w:numId="418">
    <w:abstractNumId w:val="413"/>
  </w:num>
  <w:num w:numId="419">
    <w:abstractNumId w:val="414"/>
  </w:num>
  <w:num w:numId="420">
    <w:abstractNumId w:val="415"/>
  </w:num>
  <w:num w:numId="421">
    <w:abstractNumId w:val="416"/>
  </w:num>
  <w:num w:numId="422">
    <w:abstractNumId w:val="417"/>
  </w:num>
  <w:num w:numId="423">
    <w:abstractNumId w:val="418"/>
  </w:num>
  <w:num w:numId="424">
    <w:abstractNumId w:val="419"/>
  </w:num>
  <w:num w:numId="425">
    <w:abstractNumId w:val="420"/>
  </w:num>
  <w:num w:numId="426">
    <w:abstractNumId w:val="421"/>
  </w:num>
  <w:num w:numId="427">
    <w:abstractNumId w:val="422"/>
  </w:num>
  <w:num w:numId="428">
    <w:abstractNumId w:val="423"/>
  </w:num>
  <w:num w:numId="429">
    <w:abstractNumId w:val="424"/>
  </w:num>
  <w:num w:numId="430">
    <w:abstractNumId w:val="425"/>
  </w:num>
  <w:num w:numId="431">
    <w:abstractNumId w:val="426"/>
  </w:num>
  <w:num w:numId="432">
    <w:abstractNumId w:val="427"/>
  </w:num>
  <w:num w:numId="433">
    <w:abstractNumId w:val="428"/>
  </w:num>
  <w:num w:numId="434">
    <w:abstractNumId w:val="429"/>
  </w:num>
  <w:num w:numId="435">
    <w:abstractNumId w:val="430"/>
  </w:num>
  <w:num w:numId="436">
    <w:abstractNumId w:val="431"/>
  </w:num>
  <w:num w:numId="437">
    <w:abstractNumId w:val="432"/>
  </w:num>
  <w:num w:numId="438">
    <w:abstractNumId w:val="433"/>
  </w:num>
  <w:num w:numId="439">
    <w:abstractNumId w:val="434"/>
  </w:num>
  <w:num w:numId="440">
    <w:abstractNumId w:val="435"/>
  </w:num>
  <w:num w:numId="441">
    <w:abstractNumId w:val="436"/>
  </w:num>
  <w:num w:numId="442">
    <w:abstractNumId w:val="437"/>
  </w:num>
  <w:num w:numId="443">
    <w:abstractNumId w:val="438"/>
  </w:num>
  <w:num w:numId="444">
    <w:abstractNumId w:val="439"/>
  </w:num>
  <w:num w:numId="445">
    <w:abstractNumId w:val="440"/>
  </w:num>
  <w:num w:numId="446">
    <w:abstractNumId w:val="441"/>
  </w:num>
  <w:num w:numId="447">
    <w:abstractNumId w:val="442"/>
  </w:num>
  <w:num w:numId="448">
    <w:abstractNumId w:val="443"/>
  </w:num>
  <w:num w:numId="449">
    <w:abstractNumId w:val="444"/>
  </w:num>
  <w:num w:numId="450">
    <w:abstractNumId w:val="445"/>
  </w:num>
  <w:num w:numId="451">
    <w:abstractNumId w:val="446"/>
  </w:num>
  <w:num w:numId="452">
    <w:abstractNumId w:val="447"/>
  </w:num>
  <w:num w:numId="453">
    <w:abstractNumId w:val="448"/>
  </w:num>
  <w:num w:numId="454">
    <w:abstractNumId w:val="449"/>
  </w:num>
  <w:num w:numId="455">
    <w:abstractNumId w:val="450"/>
  </w:num>
  <w:num w:numId="456">
    <w:abstractNumId w:val="451"/>
  </w:num>
  <w:num w:numId="457">
    <w:abstractNumId w:val="452"/>
  </w:num>
  <w:num w:numId="458">
    <w:abstractNumId w:val="453"/>
  </w:num>
  <w:num w:numId="459">
    <w:abstractNumId w:val="454"/>
  </w:num>
  <w:num w:numId="460">
    <w:abstractNumId w:val="455"/>
  </w:num>
  <w:num w:numId="461">
    <w:abstractNumId w:val="456"/>
  </w:num>
  <w:num w:numId="462">
    <w:abstractNumId w:val="457"/>
  </w:num>
  <w:num w:numId="463">
    <w:abstractNumId w:val="458"/>
  </w:num>
  <w:num w:numId="464">
    <w:abstractNumId w:val="459"/>
  </w:num>
  <w:num w:numId="465">
    <w:abstractNumId w:val="460"/>
  </w:num>
  <w:num w:numId="466">
    <w:abstractNumId w:val="461"/>
  </w:num>
  <w:num w:numId="467">
    <w:abstractNumId w:val="462"/>
  </w:num>
  <w:num w:numId="468">
    <w:abstractNumId w:val="463"/>
  </w:num>
  <w:num w:numId="469">
    <w:abstractNumId w:val="464"/>
  </w:num>
  <w:num w:numId="470">
    <w:abstractNumId w:val="465"/>
  </w:num>
  <w:num w:numId="471">
    <w:abstractNumId w:val="466"/>
  </w:num>
  <w:num w:numId="472">
    <w:abstractNumId w:val="467"/>
  </w:num>
  <w:num w:numId="473">
    <w:abstractNumId w:val="468"/>
  </w:num>
  <w:num w:numId="474">
    <w:abstractNumId w:val="469"/>
  </w:num>
  <w:num w:numId="475">
    <w:abstractNumId w:val="470"/>
  </w:num>
  <w:num w:numId="476">
    <w:abstractNumId w:val="471"/>
  </w:num>
  <w:num w:numId="477">
    <w:abstractNumId w:val="472"/>
  </w:num>
  <w:num w:numId="478">
    <w:abstractNumId w:val="473"/>
  </w:num>
  <w:num w:numId="479">
    <w:abstractNumId w:val="474"/>
  </w:num>
  <w:num w:numId="480">
    <w:abstractNumId w:val="475"/>
  </w:num>
  <w:num w:numId="481">
    <w:abstractNumId w:val="476"/>
  </w:num>
  <w:num w:numId="482">
    <w:abstractNumId w:val="477"/>
  </w:num>
  <w:num w:numId="483">
    <w:abstractNumId w:val="478"/>
  </w:num>
  <w:num w:numId="484">
    <w:abstractNumId w:val="479"/>
  </w:num>
  <w:num w:numId="485">
    <w:abstractNumId w:val="480"/>
  </w:num>
  <w:num w:numId="486">
    <w:abstractNumId w:val="481"/>
  </w:num>
  <w:num w:numId="487">
    <w:abstractNumId w:val="502"/>
  </w:num>
  <w:num w:numId="488">
    <w:abstractNumId w:val="511"/>
  </w:num>
  <w:num w:numId="489">
    <w:abstractNumId w:val="488"/>
  </w:num>
  <w:num w:numId="490">
    <w:abstractNumId w:val="484"/>
  </w:num>
  <w:num w:numId="491">
    <w:abstractNumId w:val="517"/>
  </w:num>
  <w:num w:numId="492">
    <w:abstractNumId w:val="504"/>
  </w:num>
  <w:num w:numId="493">
    <w:abstractNumId w:val="493"/>
  </w:num>
  <w:num w:numId="494">
    <w:abstractNumId w:val="518"/>
  </w:num>
  <w:num w:numId="495">
    <w:abstractNumId w:val="486"/>
  </w:num>
  <w:num w:numId="496">
    <w:abstractNumId w:val="516"/>
  </w:num>
  <w:num w:numId="497">
    <w:abstractNumId w:val="490"/>
  </w:num>
  <w:num w:numId="498">
    <w:abstractNumId w:val="520"/>
  </w:num>
  <w:num w:numId="499">
    <w:abstractNumId w:val="507"/>
  </w:num>
  <w:num w:numId="500">
    <w:abstractNumId w:val="496"/>
  </w:num>
  <w:num w:numId="501">
    <w:abstractNumId w:val="513"/>
  </w:num>
  <w:num w:numId="502">
    <w:abstractNumId w:val="508"/>
  </w:num>
  <w:num w:numId="503">
    <w:abstractNumId w:val="512"/>
  </w:num>
  <w:num w:numId="504">
    <w:abstractNumId w:val="514"/>
  </w:num>
  <w:num w:numId="505">
    <w:abstractNumId w:val="483"/>
  </w:num>
  <w:num w:numId="506">
    <w:abstractNumId w:val="492"/>
  </w:num>
  <w:num w:numId="507">
    <w:abstractNumId w:val="510"/>
  </w:num>
  <w:num w:numId="508">
    <w:abstractNumId w:val="501"/>
  </w:num>
  <w:num w:numId="509">
    <w:abstractNumId w:val="495"/>
  </w:num>
  <w:num w:numId="510">
    <w:abstractNumId w:val="485"/>
  </w:num>
  <w:num w:numId="511">
    <w:abstractNumId w:val="519"/>
  </w:num>
  <w:num w:numId="512">
    <w:abstractNumId w:val="509"/>
  </w:num>
  <w:num w:numId="513">
    <w:abstractNumId w:val="500"/>
  </w:num>
  <w:num w:numId="514">
    <w:abstractNumId w:val="499"/>
  </w:num>
  <w:num w:numId="515">
    <w:abstractNumId w:val="489"/>
  </w:num>
  <w:num w:numId="516">
    <w:abstractNumId w:val="515"/>
  </w:num>
  <w:num w:numId="517">
    <w:abstractNumId w:val="503"/>
  </w:num>
  <w:num w:numId="518">
    <w:abstractNumId w:val="491"/>
  </w:num>
  <w:num w:numId="519">
    <w:abstractNumId w:val="487"/>
  </w:num>
  <w:num w:numId="520">
    <w:abstractNumId w:val="505"/>
  </w:num>
  <w:num w:numId="521">
    <w:abstractNumId w:val="497"/>
  </w:num>
  <w:num w:numId="522">
    <w:abstractNumId w:val="49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eastAsia="arial" w:hAnsi="Arial" w:cs="Arial"/>
      <w:b/>
      <w:bCs/>
      <w:kern w:val="32"/>
      <w:sz w:val="32"/>
      <w:szCs w:val="32"/>
      <w:lang w:val="en-US" w:eastAsia="en-US" w:bidi="ar-SA"/>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yperlink" Target="https://advance.lexis.com/api/document?collection=cases-ca&amp;id=urn:contentItem:5F7T-S781-F27X-60YG-00000-00&amp;context=" TargetMode="External" /><Relationship Id="rId100" Type="http://schemas.openxmlformats.org/officeDocument/2006/relationships/hyperlink" Target="https://advance.lexis.com/api/document?collection=cases-ca&amp;id=urn:contentItem:5F7T-S701-JBT7-X23F-00000-00&amp;context=" TargetMode="External" /><Relationship Id="rId1000" Type="http://schemas.openxmlformats.org/officeDocument/2006/relationships/hyperlink" Target="https://advance.lexis.com/api/document?collection=cases-ca&amp;id=urn:contentItem:5F7T-S711-JNY7-X34R-00000-00&amp;context=" TargetMode="External" /><Relationship Id="rId1001" Type="http://schemas.openxmlformats.org/officeDocument/2006/relationships/hyperlink" Target="https://advance.lexis.com/api/document?collection=cases-ca&amp;id=urn:contentItem:5F7T-S711-F4W2-61M6-00000-00&amp;context=" TargetMode="External" /><Relationship Id="rId1002" Type="http://schemas.openxmlformats.org/officeDocument/2006/relationships/hyperlink" Target="https://advance.lexis.com/api/document?collection=cases-ca&amp;id=urn:contentItem:5F7T-S7G1-JX3N-B2JF-00000-00&amp;context=" TargetMode="External" /><Relationship Id="rId1003" Type="http://schemas.openxmlformats.org/officeDocument/2006/relationships/hyperlink" Target="https://advance.lexis.com/api/document?collection=cases-ca&amp;id=urn:contentItem:5F8P-SBV1-DXWW-22D5-00000-00&amp;context=" TargetMode="External" /><Relationship Id="rId1004" Type="http://schemas.openxmlformats.org/officeDocument/2006/relationships/hyperlink" Target="https://advance.lexis.com/api/document?collection=cases-ca&amp;id=urn:contentItem:5F7T-S7H1-K054-G22B-00000-00&amp;context=" TargetMode="External" /><Relationship Id="rId1005" Type="http://schemas.openxmlformats.org/officeDocument/2006/relationships/hyperlink" Target="https://advance.lexis.com/api/document?collection=cases-ca&amp;id=urn:contentItem:5F7T-S7H1-K054-G23N-00000-00&amp;context=" TargetMode="External" /><Relationship Id="rId1006" Type="http://schemas.openxmlformats.org/officeDocument/2006/relationships/hyperlink" Target="https://advance.lexis.com/api/document?collection=cases-ca&amp;id=urn:contentItem:5F7T-S7C1-JSRM-60V6-00000-00&amp;context=" TargetMode="External" /><Relationship Id="rId1007" Type="http://schemas.openxmlformats.org/officeDocument/2006/relationships/hyperlink" Target="https://advance.lexis.com/api/document?collection=cases-ca&amp;id=urn:contentItem:5F7T-S701-JF75-M476-00000-00&amp;context=" TargetMode="External" /><Relationship Id="rId1008" Type="http://schemas.openxmlformats.org/officeDocument/2006/relationships/header" Target="header109.xml" /><Relationship Id="rId1009" Type="http://schemas.openxmlformats.org/officeDocument/2006/relationships/header" Target="header110.xml" /><Relationship Id="rId101" Type="http://schemas.openxmlformats.org/officeDocument/2006/relationships/hyperlink" Target="https://advance.lexis.com/api/document?collection=cases-ca&amp;id=urn:contentItem:5F7T-S771-JN14-G2PR-00000-00&amp;context=" TargetMode="External" /><Relationship Id="rId1010" Type="http://schemas.openxmlformats.org/officeDocument/2006/relationships/footer" Target="footer109.xml" /><Relationship Id="rId1011" Type="http://schemas.openxmlformats.org/officeDocument/2006/relationships/footer" Target="footer110.xml" /><Relationship Id="rId1012" Type="http://schemas.openxmlformats.org/officeDocument/2006/relationships/header" Target="header111.xml" /><Relationship Id="rId1013" Type="http://schemas.openxmlformats.org/officeDocument/2006/relationships/footer" Target="footer111.xml" /><Relationship Id="rId1014" Type="http://schemas.openxmlformats.org/officeDocument/2006/relationships/hyperlink" Target="https://advance.lexis.com/api/document?collection=cases-ca&amp;id=urn:contentItem:5F7T-S7H1-F016-S3KV-00000-00&amp;context=" TargetMode="External" /><Relationship Id="rId1015" Type="http://schemas.openxmlformats.org/officeDocument/2006/relationships/hyperlink" Target="https://advance.lexis.com/api/document?collection=legislation-ca&amp;id=urn:contentItem:5TBM-3RN1-FBV7-B0M1-00000-00&amp;context=" TargetMode="External" /><Relationship Id="rId1016" Type="http://schemas.openxmlformats.org/officeDocument/2006/relationships/hyperlink" Target="https://advance.lexis.com/api/document?collection=cases-ca&amp;id=urn:contentItem:5F7T-S751-FJDY-X419-00000-00&amp;context=" TargetMode="External" /><Relationship Id="rId1017" Type="http://schemas.openxmlformats.org/officeDocument/2006/relationships/hyperlink" Target="https://advance.lexis.com/api/document?collection=cases-ca&amp;id=urn:contentItem:5F7T-S751-JBM1-M2D6-00000-00&amp;context=" TargetMode="External" /><Relationship Id="rId1018" Type="http://schemas.openxmlformats.org/officeDocument/2006/relationships/hyperlink" Target="https://advance.lexis.com/api/document?collection=cases-ca&amp;id=urn:contentItem:5F7T-S771-JJD0-G15H-00000-00&amp;context=" TargetMode="External" /><Relationship Id="rId1019" Type="http://schemas.openxmlformats.org/officeDocument/2006/relationships/hyperlink" Target="https://advance.lexis.com/api/document?collection=cases-ca&amp;id=urn:contentItem:5F8P-SF11-JF1Y-B2X7-00000-00&amp;context=" TargetMode="External" /><Relationship Id="rId102" Type="http://schemas.openxmlformats.org/officeDocument/2006/relationships/hyperlink" Target="https://advance.lexis.com/api/document?collection=cases-ca&amp;id=urn:contentItem:5F7T-S711-JNY7-X30K-00000-00&amp;context=" TargetMode="External" /><Relationship Id="rId1020" Type="http://schemas.openxmlformats.org/officeDocument/2006/relationships/hyperlink" Target="https://advance.lexis.com/api/document?collection=cases-ca&amp;id=urn:contentItem:5F7T-S771-JW5H-X25Y-00000-00&amp;context=" TargetMode="External" /><Relationship Id="rId1021" Type="http://schemas.openxmlformats.org/officeDocument/2006/relationships/hyperlink" Target="https://advance.lexis.com/api/document?collection=cases-ca&amp;id=urn:contentItem:5F7T-S7D1-JS5Y-B2KR-00000-00&amp;context=" TargetMode="External" /><Relationship Id="rId1022" Type="http://schemas.openxmlformats.org/officeDocument/2006/relationships/hyperlink" Target="https://advance.lexis.com/api/document?collection=cases-ca&amp;id=urn:contentItem:5F7T-S741-DXPM-S0T3-00000-00&amp;context=" TargetMode="External" /><Relationship Id="rId1023" Type="http://schemas.openxmlformats.org/officeDocument/2006/relationships/hyperlink" Target="https://advance.lexis.com/api/document?collection=cases-ca&amp;id=urn:contentItem:5F7T-S7F1-FFFC-B1KP-00000-00&amp;context=" TargetMode="External" /><Relationship Id="rId1024" Type="http://schemas.openxmlformats.org/officeDocument/2006/relationships/hyperlink" Target="https://advance.lexis.com/api/document?collection=cases-ca&amp;id=urn:contentItem:5F7T-S7B1-JCJ5-2072-00000-00&amp;context=" TargetMode="External" /><Relationship Id="rId1025" Type="http://schemas.openxmlformats.org/officeDocument/2006/relationships/hyperlink" Target="https://advance.lexis.com/api/document?collection=cases-ca&amp;id=urn:contentItem:5F7T-S7F1-DXWW-23CG-00000-00&amp;context=" TargetMode="External" /><Relationship Id="rId1026" Type="http://schemas.openxmlformats.org/officeDocument/2006/relationships/hyperlink" Target="https://advance.lexis.com/api/document?collection=cases-ca&amp;id=urn:contentItem:5F7T-S7C1-JXG3-X0HH-00000-00&amp;context=" TargetMode="External" /><Relationship Id="rId1027" Type="http://schemas.openxmlformats.org/officeDocument/2006/relationships/hyperlink" Target="https://advance.lexis.com/api/document?collection=cases-ca&amp;id=urn:contentItem:5F7T-S7G1-JPP5-21V2-00000-00&amp;context=" TargetMode="External" /><Relationship Id="rId1028" Type="http://schemas.openxmlformats.org/officeDocument/2006/relationships/hyperlink" Target="https://advance.lexis.com/api/document?collection=cases-ca&amp;id=urn:contentItem:5F82-1SH1-JYYX-611D-00000-00&amp;context=" TargetMode="External" /><Relationship Id="rId1029" Type="http://schemas.openxmlformats.org/officeDocument/2006/relationships/hyperlink" Target="https://advance.lexis.com/api/document?collection=cases-ca&amp;id=urn:contentItem:5F8P-SDY1-F30T-B0GD-00000-00&amp;context=" TargetMode="External" /><Relationship Id="rId103" Type="http://schemas.openxmlformats.org/officeDocument/2006/relationships/hyperlink" Target="https://advance.lexis.com/api/document?collection=cases-ca&amp;id=urn:contentItem:5F7T-S721-FG12-61P5-00000-00&amp;context=" TargetMode="External" /><Relationship Id="rId1030" Type="http://schemas.openxmlformats.org/officeDocument/2006/relationships/hyperlink" Target="https://advance.lexis.com/api/document?collection=cases-ca&amp;id=urn:contentItem:5F7T-S761-FGJR-22H8-00000-00&amp;context=" TargetMode="External" /><Relationship Id="rId1031" Type="http://schemas.openxmlformats.org/officeDocument/2006/relationships/hyperlink" Target="https://advance.lexis.com/api/document?collection=cases-ca&amp;id=urn:contentItem:5F7T-S721-F956-S1K9-00000-00&amp;context=" TargetMode="External" /><Relationship Id="rId1032" Type="http://schemas.openxmlformats.org/officeDocument/2006/relationships/hyperlink" Target="https://advance.lexis.com/api/document?collection=cases-ca&amp;id=urn:contentItem:5F7T-S751-F361-M0R6-00000-00&amp;context=" TargetMode="External" /><Relationship Id="rId1033" Type="http://schemas.openxmlformats.org/officeDocument/2006/relationships/hyperlink" Target="https://advance.lexis.com/api/document?collection=cases-ca&amp;id=urn:contentItem:5F7T-S7F1-DXWW-2497-00000-00&amp;context=" TargetMode="External" /><Relationship Id="rId1034" Type="http://schemas.openxmlformats.org/officeDocument/2006/relationships/header" Target="header112.xml" /><Relationship Id="rId1035" Type="http://schemas.openxmlformats.org/officeDocument/2006/relationships/header" Target="header113.xml" /><Relationship Id="rId1036" Type="http://schemas.openxmlformats.org/officeDocument/2006/relationships/footer" Target="footer112.xml" /><Relationship Id="rId1037" Type="http://schemas.openxmlformats.org/officeDocument/2006/relationships/footer" Target="footer113.xml" /><Relationship Id="rId1038" Type="http://schemas.openxmlformats.org/officeDocument/2006/relationships/header" Target="header114.xml" /><Relationship Id="rId1039" Type="http://schemas.openxmlformats.org/officeDocument/2006/relationships/footer" Target="footer114.xml" /><Relationship Id="rId104" Type="http://schemas.openxmlformats.org/officeDocument/2006/relationships/header" Target="header13.xml" /><Relationship Id="rId1040" Type="http://schemas.openxmlformats.org/officeDocument/2006/relationships/hyperlink" Target="https://advance.lexis.com/api/document?collection=cases-ca&amp;id=urn:contentItem:5F7T-S7C1-JCJ5-20M9-00000-00&amp;context=" TargetMode="External" /><Relationship Id="rId1041" Type="http://schemas.openxmlformats.org/officeDocument/2006/relationships/hyperlink" Target="https://advance.lexis.com/api/document?collection=cases-ca&amp;id=urn:contentItem:5F7T-S6W1-JB7K-21G3-00000-00&amp;context=" TargetMode="External" /><Relationship Id="rId1042" Type="http://schemas.openxmlformats.org/officeDocument/2006/relationships/hyperlink" Target="https://advance.lexis.com/api/document?collection=cases-ca&amp;id=urn:contentItem:5F7T-S731-JC0G-6399-00000-00&amp;context=" TargetMode="External" /><Relationship Id="rId1043" Type="http://schemas.openxmlformats.org/officeDocument/2006/relationships/hyperlink" Target="https://advance.lexis.com/api/document?collection=cases-ca&amp;id=urn:contentItem:5F7T-S7B1-FH4C-X3S2-00000-00&amp;context=" TargetMode="External" /><Relationship Id="rId1044" Type="http://schemas.openxmlformats.org/officeDocument/2006/relationships/hyperlink" Target="https://advance.lexis.com/api/document?collection=cases-ca&amp;id=urn:contentItem:5F7T-S6Y1-JNY7-X2NF-00000-00&amp;context=" TargetMode="External" /><Relationship Id="rId1045" Type="http://schemas.openxmlformats.org/officeDocument/2006/relationships/hyperlink" Target="https://advance.lexis.com/api/document?collection=cases-ca&amp;id=urn:contentItem:5F7T-S731-DY33-B0PM-00000-00&amp;context=" TargetMode="External" /><Relationship Id="rId1046" Type="http://schemas.openxmlformats.org/officeDocument/2006/relationships/header" Target="header115.xml" /><Relationship Id="rId1047" Type="http://schemas.openxmlformats.org/officeDocument/2006/relationships/header" Target="header116.xml" /><Relationship Id="rId1048" Type="http://schemas.openxmlformats.org/officeDocument/2006/relationships/footer" Target="footer115.xml" /><Relationship Id="rId1049" Type="http://schemas.openxmlformats.org/officeDocument/2006/relationships/footer" Target="footer116.xml" /><Relationship Id="rId105" Type="http://schemas.openxmlformats.org/officeDocument/2006/relationships/header" Target="header14.xml" /><Relationship Id="rId1050" Type="http://schemas.openxmlformats.org/officeDocument/2006/relationships/header" Target="header117.xml" /><Relationship Id="rId1051" Type="http://schemas.openxmlformats.org/officeDocument/2006/relationships/footer" Target="footer117.xml" /><Relationship Id="rId1052" Type="http://schemas.openxmlformats.org/officeDocument/2006/relationships/hyperlink" Target="https://advance.lexis.com/api/document?collection=cases-ca&amp;id=urn:contentItem:5J4V-Y9D1-DXPM-S4NX-00000-00&amp;context=" TargetMode="External" /><Relationship Id="rId1053" Type="http://schemas.openxmlformats.org/officeDocument/2006/relationships/hyperlink" Target="https://advance.lexis.com/api/document?collection=cases-ca&amp;id=urn:contentItem:5JR8-HSY1-JGPY-X009-00000-00&amp;context=" TargetMode="External" /><Relationship Id="rId1054" Type="http://schemas.openxmlformats.org/officeDocument/2006/relationships/hyperlink" Target="https://advance.lexis.com/api/document?collection=cases-ca&amp;id=urn:contentItem:5F7T-S7P1-F2TK-23DD-00000-00&amp;context=" TargetMode="External" /><Relationship Id="rId1055" Type="http://schemas.openxmlformats.org/officeDocument/2006/relationships/hyperlink" Target="https://advance.lexis.com/api/document?collection=cases-ca&amp;id=urn:contentItem:5F7T-S7P1-JSJC-X1M4-00000-00&amp;context=" TargetMode="External" /><Relationship Id="rId1056" Type="http://schemas.openxmlformats.org/officeDocument/2006/relationships/hyperlink" Target="https://advance.lexis.com/api/document?collection=cases-ca&amp;id=urn:contentItem:5F7T-S7P1-JBDT-B16B-00000-00&amp;context=" TargetMode="External" /><Relationship Id="rId1057" Type="http://schemas.openxmlformats.org/officeDocument/2006/relationships/hyperlink" Target="https://advance.lexis.com/api/document?collection=cases-ca&amp;id=urn:contentItem:5F8T-N3V1-FH4C-X252-00000-00&amp;context=" TargetMode="External" /><Relationship Id="rId1058" Type="http://schemas.openxmlformats.org/officeDocument/2006/relationships/hyperlink" Target="https://advance.lexis.com/api/document?collection=cases-ca&amp;id=urn:contentItem:5F7T-S7N1-F57G-S2DJ-00000-00&amp;context=" TargetMode="External" /><Relationship Id="rId1059" Type="http://schemas.openxmlformats.org/officeDocument/2006/relationships/hyperlink" Target="https://advance.lexis.com/api/document?collection=cases-ca&amp;id=urn:contentItem:5F7T-S7C1-FGRY-B0HN-00000-00&amp;context=" TargetMode="External" /><Relationship Id="rId106" Type="http://schemas.openxmlformats.org/officeDocument/2006/relationships/footer" Target="footer13.xml" /><Relationship Id="rId1060" Type="http://schemas.openxmlformats.org/officeDocument/2006/relationships/hyperlink" Target="https://advance.lexis.com/api/document?collection=cases-ca&amp;id=urn:contentItem:5F7H-KW91-DYV0-G040-00000-00&amp;context=" TargetMode="External" /><Relationship Id="rId1061" Type="http://schemas.openxmlformats.org/officeDocument/2006/relationships/hyperlink" Target="https://advance.lexis.com/api/document?collection=cases-ca&amp;id=urn:contentItem:5F7T-S761-JGHR-M2JC-00000-00&amp;context=" TargetMode="External" /><Relationship Id="rId1062" Type="http://schemas.openxmlformats.org/officeDocument/2006/relationships/header" Target="header118.xml" /><Relationship Id="rId1063" Type="http://schemas.openxmlformats.org/officeDocument/2006/relationships/header" Target="header119.xml" /><Relationship Id="rId1064" Type="http://schemas.openxmlformats.org/officeDocument/2006/relationships/footer" Target="footer118.xml" /><Relationship Id="rId1065" Type="http://schemas.openxmlformats.org/officeDocument/2006/relationships/footer" Target="footer119.xml" /><Relationship Id="rId1066" Type="http://schemas.openxmlformats.org/officeDocument/2006/relationships/header" Target="header120.xml" /><Relationship Id="rId1067" Type="http://schemas.openxmlformats.org/officeDocument/2006/relationships/footer" Target="footer120.xml" /><Relationship Id="rId1068" Type="http://schemas.openxmlformats.org/officeDocument/2006/relationships/hyperlink" Target="https://advance.lexis.com/api/document?collection=cases-ca&amp;id=urn:contentItem:5K6Y-81N1-JN14-G1PB-00000-00&amp;context=" TargetMode="External" /><Relationship Id="rId1069" Type="http://schemas.openxmlformats.org/officeDocument/2006/relationships/hyperlink" Target="https://advance.lexis.com/api/document?collection=cases-ca&amp;id=urn:contentItem:5F7T-S7K1-F528-G34B-00000-00&amp;context=" TargetMode="External" /><Relationship Id="rId107" Type="http://schemas.openxmlformats.org/officeDocument/2006/relationships/footer" Target="footer14.xml" /><Relationship Id="rId1070" Type="http://schemas.openxmlformats.org/officeDocument/2006/relationships/hyperlink" Target="https://advance.lexis.com/api/document?collection=cases-ca&amp;id=urn:contentItem:5F7T-S6Y1-JTNR-M4B7-00000-00&amp;context=" TargetMode="External" /><Relationship Id="rId1071" Type="http://schemas.openxmlformats.org/officeDocument/2006/relationships/hyperlink" Target="https://advance.lexis.com/api/document?collection=cases-ca&amp;id=urn:contentItem:5F7T-S761-JCBX-S0RT-00000-00&amp;context=" TargetMode="External" /><Relationship Id="rId1072" Type="http://schemas.openxmlformats.org/officeDocument/2006/relationships/hyperlink" Target="https://advance.lexis.com/api/document?collection=cases-ca&amp;id=urn:contentItem:5F7T-S6V1-FJTD-G258-00000-00&amp;context=" TargetMode="External" /><Relationship Id="rId1073" Type="http://schemas.openxmlformats.org/officeDocument/2006/relationships/hyperlink" Target="https://advance.lexis.com/api/document?collection=cases-ca&amp;id=urn:contentItem:5F8T-N3T1-JJSF-2372-00000-00&amp;context=" TargetMode="External" /><Relationship Id="rId1074" Type="http://schemas.openxmlformats.org/officeDocument/2006/relationships/hyperlink" Target="https://advance.lexis.com/api/document?collection=cases-ca&amp;id=urn:contentItem:5F8T-N3R1-JNS1-M12M-00000-00&amp;context=" TargetMode="External" /><Relationship Id="rId1075" Type="http://schemas.openxmlformats.org/officeDocument/2006/relationships/header" Target="header121.xml" /><Relationship Id="rId1076" Type="http://schemas.openxmlformats.org/officeDocument/2006/relationships/header" Target="header122.xml" /><Relationship Id="rId1077" Type="http://schemas.openxmlformats.org/officeDocument/2006/relationships/footer" Target="footer121.xml" /><Relationship Id="rId1078" Type="http://schemas.openxmlformats.org/officeDocument/2006/relationships/footer" Target="footer122.xml" /><Relationship Id="rId1079" Type="http://schemas.openxmlformats.org/officeDocument/2006/relationships/header" Target="header123.xml" /><Relationship Id="rId108" Type="http://schemas.openxmlformats.org/officeDocument/2006/relationships/header" Target="header15.xml" /><Relationship Id="rId1080" Type="http://schemas.openxmlformats.org/officeDocument/2006/relationships/footer" Target="footer123.xml" /><Relationship Id="rId1081" Type="http://schemas.openxmlformats.org/officeDocument/2006/relationships/hyperlink" Target="https://advance.lexis.com/api/document?collection=cases-ca&amp;id=urn:contentItem:5F7T-S781-JSC5-M4D2-00000-00&amp;context=" TargetMode="External" /><Relationship Id="rId1082" Type="http://schemas.openxmlformats.org/officeDocument/2006/relationships/hyperlink" Target="https://advance.lexis.com/api/document?collection=cases-ca&amp;id=urn:contentItem:5F7T-S761-JS5Y-B1DK-00000-00&amp;context=" TargetMode="External" /><Relationship Id="rId1083" Type="http://schemas.openxmlformats.org/officeDocument/2006/relationships/hyperlink" Target="https://advance.lexis.com/api/document?collection=cases-ca&amp;id=urn:contentItem:5F7T-S781-FH4C-X34S-00000-00&amp;context=" TargetMode="External" /><Relationship Id="rId1084" Type="http://schemas.openxmlformats.org/officeDocument/2006/relationships/hyperlink" Target="https://advance.lexis.com/api/document?collection=cases-ca&amp;id=urn:contentItem:5F7T-S741-F57G-S1X8-00000-00&amp;context=" TargetMode="External" /><Relationship Id="rId1085" Type="http://schemas.openxmlformats.org/officeDocument/2006/relationships/hyperlink" Target="https://advance.lexis.com/api/document?collection=cases-ca&amp;id=urn:contentItem:5F7T-S761-JS5Y-B1N5-00000-00&amp;context=" TargetMode="External" /><Relationship Id="rId1086" Type="http://schemas.openxmlformats.org/officeDocument/2006/relationships/hyperlink" Target="https://advance.lexis.com/api/document?collection=cases-ca&amp;id=urn:contentItem:5F81-VJW1-JF75-M1N3-00000-00&amp;context=" TargetMode="External" /><Relationship Id="rId1087" Type="http://schemas.openxmlformats.org/officeDocument/2006/relationships/hyperlink" Target="https://advance.lexis.com/api/document?collection=cases-ca&amp;id=urn:contentItem:5F82-1SB1-FBFS-S3XT-00000-00&amp;context=" TargetMode="External" /><Relationship Id="rId1088" Type="http://schemas.openxmlformats.org/officeDocument/2006/relationships/hyperlink" Target="https://advance.lexis.com/api/document?collection=cases-ca&amp;id=urn:contentItem:5F7T-S741-F2F4-G28C-00000-00&amp;context=" TargetMode="External" /><Relationship Id="rId1089" Type="http://schemas.openxmlformats.org/officeDocument/2006/relationships/header" Target="header124.xml" /><Relationship Id="rId109" Type="http://schemas.openxmlformats.org/officeDocument/2006/relationships/footer" Target="footer15.xml" /><Relationship Id="rId1090" Type="http://schemas.openxmlformats.org/officeDocument/2006/relationships/header" Target="header125.xml" /><Relationship Id="rId1091" Type="http://schemas.openxmlformats.org/officeDocument/2006/relationships/footer" Target="footer124.xml" /><Relationship Id="rId1092" Type="http://schemas.openxmlformats.org/officeDocument/2006/relationships/footer" Target="footer125.xml" /><Relationship Id="rId1093" Type="http://schemas.openxmlformats.org/officeDocument/2006/relationships/header" Target="header126.xml" /><Relationship Id="rId1094" Type="http://schemas.openxmlformats.org/officeDocument/2006/relationships/footer" Target="footer126.xml" /><Relationship Id="rId1095" Type="http://schemas.openxmlformats.org/officeDocument/2006/relationships/hyperlink" Target="https://advance.lexis.com/api/document?collection=cases-ca&amp;id=urn:contentItem:5F7T-S7F1-FBN1-21NB-00000-00&amp;context=" TargetMode="External" /><Relationship Id="rId1096" Type="http://schemas.openxmlformats.org/officeDocument/2006/relationships/hyperlink" Target="https://advance.lexis.com/api/document?collection=cases-ca&amp;id=urn:contentItem:5F7T-S6X1-JTNR-M3V8-00000-00&amp;context=" TargetMode="External" /><Relationship Id="rId1097" Type="http://schemas.openxmlformats.org/officeDocument/2006/relationships/hyperlink" Target="https://advance.lexis.com/api/document?collection=cases-ca&amp;id=urn:contentItem:5F7T-S751-JGHR-M20M-00000-00&amp;context=" TargetMode="External" /><Relationship Id="rId1098" Type="http://schemas.openxmlformats.org/officeDocument/2006/relationships/hyperlink" Target="https://advance.lexis.com/api/document?collection=cases-ca&amp;id=urn:contentItem:5F7T-S6X1-F7ND-G3JK-00000-00&amp;context=" TargetMode="External" /><Relationship Id="rId1099" Type="http://schemas.openxmlformats.org/officeDocument/2006/relationships/hyperlink" Target="https://advance.lexis.com/api/document?collection=cases-ca&amp;id=urn:contentItem:5F7T-S6Y1-JNY7-X2RV-00000-00&amp;context=" TargetMode="External" /><Relationship Id="rId11" Type="http://schemas.openxmlformats.org/officeDocument/2006/relationships/hyperlink" Target="https://advance.lexis.com/api/document?collection=cases-ca&amp;id=urn:contentItem:5F8P-SD31-DYMS-64W2-00000-00&amp;context=" TargetMode="External" /><Relationship Id="rId110" Type="http://schemas.openxmlformats.org/officeDocument/2006/relationships/hyperlink" Target="https://advance.lexis.com/api/document?collection=cases-ca&amp;id=urn:contentItem:5KYT-SNP1-F8SS-63VW-00000-00&amp;context=" TargetMode="External" /><Relationship Id="rId1100" Type="http://schemas.openxmlformats.org/officeDocument/2006/relationships/hyperlink" Target="https://advance.lexis.com/api/document?collection=cases-ca&amp;id=urn:contentItem:5F7T-S7D1-FCSB-S34T-00000-00&amp;context=" TargetMode="External" /><Relationship Id="rId1101" Type="http://schemas.openxmlformats.org/officeDocument/2006/relationships/hyperlink" Target="https://advance.lexis.com/api/document?collection=cases-ca&amp;id=urn:contentItem:5F7T-S771-JTGH-B1DX-00000-00&amp;context=" TargetMode="External" /><Relationship Id="rId1102" Type="http://schemas.openxmlformats.org/officeDocument/2006/relationships/hyperlink" Target="https://advance.lexis.com/api/document?collection=cases-ca&amp;id=urn:contentItem:5F7T-S761-JS5Y-B1W9-00000-00&amp;context=" TargetMode="External" /><Relationship Id="rId1103" Type="http://schemas.openxmlformats.org/officeDocument/2006/relationships/hyperlink" Target="https://advance.lexis.com/api/document?collection=cases-ca&amp;id=urn:contentItem:5F7T-S751-JG02-S2B1-00000-00&amp;context=" TargetMode="External" /><Relationship Id="rId1104" Type="http://schemas.openxmlformats.org/officeDocument/2006/relationships/hyperlink" Target="https://advance.lexis.com/api/document?collection=cases-ca&amp;id=urn:contentItem:5F7T-S761-FGJR-22R3-00000-00&amp;context=" TargetMode="External" /><Relationship Id="rId1105" Type="http://schemas.openxmlformats.org/officeDocument/2006/relationships/hyperlink" Target="https://advance.lexis.com/api/document?collection=cases-ca&amp;id=urn:contentItem:5F8T-N3R1-JNS1-M12F-00000-00&amp;context=" TargetMode="External" /><Relationship Id="rId1106" Type="http://schemas.openxmlformats.org/officeDocument/2006/relationships/hyperlink" Target="https://advance.lexis.com/api/document?collection=cases-ca&amp;id=urn:contentItem:5F7T-S771-JW5H-X236-00000-00&amp;context=" TargetMode="External" /><Relationship Id="rId1107" Type="http://schemas.openxmlformats.org/officeDocument/2006/relationships/hyperlink" Target="https://advance.lexis.com/api/document?collection=cases-ca&amp;id=urn:contentItem:5F7T-XPY1-DY33-B1YX-00000-00&amp;context=" TargetMode="External" /><Relationship Id="rId1108" Type="http://schemas.openxmlformats.org/officeDocument/2006/relationships/hyperlink" Target="https://advance.lexis.com/api/document?collection=cases-ca&amp;id=urn:contentItem:5F7T-S751-JX3N-B124-00000-00&amp;context=" TargetMode="External" /><Relationship Id="rId1109" Type="http://schemas.openxmlformats.org/officeDocument/2006/relationships/hyperlink" Target="https://advance.lexis.com/api/document?collection=cases-ca&amp;id=urn:contentItem:5F8T-N3S1-JT99-250Y-00000-00&amp;context=" TargetMode="External" /><Relationship Id="rId111" Type="http://schemas.openxmlformats.org/officeDocument/2006/relationships/hyperlink" Target="https://advance.lexis.com/api/document?collection=legislation-ca&amp;id=urn:contentItem:5TBM-3RN1-F2TK-240T-00000-00&amp;context=" TargetMode="External" /><Relationship Id="rId1110" Type="http://schemas.openxmlformats.org/officeDocument/2006/relationships/header" Target="header127.xml" /><Relationship Id="rId1111" Type="http://schemas.openxmlformats.org/officeDocument/2006/relationships/header" Target="header128.xml" /><Relationship Id="rId1112" Type="http://schemas.openxmlformats.org/officeDocument/2006/relationships/footer" Target="footer127.xml" /><Relationship Id="rId1113" Type="http://schemas.openxmlformats.org/officeDocument/2006/relationships/footer" Target="footer128.xml" /><Relationship Id="rId1114" Type="http://schemas.openxmlformats.org/officeDocument/2006/relationships/header" Target="header129.xml" /><Relationship Id="rId1115" Type="http://schemas.openxmlformats.org/officeDocument/2006/relationships/footer" Target="footer129.xml" /><Relationship Id="rId1116" Type="http://schemas.openxmlformats.org/officeDocument/2006/relationships/hyperlink" Target="https://advance.lexis.com/api/document?collection=cases-ca&amp;id=urn:contentItem:5F7T-S7D1-FBFS-S1W4-00000-00&amp;context=" TargetMode="External" /><Relationship Id="rId1117" Type="http://schemas.openxmlformats.org/officeDocument/2006/relationships/hyperlink" Target="https://advance.lexis.com/api/document?collection=cases-ca&amp;id=urn:contentItem:5F8T-N3S1-JT99-2532-00000-00&amp;context=" TargetMode="External" /><Relationship Id="rId1118" Type="http://schemas.openxmlformats.org/officeDocument/2006/relationships/hyperlink" Target="https://advance.lexis.com/api/document?collection=cases-ca&amp;id=urn:contentItem:5F81-VJV1-JBM1-M4HB-00000-00&amp;context=" TargetMode="External" /><Relationship Id="rId1119" Type="http://schemas.openxmlformats.org/officeDocument/2006/relationships/hyperlink" Target="https://advance.lexis.com/api/document?collection=cases-ca&amp;id=urn:contentItem:5F7T-S771-F81W-22PT-00000-00&amp;context=" TargetMode="External" /><Relationship Id="rId112" Type="http://schemas.openxmlformats.org/officeDocument/2006/relationships/hyperlink" Target="https://advance.lexis.com/api/document?collection=legislation-ca&amp;id=urn:contentItem:5F41-1FM1-FGJR-216V-00000-00&amp;context=" TargetMode="External" /><Relationship Id="rId1120" Type="http://schemas.openxmlformats.org/officeDocument/2006/relationships/hyperlink" Target="https://advance.lexis.com/api/document?collection=cases-ca&amp;id=urn:contentItem:5F81-VJX1-FD4T-B2T6-00000-00&amp;context=" TargetMode="External" /><Relationship Id="rId1121" Type="http://schemas.openxmlformats.org/officeDocument/2006/relationships/header" Target="header130.xml" /><Relationship Id="rId1122" Type="http://schemas.openxmlformats.org/officeDocument/2006/relationships/header" Target="header131.xml" /><Relationship Id="rId1123" Type="http://schemas.openxmlformats.org/officeDocument/2006/relationships/footer" Target="footer130.xml" /><Relationship Id="rId1124" Type="http://schemas.openxmlformats.org/officeDocument/2006/relationships/footer" Target="footer131.xml" /><Relationship Id="rId1125" Type="http://schemas.openxmlformats.org/officeDocument/2006/relationships/header" Target="header132.xml" /><Relationship Id="rId1126" Type="http://schemas.openxmlformats.org/officeDocument/2006/relationships/footer" Target="footer132.xml" /><Relationship Id="rId1127" Type="http://schemas.openxmlformats.org/officeDocument/2006/relationships/hyperlink" Target="https://advance.lexis.com/api/document?collection=cases-ca&amp;id=urn:contentItem:5F7T-S791-FJTD-G2MS-00000-00&amp;context=" TargetMode="External" /><Relationship Id="rId1128" Type="http://schemas.openxmlformats.org/officeDocument/2006/relationships/hyperlink" Target="https://advance.lexis.com/api/document?collection=cases-ca&amp;id=urn:contentItem:5F7T-S7H1-JG02-S3J6-00000-00&amp;context=" TargetMode="External" /><Relationship Id="rId1129" Type="http://schemas.openxmlformats.org/officeDocument/2006/relationships/hyperlink" Target="https://advance.lexis.com/api/document?collection=cases-ca&amp;id=urn:contentItem:5F7T-S701-JJYN-B2NP-00000-00&amp;context=" TargetMode="External" /><Relationship Id="rId113" Type="http://schemas.openxmlformats.org/officeDocument/2006/relationships/hyperlink" Target="https://advance.lexis.com/api/document?collection=legislation-ca&amp;id=urn:contentItem:5VYK-WB21-F57G-S22G-00000-00&amp;context=" TargetMode="External" /><Relationship Id="rId1130" Type="http://schemas.openxmlformats.org/officeDocument/2006/relationships/hyperlink" Target="https://advance.lexis.com/api/document?collection=cases-ca&amp;id=urn:contentItem:5F7H-KW51-JS0R-20FC-00000-00&amp;context=" TargetMode="External" /><Relationship Id="rId1131" Type="http://schemas.openxmlformats.org/officeDocument/2006/relationships/hyperlink" Target="https://advance.lexis.com/api/document?collection=cases-ca&amp;id=urn:contentItem:5F7T-S731-FG12-62GP-00000-00&amp;context=" TargetMode="External" /><Relationship Id="rId1132" Type="http://schemas.openxmlformats.org/officeDocument/2006/relationships/hyperlink" Target="https://advance.lexis.com/api/document?collection=cases-ca&amp;id=urn:contentItem:5F2P-NNR1-F528-G092-00000-00&amp;context=" TargetMode="External" /><Relationship Id="rId1133" Type="http://schemas.openxmlformats.org/officeDocument/2006/relationships/hyperlink" Target="https://advance.lexis.com/api/document?collection=cases-ca&amp;id=urn:contentItem:5F8P-SBT1-F8KH-X2PC-00000-00&amp;context=" TargetMode="External" /><Relationship Id="rId1134" Type="http://schemas.openxmlformats.org/officeDocument/2006/relationships/hyperlink" Target="https://advance.lexis.com/api/document?collection=cases-ca&amp;id=urn:contentItem:5F7T-S7G1-JBT7-X460-00000-00&amp;context=" TargetMode="External" /><Relationship Id="rId1135" Type="http://schemas.openxmlformats.org/officeDocument/2006/relationships/hyperlink" Target="https://advance.lexis.com/api/document?collection=cases-ca&amp;id=urn:contentItem:5F7T-S771-F81W-22NR-00000-00&amp;context=" TargetMode="External" /><Relationship Id="rId1136" Type="http://schemas.openxmlformats.org/officeDocument/2006/relationships/hyperlink" Target="https://advance.lexis.com/api/document?collection=cases-ca&amp;id=urn:contentItem:5F7H-KW51-JGHR-M0N6-00000-00&amp;context=" TargetMode="External" /><Relationship Id="rId1137" Type="http://schemas.openxmlformats.org/officeDocument/2006/relationships/header" Target="header133.xml" /><Relationship Id="rId1138" Type="http://schemas.openxmlformats.org/officeDocument/2006/relationships/header" Target="header134.xml" /><Relationship Id="rId1139" Type="http://schemas.openxmlformats.org/officeDocument/2006/relationships/footer" Target="footer133.xml" /><Relationship Id="rId114" Type="http://schemas.openxmlformats.org/officeDocument/2006/relationships/hyperlink" Target="https://advance.lexis.com/api/document?collection=legislation-ca&amp;id=urn:contentItem:5F3B-BC31-DYFH-X28R-00000-00&amp;context=" TargetMode="External" /><Relationship Id="rId1140" Type="http://schemas.openxmlformats.org/officeDocument/2006/relationships/footer" Target="footer134.xml" /><Relationship Id="rId1141" Type="http://schemas.openxmlformats.org/officeDocument/2006/relationships/header" Target="header135.xml" /><Relationship Id="rId1142" Type="http://schemas.openxmlformats.org/officeDocument/2006/relationships/footer" Target="footer135.xml" /><Relationship Id="rId1143" Type="http://schemas.openxmlformats.org/officeDocument/2006/relationships/hyperlink" Target="https://advance.lexis.com/api/document?collection=cases-ca&amp;id=urn:contentItem:5F7T-S781-F900-G11K-00000-00&amp;context=" TargetMode="External" /><Relationship Id="rId1144" Type="http://schemas.openxmlformats.org/officeDocument/2006/relationships/hyperlink" Target="https://advance.lexis.com/api/document?collection=cases-ca&amp;id=urn:contentItem:5F7T-S711-JG02-S1F6-00000-00&amp;context=" TargetMode="External" /><Relationship Id="rId1145" Type="http://schemas.openxmlformats.org/officeDocument/2006/relationships/hyperlink" Target="https://advance.lexis.com/api/document?collection=cases-ca&amp;id=urn:contentItem:5F7T-S7H1-JG02-S3RS-00000-00&amp;context=" TargetMode="External" /><Relationship Id="rId1146" Type="http://schemas.openxmlformats.org/officeDocument/2006/relationships/hyperlink" Target="https://advance.lexis.com/api/document?collection=cases-ca&amp;id=urn:contentItem:5F7T-S701-JBT7-X2CW-00000-00&amp;context=" TargetMode="External" /><Relationship Id="rId1147" Type="http://schemas.openxmlformats.org/officeDocument/2006/relationships/header" Target="header136.xml" /><Relationship Id="rId1148" Type="http://schemas.openxmlformats.org/officeDocument/2006/relationships/header" Target="header137.xml" /><Relationship Id="rId1149" Type="http://schemas.openxmlformats.org/officeDocument/2006/relationships/footer" Target="footer136.xml" /><Relationship Id="rId115" Type="http://schemas.openxmlformats.org/officeDocument/2006/relationships/hyperlink" Target="https://advance.lexis.com/api/document?collection=cases-ca&amp;id=urn:contentItem:5F8T-N3V1-FC1F-M47Y-00000-00&amp;context=" TargetMode="External" /><Relationship Id="rId1150" Type="http://schemas.openxmlformats.org/officeDocument/2006/relationships/footer" Target="footer137.xml" /><Relationship Id="rId1151" Type="http://schemas.openxmlformats.org/officeDocument/2006/relationships/header" Target="header138.xml" /><Relationship Id="rId1152" Type="http://schemas.openxmlformats.org/officeDocument/2006/relationships/footer" Target="footer138.xml" /><Relationship Id="rId1153" Type="http://schemas.openxmlformats.org/officeDocument/2006/relationships/hyperlink" Target="https://advance.lexis.com/api/document?collection=cases-ca&amp;id=urn:contentItem:5F7T-S7J1-JYYX-621R-00000-00&amp;context=" TargetMode="External" /><Relationship Id="rId1154" Type="http://schemas.openxmlformats.org/officeDocument/2006/relationships/hyperlink" Target="https://advance.lexis.com/api/document?collection=cases-ca&amp;id=urn:contentItem:5F7T-S7H1-F4GK-M32P-00000-00&amp;context=" TargetMode="External" /><Relationship Id="rId1155" Type="http://schemas.openxmlformats.org/officeDocument/2006/relationships/header" Target="header139.xml" /><Relationship Id="rId1156" Type="http://schemas.openxmlformats.org/officeDocument/2006/relationships/header" Target="header140.xml" /><Relationship Id="rId1157" Type="http://schemas.openxmlformats.org/officeDocument/2006/relationships/footer" Target="footer139.xml" /><Relationship Id="rId1158" Type="http://schemas.openxmlformats.org/officeDocument/2006/relationships/footer" Target="footer140.xml" /><Relationship Id="rId1159" Type="http://schemas.openxmlformats.org/officeDocument/2006/relationships/header" Target="header141.xml" /><Relationship Id="rId116" Type="http://schemas.openxmlformats.org/officeDocument/2006/relationships/hyperlink" Target="https://advance.lexis.com/api/document?collection=cases-ca&amp;id=urn:contentItem:5F8T-N3V1-JF75-M38C-00000-00&amp;context=" TargetMode="External" /><Relationship Id="rId1160" Type="http://schemas.openxmlformats.org/officeDocument/2006/relationships/footer" Target="footer141.xml" /><Relationship Id="rId1161" Type="http://schemas.openxmlformats.org/officeDocument/2006/relationships/hyperlink" Target="https://advance.lexis.com/api/document?collection=cases-ca&amp;id=urn:contentItem:5F7T-S7H1-JCRC-B0PH-00000-00&amp;context=" TargetMode="External" /><Relationship Id="rId1162" Type="http://schemas.openxmlformats.org/officeDocument/2006/relationships/hyperlink" Target="https://advance.lexis.com/api/document?collection=cases-ca&amp;id=urn:contentItem:5K6Y-81M1-DXHD-G2CK-00000-00&amp;context=" TargetMode="External" /><Relationship Id="rId1163" Type="http://schemas.openxmlformats.org/officeDocument/2006/relationships/hyperlink" Target="https://advance.lexis.com/api/document?collection=cases-ca&amp;id=urn:contentItem:5F7T-S751-JX3N-B145-00000-00&amp;context=" TargetMode="External" /><Relationship Id="rId1164" Type="http://schemas.openxmlformats.org/officeDocument/2006/relationships/hyperlink" Target="https://advance.lexis.com/api/document?collection=cases-ca&amp;id=urn:contentItem:5F7H-KW71-JJSF-203S-00000-00&amp;context=" TargetMode="External" /><Relationship Id="rId1165" Type="http://schemas.openxmlformats.org/officeDocument/2006/relationships/hyperlink" Target="https://advance.lexis.com/api/document?collection=cases-ca&amp;id=urn:contentItem:5F7T-S751-F361-M0WN-00000-00&amp;context=" TargetMode="External" /><Relationship Id="rId1166" Type="http://schemas.openxmlformats.org/officeDocument/2006/relationships/hyperlink" Target="https://advance.lexis.com/api/document?collection=cases-ca&amp;id=urn:contentItem:5F7T-S711-JG02-S1W7-00000-00&amp;context=" TargetMode="External" /><Relationship Id="rId1167" Type="http://schemas.openxmlformats.org/officeDocument/2006/relationships/hyperlink" Target="https://advance.lexis.com/api/document?collection=cases-ca&amp;id=urn:contentItem:5F7T-S7F1-JFKM-61H7-00000-00&amp;context=" TargetMode="External" /><Relationship Id="rId1168" Type="http://schemas.openxmlformats.org/officeDocument/2006/relationships/header" Target="header142.xml" /><Relationship Id="rId1169" Type="http://schemas.openxmlformats.org/officeDocument/2006/relationships/header" Target="header143.xml" /><Relationship Id="rId117" Type="http://schemas.openxmlformats.org/officeDocument/2006/relationships/hyperlink" Target="https://advance.lexis.com/api/document?collection=cases-ca&amp;id=urn:contentItem:5F8P-SF41-JFSV-G4XJ-00000-00&amp;context=" TargetMode="External" /><Relationship Id="rId1170" Type="http://schemas.openxmlformats.org/officeDocument/2006/relationships/footer" Target="footer142.xml" /><Relationship Id="rId1171" Type="http://schemas.openxmlformats.org/officeDocument/2006/relationships/footer" Target="footer143.xml" /><Relationship Id="rId1172" Type="http://schemas.openxmlformats.org/officeDocument/2006/relationships/header" Target="header144.xml" /><Relationship Id="rId1173" Type="http://schemas.openxmlformats.org/officeDocument/2006/relationships/footer" Target="footer144.xml" /><Relationship Id="rId1174" Type="http://schemas.openxmlformats.org/officeDocument/2006/relationships/hyperlink" Target="https://advance.lexis.com/api/document?collection=cases-ca&amp;id=urn:contentItem:5F7T-S7H1-JFSV-G2PT-00000-00&amp;context=" TargetMode="External" /><Relationship Id="rId1175" Type="http://schemas.openxmlformats.org/officeDocument/2006/relationships/hyperlink" Target="https://advance.lexis.com/api/document?collection=cases-ca&amp;id=urn:contentItem:5K6Y-81M1-DXHD-G2DD-00000-00&amp;context=" TargetMode="External" /><Relationship Id="rId1176" Type="http://schemas.openxmlformats.org/officeDocument/2006/relationships/hyperlink" Target="https://advance.lexis.com/api/document?collection=legislation-ca&amp;id=urn:contentItem:5F41-1FH1-F361-M0H8-00000-00&amp;context=" TargetMode="External" /><Relationship Id="rId1177" Type="http://schemas.openxmlformats.org/officeDocument/2006/relationships/hyperlink" Target="https://advance.lexis.com/api/document?collection=cases-ca&amp;id=urn:contentItem:5F7T-S731-FFFC-B0N3-00000-00&amp;context=" TargetMode="External" /><Relationship Id="rId1178" Type="http://schemas.openxmlformats.org/officeDocument/2006/relationships/hyperlink" Target="https://advance.lexis.com/api/document?collection=cases-ca&amp;id=urn:contentItem:5F7T-S741-F7VM-S2Y0-00000-00&amp;context=" TargetMode="External" /><Relationship Id="rId1179" Type="http://schemas.openxmlformats.org/officeDocument/2006/relationships/header" Target="header145.xml" /><Relationship Id="rId118" Type="http://schemas.openxmlformats.org/officeDocument/2006/relationships/hyperlink" Target="https://advance.lexis.com/api/document?collection=cases-ca&amp;id=urn:contentItem:5F8T-N3V1-FC1F-M446-00000-00&amp;context=" TargetMode="External" /><Relationship Id="rId1180" Type="http://schemas.openxmlformats.org/officeDocument/2006/relationships/header" Target="header146.xml" /><Relationship Id="rId1181" Type="http://schemas.openxmlformats.org/officeDocument/2006/relationships/footer" Target="footer145.xml" /><Relationship Id="rId1182" Type="http://schemas.openxmlformats.org/officeDocument/2006/relationships/footer" Target="footer146.xml" /><Relationship Id="rId1183" Type="http://schemas.openxmlformats.org/officeDocument/2006/relationships/header" Target="header147.xml" /><Relationship Id="rId1184" Type="http://schemas.openxmlformats.org/officeDocument/2006/relationships/footer" Target="footer147.xml" /><Relationship Id="rId1185" Type="http://schemas.openxmlformats.org/officeDocument/2006/relationships/hyperlink" Target="https://advance.lexis.com/api/document?collection=cases-ca&amp;id=urn:contentItem:5F7T-S7K1-JKHB-62MH-00000-00&amp;context=" TargetMode="External" /><Relationship Id="rId1186" Type="http://schemas.openxmlformats.org/officeDocument/2006/relationships/hyperlink" Target="https://advance.lexis.com/api/document?collection=cases-ca&amp;id=urn:contentItem:5K6Y-81M1-F81W-23VV-00000-00&amp;context=" TargetMode="External" /><Relationship Id="rId1187" Type="http://schemas.openxmlformats.org/officeDocument/2006/relationships/hyperlink" Target="https://advance.lexis.com/api/document?collection=legislation-ca&amp;id=urn:contentItem:5F41-1FH1-F361-M0FY-00000-00&amp;context=" TargetMode="External" /><Relationship Id="rId1188" Type="http://schemas.openxmlformats.org/officeDocument/2006/relationships/hyperlink" Target="https://advance.lexis.com/api/document?collection=cases-ca&amp;id=urn:contentItem:5F7T-S761-F81W-21MN-00000-00&amp;context=" TargetMode="External" /><Relationship Id="rId1189" Type="http://schemas.openxmlformats.org/officeDocument/2006/relationships/hyperlink" Target="https://advance.lexis.com/api/document?collection=cases-ca&amp;id=urn:contentItem:5F7V-3DK1-JW5H-X3G9-00000-00&amp;context=" TargetMode="External" /><Relationship Id="rId119" Type="http://schemas.openxmlformats.org/officeDocument/2006/relationships/hyperlink" Target="https://advance.lexis.com/api/document?collection=cases-ca&amp;id=urn:contentItem:5F7T-S7F1-FJTD-G3BR-00000-00&amp;context=" TargetMode="External" /><Relationship Id="rId1190" Type="http://schemas.openxmlformats.org/officeDocument/2006/relationships/hyperlink" Target="https://advance.lexis.com/api/document?collection=cases-ca&amp;id=urn:contentItem:5F8N-K6W1-JGBH-B0NM-00000-00&amp;context=" TargetMode="External" /><Relationship Id="rId1191" Type="http://schemas.openxmlformats.org/officeDocument/2006/relationships/hyperlink" Target="https://advance.lexis.com/api/document?collection=cases-ca&amp;id=urn:contentItem:5F81-VJS1-JNY7-X2YW-00000-00&amp;context=" TargetMode="External" /><Relationship Id="rId1192" Type="http://schemas.openxmlformats.org/officeDocument/2006/relationships/header" Target="header148.xml" /><Relationship Id="rId1193" Type="http://schemas.openxmlformats.org/officeDocument/2006/relationships/header" Target="header149.xml" /><Relationship Id="rId1194" Type="http://schemas.openxmlformats.org/officeDocument/2006/relationships/footer" Target="footer148.xml" /><Relationship Id="rId1195" Type="http://schemas.openxmlformats.org/officeDocument/2006/relationships/footer" Target="footer149.xml" /><Relationship Id="rId1196" Type="http://schemas.openxmlformats.org/officeDocument/2006/relationships/header" Target="header150.xml" /><Relationship Id="rId1197" Type="http://schemas.openxmlformats.org/officeDocument/2006/relationships/footer" Target="footer150.xml" /><Relationship Id="rId1198" Type="http://schemas.openxmlformats.org/officeDocument/2006/relationships/hyperlink" Target="https://advance.lexis.com/api/document?collection=cases-ca&amp;id=urn:contentItem:5F7T-S7C1-FCSB-S20W-00000-00&amp;context=" TargetMode="External" /><Relationship Id="rId1199" Type="http://schemas.openxmlformats.org/officeDocument/2006/relationships/hyperlink" Target="https://advance.lexis.com/api/document?collection=cases-ca&amp;id=urn:contentItem:5F8T-N3V1-FC1F-M3YP-00000-00&amp;context=" TargetMode="External" /><Relationship Id="rId12" Type="http://schemas.openxmlformats.org/officeDocument/2006/relationships/hyperlink" Target="https://advance.lexis.com/api/document?collection=cases-ca&amp;id=urn:contentItem:5F8P-SD61-JJD0-G254-00000-00&amp;context=" TargetMode="External" /><Relationship Id="rId120" Type="http://schemas.openxmlformats.org/officeDocument/2006/relationships/hyperlink" Target="https://advance.lexis.com/api/document?collection=cases-ca&amp;id=urn:contentItem:5F16-93D1-JG02-S09P-00000-00&amp;context=" TargetMode="External" /><Relationship Id="rId1200" Type="http://schemas.openxmlformats.org/officeDocument/2006/relationships/hyperlink" Target="https://advance.lexis.com/api/document?collection=cases-ca&amp;id=urn:contentItem:5F8T-N3T1-JJSF-23MK-00000-00&amp;context=" TargetMode="External" /><Relationship Id="rId1201" Type="http://schemas.openxmlformats.org/officeDocument/2006/relationships/hyperlink" Target="https://advance.lexis.com/api/document?collection=cases-ca&amp;id=urn:contentItem:5F7T-S6W1-JF75-M31V-00000-00&amp;context=" TargetMode="External" /><Relationship Id="rId1202" Type="http://schemas.openxmlformats.org/officeDocument/2006/relationships/hyperlink" Target="https://advance.lexis.com/api/document?collection=cases-ca&amp;id=urn:contentItem:5F7T-S711-JB2B-S0W5-00000-00&amp;context=" TargetMode="External" /><Relationship Id="rId1203" Type="http://schemas.openxmlformats.org/officeDocument/2006/relationships/hyperlink" Target="https://advance.lexis.com/api/document?collection=cases-ca&amp;id=urn:contentItem:5F8T-N3V1-FC1F-M469-00000-00&amp;context=" TargetMode="External" /><Relationship Id="rId1204" Type="http://schemas.openxmlformats.org/officeDocument/2006/relationships/hyperlink" Target="https://advance.lexis.com/api/document?collection=cases-ca&amp;id=urn:contentItem:5F7T-S791-FJTD-G2FC-00000-00&amp;context=" TargetMode="External" /><Relationship Id="rId1205" Type="http://schemas.openxmlformats.org/officeDocument/2006/relationships/hyperlink" Target="https://advance.lexis.com/api/document?collection=cases-ca&amp;id=urn:contentItem:5F7T-S771-JJD0-G13J-00000-00&amp;context=" TargetMode="External" /><Relationship Id="rId1206" Type="http://schemas.openxmlformats.org/officeDocument/2006/relationships/hyperlink" Target="https://advance.lexis.com/api/document?collection=cases-ca&amp;id=urn:contentItem:5F16-9361-JYYX-6339-00000-00&amp;context=" TargetMode="External" /><Relationship Id="rId1207" Type="http://schemas.openxmlformats.org/officeDocument/2006/relationships/hyperlink" Target="https://advance.lexis.com/api/document?collection=cases-ca&amp;id=urn:contentItem:5F16-9361-F4GK-M3HW-00000-00&amp;context=" TargetMode="External" /><Relationship Id="rId1208" Type="http://schemas.openxmlformats.org/officeDocument/2006/relationships/hyperlink" Target="https://advance.lexis.com/api/document?collection=cases-ca&amp;id=urn:contentItem:5F81-VJX1-JKPJ-G1GK-00000-00&amp;context=" TargetMode="External" /><Relationship Id="rId1209" Type="http://schemas.openxmlformats.org/officeDocument/2006/relationships/hyperlink" Target="https://advance.lexis.com/api/document?collection=cases-ca&amp;id=urn:contentItem:5F8P-SDG1-FJDY-X1JN-00000-00&amp;context=" TargetMode="External" /><Relationship Id="rId121" Type="http://schemas.openxmlformats.org/officeDocument/2006/relationships/hyperlink" Target="https://advance.lexis.com/api/document?collection=cases-ca&amp;id=urn:contentItem:5F7T-S7N1-DXWW-20M8-00000-00&amp;context=" TargetMode="External" /><Relationship Id="rId1210" Type="http://schemas.openxmlformats.org/officeDocument/2006/relationships/hyperlink" Target="https://advance.lexis.com/api/document?collection=cases-ca&amp;id=urn:contentItem:5F7T-S781-F900-G13B-00000-00&amp;context=" TargetMode="External" /><Relationship Id="rId1211" Type="http://schemas.openxmlformats.org/officeDocument/2006/relationships/hyperlink" Target="https://advance.lexis.com/api/document?collection=cases-ca&amp;id=urn:contentItem:5F8T-N3P1-K0BB-S0MR-00000-00&amp;context=" TargetMode="External" /><Relationship Id="rId1212" Type="http://schemas.openxmlformats.org/officeDocument/2006/relationships/hyperlink" Target="https://advance.lexis.com/api/document?collection=cases-ca&amp;id=urn:contentItem:5F8P-SD31-F2MB-S40R-00000-00&amp;context=" TargetMode="External" /><Relationship Id="rId1213" Type="http://schemas.openxmlformats.org/officeDocument/2006/relationships/hyperlink" Target="https://advance.lexis.com/api/document?collection=cases-ca&amp;id=urn:contentItem:5F7T-S6X1-K0BB-S0MB-00000-00&amp;context=" TargetMode="External" /><Relationship Id="rId1214" Type="http://schemas.openxmlformats.org/officeDocument/2006/relationships/hyperlink" Target="https://advance.lexis.com/api/document?collection=cases-ca&amp;id=urn:contentItem:5F8T-N3V1-JFKM-609G-00000-00&amp;context=" TargetMode="External" /><Relationship Id="rId1215" Type="http://schemas.openxmlformats.org/officeDocument/2006/relationships/hyperlink" Target="https://advance.lexis.com/api/document?collection=cases-ca&amp;id=urn:contentItem:5F7T-S781-F900-G17W-00000-00&amp;context=" TargetMode="External" /><Relationship Id="rId1216" Type="http://schemas.openxmlformats.org/officeDocument/2006/relationships/hyperlink" Target="https://advance.lexis.com/api/document?collection=cases-ca&amp;id=urn:contentItem:5F7T-S761-JCBX-S0YN-00000-00&amp;context=" TargetMode="External" /><Relationship Id="rId1217" Type="http://schemas.openxmlformats.org/officeDocument/2006/relationships/hyperlink" Target="https://advance.lexis.com/api/document?collection=cases-ca&amp;id=urn:contentItem:5J58-VC91-FGJR-232G-00000-00&amp;context=" TargetMode="External" /><Relationship Id="rId1218" Type="http://schemas.openxmlformats.org/officeDocument/2006/relationships/hyperlink" Target="https://advance.lexis.com/api/document?collection=cases-ca&amp;id=urn:contentItem:5F8N-K6W1-F65M-621F-00000-00&amp;context=" TargetMode="External" /><Relationship Id="rId1219" Type="http://schemas.openxmlformats.org/officeDocument/2006/relationships/hyperlink" Target="https://advance.lexis.com/api/document?collection=cases-ca&amp;id=urn:contentItem:5F7T-S751-JX3N-B12X-00000-00&amp;context=" TargetMode="External" /><Relationship Id="rId122" Type="http://schemas.openxmlformats.org/officeDocument/2006/relationships/hyperlink" Target="https://advance.lexis.com/api/document?collection=cases-ca&amp;id=urn:contentItem:5F7T-S6T1-FJTD-G1NP-00000-00&amp;context=" TargetMode="External" /><Relationship Id="rId1220" Type="http://schemas.openxmlformats.org/officeDocument/2006/relationships/hyperlink" Target="https://advance.lexis.com/api/document?collection=cases-ca&amp;id=urn:contentItem:5F7T-S711-JNY7-X35F-00000-00&amp;context=" TargetMode="External" /><Relationship Id="rId1221" Type="http://schemas.openxmlformats.org/officeDocument/2006/relationships/hyperlink" Target="https://advance.lexis.com/api/document?collection=cases-ca&amp;id=urn:contentItem:5F7T-S731-FG12-62SP-00000-00&amp;context=" TargetMode="External" /><Relationship Id="rId1222" Type="http://schemas.openxmlformats.org/officeDocument/2006/relationships/hyperlink" Target="https://advance.lexis.com/api/document?collection=cases-ca&amp;id=urn:contentItem:5F7T-S781-F900-G0RT-00000-00&amp;context=" TargetMode="External" /><Relationship Id="rId1223" Type="http://schemas.openxmlformats.org/officeDocument/2006/relationships/hyperlink" Target="https://advance.lexis.com/api/document?collection=cases-ca&amp;id=urn:contentItem:5F7T-S761-FFMK-M0YJ-00000-00&amp;context=" TargetMode="External" /><Relationship Id="rId1224" Type="http://schemas.openxmlformats.org/officeDocument/2006/relationships/hyperlink" Target="https://advance.lexis.com/api/document?collection=cases-ca&amp;id=urn:contentItem:5F81-VJX1-F5T5-M47B-00000-00&amp;context=" TargetMode="External" /><Relationship Id="rId1225" Type="http://schemas.openxmlformats.org/officeDocument/2006/relationships/numbering" Target="numbering.xml" /><Relationship Id="rId1226" Type="http://schemas.openxmlformats.org/officeDocument/2006/relationships/styles" Target="styles.xml" /><Relationship Id="rId123" Type="http://schemas.openxmlformats.org/officeDocument/2006/relationships/hyperlink" Target="https://advance.lexis.com/api/document?collection=cases-ca&amp;id=urn:contentItem:5F7T-S6T1-JJ1H-X2FY-00000-00&amp;context=" TargetMode="External" /><Relationship Id="rId124" Type="http://schemas.openxmlformats.org/officeDocument/2006/relationships/hyperlink" Target="https://advance.lexis.com/api/document?collection=cases-ca&amp;id=urn:contentItem:5F8T-N3T1-JGHR-M1TK-00000-00&amp;context=" TargetMode="External" /><Relationship Id="rId125" Type="http://schemas.openxmlformats.org/officeDocument/2006/relationships/hyperlink" Target="https://advance.lexis.com/api/document?collection=cases-ca&amp;id=urn:contentItem:5G8K-Y431-JWR6-S2D8-00000-00&amp;context=" TargetMode="External" /><Relationship Id="rId126" Type="http://schemas.openxmlformats.org/officeDocument/2006/relationships/hyperlink" Target="https://advance.lexis.com/api/document?collection=cases-ca&amp;id=urn:contentItem:5F7T-S7H1-FCSB-S38T-00000-00&amp;context=" TargetMode="External" /><Relationship Id="rId127" Type="http://schemas.openxmlformats.org/officeDocument/2006/relationships/hyperlink" Target="https://advance.lexis.com/api/document?collection=cases-ca&amp;id=urn:contentItem:5F7T-S7H1-JFSV-G2TX-00000-00&amp;context=" TargetMode="External" /><Relationship Id="rId128" Type="http://schemas.openxmlformats.org/officeDocument/2006/relationships/hyperlink" Target="https://advance.lexis.com/api/document?collection=cases-ca&amp;id=urn:contentItem:5F8P-SDN1-JJD0-G330-00000-00&amp;context=" TargetMode="External" /><Relationship Id="rId129" Type="http://schemas.openxmlformats.org/officeDocument/2006/relationships/hyperlink" Target="https://advance.lexis.com/api/document?collection=cases-ca&amp;id=urn:contentItem:5F8P-SDF1-JXNB-64G4-00000-00&amp;context=" TargetMode="External" /><Relationship Id="rId13" Type="http://schemas.openxmlformats.org/officeDocument/2006/relationships/hyperlink" Target="https://advance.lexis.com/api/document?collection=cases-ca&amp;id=urn:contentItem:5F7T-S761-FFMK-M0YH-00000-00&amp;context=" TargetMode="External" /><Relationship Id="rId130" Type="http://schemas.openxmlformats.org/officeDocument/2006/relationships/hyperlink" Target="https://advance.lexis.com/api/document?collection=cases-ca&amp;id=urn:contentItem:5F7T-S7C1-F7ND-G02T-00000-00&amp;context=" TargetMode="External" /><Relationship Id="rId131" Type="http://schemas.openxmlformats.org/officeDocument/2006/relationships/hyperlink" Target="https://advance.lexis.com/api/document?collection=cases-ca&amp;id=urn:contentItem:5F7T-S7D1-JS5Y-B2D4-00000-00&amp;context=" TargetMode="External" /><Relationship Id="rId132" Type="http://schemas.openxmlformats.org/officeDocument/2006/relationships/hyperlink" Target="https://advance.lexis.com/api/document?collection=cases-ca&amp;id=urn:contentItem:5F7T-S7D1-JS5Y-B20J-00000-00&amp;context=" TargetMode="External" /><Relationship Id="rId133" Type="http://schemas.openxmlformats.org/officeDocument/2006/relationships/hyperlink" Target="https://advance.lexis.com/api/document?collection=cases-ca&amp;id=urn:contentItem:5F7T-S7F1-DXWW-244M-00000-00&amp;context=" TargetMode="External" /><Relationship Id="rId134" Type="http://schemas.openxmlformats.org/officeDocument/2006/relationships/image" Target="media/image1.png" /><Relationship Id="rId135" Type="http://schemas.openxmlformats.org/officeDocument/2006/relationships/image" Target="media/image2.png" /><Relationship Id="rId136" Type="http://schemas.openxmlformats.org/officeDocument/2006/relationships/image" Target="media/image3.png" /><Relationship Id="rId137" Type="http://schemas.openxmlformats.org/officeDocument/2006/relationships/image" Target="media/image4.png" /><Relationship Id="rId138" Type="http://schemas.openxmlformats.org/officeDocument/2006/relationships/hyperlink" Target="https://advance.lexis.com/api/document?collection=cases-ca&amp;id=urn:contentItem:5F8T-N3V1-JTGH-B15K-00000-00&amp;context=" TargetMode="External" /><Relationship Id="rId139" Type="http://schemas.openxmlformats.org/officeDocument/2006/relationships/hyperlink" Target="https://advance.lexis.com/api/document?collection=cases-ca&amp;id=urn:contentItem:5F8W-M4C1-F4NT-X4F7-00000-00&amp;context=" TargetMode="External" /><Relationship Id="rId14" Type="http://schemas.openxmlformats.org/officeDocument/2006/relationships/hyperlink" Target="https://advance.lexis.com/api/document?collection=cases-ca&amp;id=urn:contentItem:5F7T-S771-F361-M1H3-00000-00&amp;context=" TargetMode="External" /><Relationship Id="rId140" Type="http://schemas.openxmlformats.org/officeDocument/2006/relationships/hyperlink" Target="https://advance.lexis.com/api/document?collection=analytical-materials-ca&amp;id=urn:contentItem:5HSF-3KM1-JTGH-B480-00000-00&amp;context=" TargetMode="External" /><Relationship Id="rId141" Type="http://schemas.openxmlformats.org/officeDocument/2006/relationships/hyperlink" Target="https://advance.lexis.com/api/document?collection=cases-ca&amp;id=urn:contentItem:5F8T-N3V1-FC1F-M4B6-00000-00&amp;context=" TargetMode="External" /><Relationship Id="rId142" Type="http://schemas.openxmlformats.org/officeDocument/2006/relationships/hyperlink" Target="https://advance.lexis.com/api/document?collection=cases-ca&amp;id=urn:contentItem:5F8W-M491-JBDT-B3Y8-00000-00&amp;context=" TargetMode="External" /><Relationship Id="rId143" Type="http://schemas.openxmlformats.org/officeDocument/2006/relationships/hyperlink" Target="https://advance.lexis.com/api/document?collection=cases-ca&amp;id=urn:contentItem:5F8W-M491-JC5P-G377-00000-00&amp;context=" TargetMode="External" /><Relationship Id="rId144" Type="http://schemas.openxmlformats.org/officeDocument/2006/relationships/hyperlink" Target="https://advance.lexis.com/api/document?collection=cases-ca&amp;id=urn:contentItem:5F8W-M4B1-F4NT-X3K0-00000-00&amp;context=" TargetMode="External" /><Relationship Id="rId145" Type="http://schemas.openxmlformats.org/officeDocument/2006/relationships/hyperlink" Target="https://advance.lexis.com/api/document?collection=cases-ca&amp;id=urn:contentItem:5F8T-N3V1-FH4C-X214-00000-00&amp;context=" TargetMode="External" /><Relationship Id="rId146" Type="http://schemas.openxmlformats.org/officeDocument/2006/relationships/hyperlink" Target="https://advance.lexis.com/api/document?collection=cases-ca&amp;id=urn:contentItem:5F7T-S7H1-K054-G2FM-00000-00&amp;context=" TargetMode="External" /><Relationship Id="rId147" Type="http://schemas.openxmlformats.org/officeDocument/2006/relationships/hyperlink" Target="https://advance.lexis.com/api/document?collection=cases-ca&amp;id=urn:contentItem:5GC3-4KH1-JG02-S3WJ-00000-00&amp;context=" TargetMode="External" /><Relationship Id="rId148" Type="http://schemas.openxmlformats.org/officeDocument/2006/relationships/hyperlink" Target="https://advance.lexis.com/api/document?collection=cases-ca&amp;id=urn:contentItem:5JY7-RCM1-DXHD-G2T5-00000-00&amp;context=" TargetMode="External" /><Relationship Id="rId149" Type="http://schemas.openxmlformats.org/officeDocument/2006/relationships/hyperlink" Target="https://advance.lexis.com/api/document?collection=cases-ca&amp;id=urn:contentItem:5S18-6DY1-F873-B304-00000-00&amp;context=" TargetMode="External" /><Relationship Id="rId15" Type="http://schemas.openxmlformats.org/officeDocument/2006/relationships/hyperlink" Target="https://advance.lexis.com/api/document?collection=cases-ca&amp;id=urn:contentItem:5F7T-S781-F06F-23XK-00000-00&amp;context=" TargetMode="External" /><Relationship Id="rId150" Type="http://schemas.openxmlformats.org/officeDocument/2006/relationships/hyperlink" Target="https://advance.lexis.com/api/document?collection=cases-ca&amp;id=urn:contentItem:5HBF-Y861-FGRY-B2CW-00000-00&amp;context=" TargetMode="External" /><Relationship Id="rId151" Type="http://schemas.openxmlformats.org/officeDocument/2006/relationships/hyperlink" Target="https://advance.lexis.com/api/document?collection=cases-ca&amp;id=urn:contentItem:5F81-VJY1-FBN1-22S0-00000-00&amp;context=" TargetMode="External" /><Relationship Id="rId152" Type="http://schemas.openxmlformats.org/officeDocument/2006/relationships/hyperlink" Target="https://advance.lexis.com/api/document?collection=cases-ca&amp;id=urn:contentItem:5F82-1SJ1-JWXF-21MG-00000-00&amp;context=" TargetMode="External" /><Relationship Id="rId153" Type="http://schemas.openxmlformats.org/officeDocument/2006/relationships/hyperlink" Target="https://advance.lexis.com/api/document?collection=cases-ca&amp;id=urn:contentItem:5F8T-N3V1-FC1F-M461-00000-00&amp;context=" TargetMode="External" /><Relationship Id="rId154" Type="http://schemas.openxmlformats.org/officeDocument/2006/relationships/hyperlink" Target="https://advance.lexis.com/api/document?collection=cases-ca&amp;id=urn:contentItem:5F8T-N3V1-FC1F-M45R-00000-00&amp;context=" TargetMode="External" /><Relationship Id="rId155" Type="http://schemas.openxmlformats.org/officeDocument/2006/relationships/hyperlink" Target="https://advance.lexis.com/api/document?collection=cases-ca&amp;id=urn:contentItem:5F8T-N3V1-JF75-M3D0-00000-00&amp;context=" TargetMode="External" /><Relationship Id="rId156" Type="http://schemas.openxmlformats.org/officeDocument/2006/relationships/hyperlink" Target="https://advance.lexis.com/api/document?collection=cases-ca&amp;id=urn:contentItem:5F8T-N3V1-FH4C-X1X2-00000-00&amp;context=" TargetMode="External" /><Relationship Id="rId157" Type="http://schemas.openxmlformats.org/officeDocument/2006/relationships/hyperlink" Target="https://advance.lexis.com/api/document?collection=cases-ca&amp;id=urn:contentItem:5GB9-DSH1-F22N-X2C8-00000-00&amp;context=" TargetMode="External" /><Relationship Id="rId158" Type="http://schemas.openxmlformats.org/officeDocument/2006/relationships/hyperlink" Target="https://advance.lexis.com/api/document?collection=cases-ca&amp;id=urn:contentItem:5GBX-BXM1-FGRY-B3H5-00000-00&amp;context=" TargetMode="External" /><Relationship Id="rId159" Type="http://schemas.openxmlformats.org/officeDocument/2006/relationships/hyperlink" Target="https://advance.lexis.com/api/document?collection=cases-ca&amp;id=urn:contentItem:5F8T-N3T1-JFKM-6548-00000-00&amp;context=" TargetMode="External" /><Relationship Id="rId16" Type="http://schemas.openxmlformats.org/officeDocument/2006/relationships/hyperlink" Target="https://advance.lexis.com/api/document?collection=cases-ca&amp;id=urn:contentItem:5F81-VJX1-JJYN-B4RM-00000-00&amp;context=" TargetMode="External" /><Relationship Id="rId160" Type="http://schemas.openxmlformats.org/officeDocument/2006/relationships/hyperlink" Target="https://advance.lexis.com/api/document?collection=cases-ca&amp;id=urn:contentItem:5F7T-S7N1-JGHR-M32G-00000-00&amp;context=" TargetMode="External" /><Relationship Id="rId161" Type="http://schemas.openxmlformats.org/officeDocument/2006/relationships/hyperlink" Target="https://advance.lexis.com/api/document?collection=cases-ca&amp;id=urn:contentItem:5F8T-N3V1-FH4C-X25B-00000-00&amp;context=" TargetMode="External" /><Relationship Id="rId162" Type="http://schemas.openxmlformats.org/officeDocument/2006/relationships/hyperlink" Target="https://advance.lexis.com/api/document?collection=cases-ca&amp;id=urn:contentItem:5F7T-S7F1-JBT7-X2X7-00000-00&amp;context=" TargetMode="External" /><Relationship Id="rId163" Type="http://schemas.openxmlformats.org/officeDocument/2006/relationships/hyperlink" Target="https://advance.lexis.com/api/document?collection=cases-ca&amp;id=urn:contentItem:5F7T-S7M1-DYMS-6256-00000-00&amp;context=" TargetMode="External" /><Relationship Id="rId164" Type="http://schemas.openxmlformats.org/officeDocument/2006/relationships/hyperlink" Target="https://advance.lexis.com/api/document?collection=cases-ca&amp;id=urn:contentItem:5F8T-N3V1-FH4C-X23P-00000-00&amp;context=" TargetMode="External" /><Relationship Id="rId165" Type="http://schemas.openxmlformats.org/officeDocument/2006/relationships/hyperlink" Target="https://advance.lexis.com/api/document?collection=cases-ca&amp;id=urn:contentItem:5HD5-ST21-F2F4-G3KB-00000-00&amp;context=" TargetMode="External" /><Relationship Id="rId166" Type="http://schemas.openxmlformats.org/officeDocument/2006/relationships/hyperlink" Target="https://advance.lexis.com/api/document?collection=cases-ca&amp;id=urn:contentItem:5F7T-S7M1-JJK6-S1N0-00000-00&amp;context=" TargetMode="External" /><Relationship Id="rId167" Type="http://schemas.openxmlformats.org/officeDocument/2006/relationships/hyperlink" Target="https://advance.lexis.com/api/document?collection=cases-ca&amp;id=urn:contentItem:5GCC-XVC1-JSRM-60NF-00000-00&amp;context=" TargetMode="External" /><Relationship Id="rId168" Type="http://schemas.openxmlformats.org/officeDocument/2006/relationships/hyperlink" Target="https://advance.lexis.com/api/document?collection=cases-ca&amp;id=urn:contentItem:5F8T-N3V1-FC1F-M4DX-00000-00&amp;context=" TargetMode="External" /><Relationship Id="rId169" Type="http://schemas.openxmlformats.org/officeDocument/2006/relationships/hyperlink" Target="https://advance.lexis.com/api/document?collection=cases-ca&amp;id=urn:contentItem:5F8T-N3V1-FH4C-X205-00000-00&amp;context=" TargetMode="External" /><Relationship Id="rId17" Type="http://schemas.openxmlformats.org/officeDocument/2006/relationships/hyperlink" Target="https://advance.lexis.com/api/document?collection=cases-ca&amp;id=urn:contentItem:5F82-DK11-FCCX-62SM-00000-00&amp;context=" TargetMode="External" /><Relationship Id="rId170" Type="http://schemas.openxmlformats.org/officeDocument/2006/relationships/hyperlink" Target="https://advance.lexis.com/api/document?collection=cases-ca&amp;id=urn:contentItem:5F8T-N3V1-FH4C-X203-00000-00&amp;context=" TargetMode="External" /><Relationship Id="rId171" Type="http://schemas.openxmlformats.org/officeDocument/2006/relationships/hyperlink" Target="https://advance.lexis.com/api/document?collection=cases-ca&amp;id=urn:contentItem:5F8T-N3V1-JFKM-60BM-00000-00&amp;context=" TargetMode="External" /><Relationship Id="rId172" Type="http://schemas.openxmlformats.org/officeDocument/2006/relationships/hyperlink" Target="https://advance.lexis.com/api/document?collection=cases-ca&amp;id=urn:contentItem:5G8T-89T1-JNCK-22W1-00000-00&amp;context=" TargetMode="External" /><Relationship Id="rId173" Type="http://schemas.openxmlformats.org/officeDocument/2006/relationships/hyperlink" Target="https://advance.lexis.com/api/document?collection=cases-ca&amp;id=urn:contentItem:5G8K-Y431-JWR6-S2F3-00000-00&amp;context=" TargetMode="External" /><Relationship Id="rId174" Type="http://schemas.openxmlformats.org/officeDocument/2006/relationships/hyperlink" Target="https://advance.lexis.com/api/document?collection=cases-ca&amp;id=urn:contentItem:5H30-9M31-F4W2-64V4-00000-00&amp;context=" TargetMode="External" /><Relationship Id="rId175" Type="http://schemas.openxmlformats.org/officeDocument/2006/relationships/hyperlink" Target="https://advance.lexis.com/api/document?collection=cases-ca&amp;id=urn:contentItem:5F81-VJY1-JWBS-64KV-00000-00&amp;context=" TargetMode="External" /><Relationship Id="rId176" Type="http://schemas.openxmlformats.org/officeDocument/2006/relationships/hyperlink" Target="https://advance.lexis.com/api/document?collection=cases-ca&amp;id=urn:contentItem:5F8T-N3V1-JF75-M3B9-00000-00&amp;context=" TargetMode="External" /><Relationship Id="rId177" Type="http://schemas.openxmlformats.org/officeDocument/2006/relationships/hyperlink" Target="https://advance.lexis.com/api/document?collection=cases-ca&amp;id=urn:contentItem:5F8T-N3V1-JTGH-B1F4-00000-00&amp;context=" TargetMode="External" /><Relationship Id="rId178" Type="http://schemas.openxmlformats.org/officeDocument/2006/relationships/hyperlink" Target="https://advance.lexis.com/api/document?collection=cases-ca&amp;id=urn:contentItem:5F7T-S761-JX8W-M33W-00000-00&amp;context=" TargetMode="External" /><Relationship Id="rId179" Type="http://schemas.openxmlformats.org/officeDocument/2006/relationships/hyperlink" Target="https://advance.lexis.com/api/document?collection=cases-ca&amp;id=urn:contentItem:5F8P-JJT1-F4GK-M31R-00000-00&amp;context=" TargetMode="External" /><Relationship Id="rId18" Type="http://schemas.openxmlformats.org/officeDocument/2006/relationships/hyperlink" Target="https://advance.lexis.com/api/document?collection=cases-ca&amp;id=urn:contentItem:5F8T-N3R1-FJDY-X2YV-00000-00&amp;context=" TargetMode="External" /><Relationship Id="rId180" Type="http://schemas.openxmlformats.org/officeDocument/2006/relationships/hyperlink" Target="https://advance.lexis.com/api/document?collection=cases-ca&amp;id=urn:contentItem:5F8P-JKP1-DXWW-20TG-00000-00&amp;context=" TargetMode="External" /><Relationship Id="rId181" Type="http://schemas.openxmlformats.org/officeDocument/2006/relationships/hyperlink" Target="https://advance.lexis.com/api/document?collection=cases-ca&amp;id=urn:contentItem:5F7T-S7C1-F4NT-X3HW-00000-00&amp;context=" TargetMode="External" /><Relationship Id="rId182" Type="http://schemas.openxmlformats.org/officeDocument/2006/relationships/hyperlink" Target="https://advance.lexis.com/api/document?collection=cases-ca&amp;id=urn:contentItem:5F8T-N3V1-JF75-M3GM-00000-00&amp;context=" TargetMode="External" /><Relationship Id="rId183" Type="http://schemas.openxmlformats.org/officeDocument/2006/relationships/hyperlink" Target="https://advance.lexis.com/api/document?collection=cases-ca&amp;id=urn:contentItem:5JB0-48F1-FG68-G0W1-00000-00&amp;context=" TargetMode="External" /><Relationship Id="rId184" Type="http://schemas.openxmlformats.org/officeDocument/2006/relationships/hyperlink" Target="https://advance.lexis.com/api/document?collection=cases-ca&amp;id=urn:contentItem:5HBW-TGB1-JSC5-M41G-00000-00&amp;context=" TargetMode="External" /><Relationship Id="rId185" Type="http://schemas.openxmlformats.org/officeDocument/2006/relationships/hyperlink" Target="https://advance.lexis.com/api/document?collection=legislation-ca&amp;id=urn:contentItem:5VYK-WB11-FC1F-M3KB-00000-00&amp;context=" TargetMode="External" /><Relationship Id="rId186" Type="http://schemas.openxmlformats.org/officeDocument/2006/relationships/hyperlink" Target="https://advance.lexis.com/api/document?collection=cases-ca&amp;id=urn:contentItem:5GBX-BXM1-FGRY-B3H3-00000-00&amp;context=" TargetMode="External" /><Relationship Id="rId187" Type="http://schemas.openxmlformats.org/officeDocument/2006/relationships/hyperlink" Target="https://advance.lexis.com/api/document?collection=cases-ca&amp;id=urn:contentItem:5F8T-N3V1-FH4C-X1VX-00000-00&amp;context=" TargetMode="External" /><Relationship Id="rId188" Type="http://schemas.openxmlformats.org/officeDocument/2006/relationships/hyperlink" Target="https://advance.lexis.com/api/document?collection=cases-ca&amp;id=urn:contentItem:5G74-D9V1-F2TK-22GW-00000-00&amp;context=" TargetMode="External" /><Relationship Id="rId189" Type="http://schemas.openxmlformats.org/officeDocument/2006/relationships/hyperlink" Target="https://advance.lexis.com/api/document?collection=cases-ca&amp;id=urn:contentItem:5F8T-N3V1-JTGH-B194-00000-00&amp;context=" TargetMode="External" /><Relationship Id="rId19" Type="http://schemas.openxmlformats.org/officeDocument/2006/relationships/hyperlink" Target="https://advance.lexis.com/api/document?collection=cases-ca&amp;id=urn:contentItem:5F7T-S6X1-F06F-22K3-00000-00&amp;context=" TargetMode="External" /><Relationship Id="rId190" Type="http://schemas.openxmlformats.org/officeDocument/2006/relationships/hyperlink" Target="https://advance.lexis.com/api/document?collection=cases-ca&amp;id=urn:contentItem:5F8T-N3V1-JTGH-B1C8-00000-00&amp;context=" TargetMode="External" /><Relationship Id="rId191" Type="http://schemas.openxmlformats.org/officeDocument/2006/relationships/hyperlink" Target="https://advance.lexis.com/api/document?collection=cases-ca&amp;id=urn:contentItem:5GC2-Y351-JKHB-60GB-00000-00&amp;context=" TargetMode="External" /><Relationship Id="rId192" Type="http://schemas.openxmlformats.org/officeDocument/2006/relationships/hyperlink" Target="https://advance.lexis.com/api/document?collection=cases-ca&amp;id=urn:contentItem:5H07-8981-JTGH-B39H-00000-00&amp;context=" TargetMode="External" /><Relationship Id="rId193" Type="http://schemas.openxmlformats.org/officeDocument/2006/relationships/hyperlink" Target="https://advance.lexis.com/api/document?collection=cases-ca&amp;id=urn:contentItem:5F8T-N3V1-JTGH-B0YX-00000-00&amp;context=" TargetMode="External" /><Relationship Id="rId194" Type="http://schemas.openxmlformats.org/officeDocument/2006/relationships/hyperlink" Target="https://advance.lexis.com/api/document?collection=cases-ca&amp;id=urn:contentItem:5F8P-SGC1-JG02-S28C-00000-00&amp;context=" TargetMode="External" /><Relationship Id="rId195" Type="http://schemas.openxmlformats.org/officeDocument/2006/relationships/hyperlink" Target="https://advance.lexis.com/api/document?collection=cases-ca&amp;id=urn:contentItem:5F8T-N3V1-FH4C-X1XK-00000-00&amp;context=" TargetMode="External" /><Relationship Id="rId196" Type="http://schemas.openxmlformats.org/officeDocument/2006/relationships/hyperlink" Target="https://advance.lexis.com/api/document?collection=analytical-materials-ca&amp;id=urn:contentItem:5S36-JVF1-FJTD-G228-00000-00&amp;context=" TargetMode="External" /><Relationship Id="rId197" Type="http://schemas.openxmlformats.org/officeDocument/2006/relationships/hyperlink" Target="https://advance.lexis.com/api/document?collection=cases-ca&amp;id=urn:contentItem:5F8T-N3V1-JF75-M3CN-00000-00&amp;context=" TargetMode="External" /><Relationship Id="rId198" Type="http://schemas.openxmlformats.org/officeDocument/2006/relationships/hyperlink" Target="https://advance.lexis.com/api/document?collection=cases-ca&amp;id=urn:contentItem:5JDY-50V1-F65M-61Y9-00000-00&amp;context=" TargetMode="External" /><Relationship Id="rId199" Type="http://schemas.openxmlformats.org/officeDocument/2006/relationships/hyperlink" Target="https://advance.lexis.com/api/document?collection=cases-ca&amp;id=urn:contentItem:5F81-VJY1-JPGX-S4PK-00000-00&amp;context=" TargetMode="External" /><Relationship Id="rId2" Type="http://schemas.openxmlformats.org/officeDocument/2006/relationships/webSettings" Target="webSettings.xml" /><Relationship Id="rId20" Type="http://schemas.openxmlformats.org/officeDocument/2006/relationships/hyperlink" Target="https://advance.lexis.com/api/document?collection=cases-ca&amp;id=urn:contentItem:5F7T-S741-F1H1-21WB-00000-00&amp;context=" TargetMode="External" /><Relationship Id="rId200" Type="http://schemas.openxmlformats.org/officeDocument/2006/relationships/hyperlink" Target="https://advance.lexis.com/api/document?collection=cases-ca&amp;id=urn:contentItem:5F8T-N3T1-JFKM-651P-00000-00&amp;context=" TargetMode="External" /><Relationship Id="rId201" Type="http://schemas.openxmlformats.org/officeDocument/2006/relationships/hyperlink" Target="https://advance.lexis.com/api/document?collection=cases-ca&amp;id=urn:contentItem:5F8T-N3V1-FC1F-M46D-00000-00&amp;context=" TargetMode="External" /><Relationship Id="rId202" Type="http://schemas.openxmlformats.org/officeDocument/2006/relationships/hyperlink" Target="https://advance.lexis.com/api/document?collection=cases-ca&amp;id=urn:contentItem:5F7T-S7K1-DY33-B1T8-00000-00&amp;context=" TargetMode="External" /><Relationship Id="rId203" Type="http://schemas.openxmlformats.org/officeDocument/2006/relationships/hyperlink" Target="https://advance.lexis.com/api/document?collection=cases-ca&amp;id=urn:contentItem:5F7T-S7N1-DXWW-20MK-00000-00&amp;context=" TargetMode="External" /><Relationship Id="rId204" Type="http://schemas.openxmlformats.org/officeDocument/2006/relationships/hyperlink" Target="https://advance.lexis.com/api/document?collection=cases-ca&amp;id=urn:contentItem:5F7T-S7M1-JPP5-22C7-00000-00&amp;context=" TargetMode="External" /><Relationship Id="rId205" Type="http://schemas.openxmlformats.org/officeDocument/2006/relationships/hyperlink" Target="https://advance.lexis.com/api/document?collection=cases-ca&amp;id=urn:contentItem:5HBF-Y861-FGRY-B2CT-00000-00&amp;context=" TargetMode="External" /><Relationship Id="rId206" Type="http://schemas.openxmlformats.org/officeDocument/2006/relationships/hyperlink" Target="https://advance.lexis.com/api/document?collection=cases-ca&amp;id=urn:contentItem:5F7T-S7G1-F5KY-B1WW-00000-00&amp;context=" TargetMode="External" /><Relationship Id="rId207" Type="http://schemas.openxmlformats.org/officeDocument/2006/relationships/hyperlink" Target="https://advance.lexis.com/api/document?collection=cases-ca&amp;id=urn:contentItem:5F7T-S7K1-JSJC-X10V-00000-00&amp;context=" TargetMode="External" /><Relationship Id="rId208" Type="http://schemas.openxmlformats.org/officeDocument/2006/relationships/hyperlink" Target="https://advance.lexis.com/api/document?collection=cases-ca&amp;id=urn:contentItem:5F7T-S701-JK4W-M0NW-00000-00&amp;context=" TargetMode="External" /><Relationship Id="rId209" Type="http://schemas.openxmlformats.org/officeDocument/2006/relationships/hyperlink" Target="https://advance.lexis.com/api/document?collection=cases-ca&amp;id=urn:contentItem:5F7T-S6X1-FBN1-20SP-00000-00&amp;context=" TargetMode="External" /><Relationship Id="rId21" Type="http://schemas.openxmlformats.org/officeDocument/2006/relationships/hyperlink" Target="https://advance.lexis.com/api/document?collection=cases-ca&amp;id=urn:contentItem:5F8T-N3V1-FC1F-M42M-00000-00&amp;context=" TargetMode="External" /><Relationship Id="rId210" Type="http://schemas.openxmlformats.org/officeDocument/2006/relationships/hyperlink" Target="https://advance.lexis.com/api/document?collection=cases-ca&amp;id=urn:contentItem:5F7T-S7H1-K054-G25S-00000-00&amp;context=" TargetMode="External" /><Relationship Id="rId211" Type="http://schemas.openxmlformats.org/officeDocument/2006/relationships/hyperlink" Target="https://advance.lexis.com/api/document?collection=cases-ca&amp;id=urn:contentItem:5HCY-W481-JJ1H-X3XP-00000-00&amp;context=" TargetMode="External" /><Relationship Id="rId212" Type="http://schemas.openxmlformats.org/officeDocument/2006/relationships/image" Target="media/image5.jpeg" /><Relationship Id="rId213" Type="http://schemas.openxmlformats.org/officeDocument/2006/relationships/hyperlink" Target="https://advance.lexis.com/api/document?collection=cases-ca&amp;id=urn:contentItem:5F7T-S7P1-JG02-S3W9-00000-00&amp;context=" TargetMode="External" /><Relationship Id="rId214" Type="http://schemas.openxmlformats.org/officeDocument/2006/relationships/hyperlink" Target="https://advance.lexis.com/api/document?collection=cases-ca&amp;id=urn:contentItem:5HSD-C7M1-JFSV-G4BW-00000-00&amp;context=" TargetMode="External" /><Relationship Id="rId215" Type="http://schemas.openxmlformats.org/officeDocument/2006/relationships/header" Target="header16.xml" /><Relationship Id="rId216" Type="http://schemas.openxmlformats.org/officeDocument/2006/relationships/header" Target="header17.xml" /><Relationship Id="rId217" Type="http://schemas.openxmlformats.org/officeDocument/2006/relationships/footer" Target="footer16.xml" /><Relationship Id="rId218" Type="http://schemas.openxmlformats.org/officeDocument/2006/relationships/footer" Target="footer17.xml" /><Relationship Id="rId219" Type="http://schemas.openxmlformats.org/officeDocument/2006/relationships/header" Target="header18.xml" /><Relationship Id="rId22" Type="http://schemas.openxmlformats.org/officeDocument/2006/relationships/hyperlink" Target="https://advance.lexis.com/api/document?collection=cases-ca&amp;id=urn:contentItem:5F7T-S6Y1-F65M-60C3-00000-00&amp;context=" TargetMode="External" /><Relationship Id="rId220" Type="http://schemas.openxmlformats.org/officeDocument/2006/relationships/footer" Target="footer18.xml" /><Relationship Id="rId221" Type="http://schemas.openxmlformats.org/officeDocument/2006/relationships/hyperlink" Target="https://advance.lexis.com/api/document?collection=cases-ca&amp;id=urn:contentItem:5F7T-S7N1-JGHR-M361-00000-00&amp;context=" TargetMode="External" /><Relationship Id="rId222" Type="http://schemas.openxmlformats.org/officeDocument/2006/relationships/hyperlink" Target="https://advance.lexis.com/api/document?collection=cases-ca&amp;id=urn:contentItem:5K6Y-81N1-JFDC-X1D6-00000-00&amp;context=" TargetMode="External" /><Relationship Id="rId223" Type="http://schemas.openxmlformats.org/officeDocument/2006/relationships/hyperlink" Target="https://advance.lexis.com/api/document?collection=cases-ca&amp;id=urn:contentItem:5F7T-S7J1-JYYX-6299-00000-00&amp;context=" TargetMode="External" /><Relationship Id="rId224" Type="http://schemas.openxmlformats.org/officeDocument/2006/relationships/hyperlink" Target="https://advance.lexis.com/api/document?collection=cases-ca&amp;id=urn:contentItem:5F8T-N3V1-JF75-M3S6-00000-00&amp;context=" TargetMode="External" /><Relationship Id="rId225" Type="http://schemas.openxmlformats.org/officeDocument/2006/relationships/hyperlink" Target="https://advance.lexis.com/api/document?collection=cases-ca&amp;id=urn:contentItem:5F81-VJX1-F5T5-M3YH-00000-00&amp;context=" TargetMode="External" /><Relationship Id="rId226" Type="http://schemas.openxmlformats.org/officeDocument/2006/relationships/hyperlink" Target="https://advance.lexis.com/api/document?collection=cases-ca&amp;id=urn:contentItem:5F8T-N3V1-JTGH-B1D5-00000-00&amp;context=" TargetMode="External" /><Relationship Id="rId227" Type="http://schemas.openxmlformats.org/officeDocument/2006/relationships/hyperlink" Target="https://advance.lexis.com/api/document?collection=cases-ca&amp;id=urn:contentItem:5F7T-S7K1-JKHB-6329-00000-00&amp;context=" TargetMode="External" /><Relationship Id="rId228" Type="http://schemas.openxmlformats.org/officeDocument/2006/relationships/hyperlink" Target="https://advance.lexis.com/api/document?collection=cases-ca&amp;id=urn:contentItem:5F7T-S7K1-DY33-B1K8-00000-00&amp;context=" TargetMode="External" /><Relationship Id="rId229" Type="http://schemas.openxmlformats.org/officeDocument/2006/relationships/hyperlink" Target="https://advance.lexis.com/api/document?collection=cases-ca&amp;id=urn:contentItem:5F7T-S7M1-F4W2-626S-00000-00&amp;context=" TargetMode="External" /><Relationship Id="rId23" Type="http://schemas.openxmlformats.org/officeDocument/2006/relationships/hyperlink" Target="https://advance.lexis.com/api/document?collection=cases-ca&amp;id=urn:contentItem:5F8P-T8W1-FC1F-M37S-00000-00&amp;context=" TargetMode="External" /><Relationship Id="rId230" Type="http://schemas.openxmlformats.org/officeDocument/2006/relationships/hyperlink" Target="https://advance.lexis.com/api/document?collection=cases-ca&amp;id=urn:contentItem:5F7T-S7B1-FH4C-X381-00000-00&amp;context=" TargetMode="External" /><Relationship Id="rId231" Type="http://schemas.openxmlformats.org/officeDocument/2006/relationships/hyperlink" Target="https://advance.lexis.com/api/document?collection=cases-ca&amp;id=urn:contentItem:5F7T-S761-F7ND-G4FR-00000-00&amp;context=" TargetMode="External" /><Relationship Id="rId232" Type="http://schemas.openxmlformats.org/officeDocument/2006/relationships/hyperlink" Target="https://advance.lexis.com/api/document?collection=cases-ca&amp;id=urn:contentItem:5F7T-S7K1-F1H1-22C1-00000-00&amp;context=" TargetMode="External" /><Relationship Id="rId233" Type="http://schemas.openxmlformats.org/officeDocument/2006/relationships/hyperlink" Target="https://advance.lexis.com/api/document?collection=cases-ca&amp;id=urn:contentItem:5F7T-S741-F1H1-21SS-00000-00&amp;context=" TargetMode="External" /><Relationship Id="rId234" Type="http://schemas.openxmlformats.org/officeDocument/2006/relationships/hyperlink" Target="https://advance.lexis.com/api/document?collection=cases-ca&amp;id=urn:contentItem:5F7T-S7N1-JGHR-M2XR-00000-00&amp;context=" TargetMode="External" /><Relationship Id="rId235" Type="http://schemas.openxmlformats.org/officeDocument/2006/relationships/hyperlink" Target="https://advance.lexis.com/api/document?collection=cases-ca&amp;id=urn:contentItem:5F7T-S7N1-JWR6-S235-00000-00&amp;context=" TargetMode="External" /><Relationship Id="rId236" Type="http://schemas.openxmlformats.org/officeDocument/2006/relationships/hyperlink" Target="https://advance.lexis.com/api/document?collection=cases-ca&amp;id=urn:contentItem:5F16-9371-JT99-21RB-00000-00&amp;context=" TargetMode="External" /><Relationship Id="rId237" Type="http://schemas.openxmlformats.org/officeDocument/2006/relationships/hyperlink" Target="https://advance.lexis.com/api/document?collection=cases-ca&amp;id=urn:contentItem:5F16-9371-JJK6-S2F7-00000-00&amp;context=" TargetMode="External" /><Relationship Id="rId238" Type="http://schemas.openxmlformats.org/officeDocument/2006/relationships/hyperlink" Target="https://advance.lexis.com/api/document?collection=cases-ca&amp;id=urn:contentItem:5F7T-S7D1-FBFS-S1M7-00000-00&amp;context=" TargetMode="External" /><Relationship Id="rId239" Type="http://schemas.openxmlformats.org/officeDocument/2006/relationships/hyperlink" Target="https://advance.lexis.com/api/document?collection=cases-ca&amp;id=urn:contentItem:5F7T-S7H1-F016-S437-00000-00&amp;context=" TargetMode="External" /><Relationship Id="rId24" Type="http://schemas.openxmlformats.org/officeDocument/2006/relationships/header" Target="header4.xml" /><Relationship Id="rId240" Type="http://schemas.openxmlformats.org/officeDocument/2006/relationships/hyperlink" Target="https://advance.lexis.com/api/document?collection=cases-ca&amp;id=urn:contentItem:5F7T-S7J1-JNS1-M2CH-00000-00&amp;context=" TargetMode="External" /><Relationship Id="rId241" Type="http://schemas.openxmlformats.org/officeDocument/2006/relationships/hyperlink" Target="https://advance.lexis.com/api/document?collection=cases-ca&amp;id=urn:contentItem:5F7T-S7C1-F4NT-X2XW-00000-00&amp;context=" TargetMode="External" /><Relationship Id="rId242" Type="http://schemas.openxmlformats.org/officeDocument/2006/relationships/hyperlink" Target="https://advance.lexis.com/api/document?collection=cases-ca&amp;id=urn:contentItem:5F7T-S7C1-JXG3-X07S-00000-00&amp;context=" TargetMode="External" /><Relationship Id="rId243" Type="http://schemas.openxmlformats.org/officeDocument/2006/relationships/hyperlink" Target="https://advance.lexis.com/api/document?collection=cases-ca&amp;id=urn:contentItem:5F7T-S7H1-F4GK-M35D-00000-00&amp;context=" TargetMode="External" /><Relationship Id="rId244" Type="http://schemas.openxmlformats.org/officeDocument/2006/relationships/hyperlink" Target="https://advance.lexis.com/api/document?collection=cases-ca&amp;id=urn:contentItem:5F7T-S7M1-JCRC-B1V5-00000-00&amp;context=" TargetMode="External" /><Relationship Id="rId245" Type="http://schemas.openxmlformats.org/officeDocument/2006/relationships/hyperlink" Target="https://advance.lexis.com/api/document?collection=cases-ca&amp;id=urn:contentItem:5F7T-S7J1-FGCG-S0B7-00000-00&amp;context=" TargetMode="External" /><Relationship Id="rId246" Type="http://schemas.openxmlformats.org/officeDocument/2006/relationships/hyperlink" Target="https://advance.lexis.com/api/document?collection=cases-ca&amp;id=urn:contentItem:5F7T-S7C1-F7VM-S38V-00000-00&amp;context=" TargetMode="External" /><Relationship Id="rId247" Type="http://schemas.openxmlformats.org/officeDocument/2006/relationships/hyperlink" Target="https://advance.lexis.com/api/document?collection=cases-ca&amp;id=urn:contentItem:5F7T-S7J1-DXWW-2514-00000-00&amp;context=" TargetMode="External" /><Relationship Id="rId248" Type="http://schemas.openxmlformats.org/officeDocument/2006/relationships/hyperlink" Target="https://advance.lexis.com/api/document?collection=cases-ca&amp;id=urn:contentItem:5F7T-S7M1-JFSV-G3F3-00000-00&amp;context=" TargetMode="External" /><Relationship Id="rId249" Type="http://schemas.openxmlformats.org/officeDocument/2006/relationships/hyperlink" Target="https://advance.lexis.com/api/document?collection=cases-ca&amp;id=urn:contentItem:5F7T-S7F1-JFKM-61YH-00000-00&amp;context=" TargetMode="External" /><Relationship Id="rId25" Type="http://schemas.openxmlformats.org/officeDocument/2006/relationships/header" Target="header5.xml" /><Relationship Id="rId250" Type="http://schemas.openxmlformats.org/officeDocument/2006/relationships/hyperlink" Target="https://advance.lexis.com/api/document?collection=cases-ca&amp;id=urn:contentItem:5F7T-S7G1-JBT7-X4C5-00000-00&amp;context=" TargetMode="External" /><Relationship Id="rId251" Type="http://schemas.openxmlformats.org/officeDocument/2006/relationships/hyperlink" Target="https://advance.lexis.com/api/document?collection=cases-ca&amp;id=urn:contentItem:5F7T-S7M1-JPP5-22GK-00000-00&amp;context=" TargetMode="External" /><Relationship Id="rId252" Type="http://schemas.openxmlformats.org/officeDocument/2006/relationships/hyperlink" Target="https://advance.lexis.com/api/document?collection=cases-ca&amp;id=urn:contentItem:5F7T-S781-F900-G10V-00000-00&amp;context=" TargetMode="External" /><Relationship Id="rId253" Type="http://schemas.openxmlformats.org/officeDocument/2006/relationships/hyperlink" Target="https://advance.lexis.com/api/document?collection=cases-ca&amp;id=urn:contentItem:5F7T-S7D1-DY89-M463-00000-00&amp;context=" TargetMode="External" /><Relationship Id="rId254" Type="http://schemas.openxmlformats.org/officeDocument/2006/relationships/hyperlink" Target="https://advance.lexis.com/api/document?collection=cases-ca&amp;id=urn:contentItem:5F7T-S7J1-DXWW-251K-00000-00&amp;context=" TargetMode="External" /><Relationship Id="rId255" Type="http://schemas.openxmlformats.org/officeDocument/2006/relationships/hyperlink" Target="https://advance.lexis.com/api/document?collection=cases-ca&amp;id=urn:contentItem:5F7T-S7H1-F016-S3X8-00000-00&amp;context=" TargetMode="External" /><Relationship Id="rId256" Type="http://schemas.openxmlformats.org/officeDocument/2006/relationships/hyperlink" Target="https://advance.lexis.com/api/document?collection=cases-ca&amp;id=urn:contentItem:5F7T-S7M1-JNCK-22MK-00000-00&amp;context=" TargetMode="External" /><Relationship Id="rId257" Type="http://schemas.openxmlformats.org/officeDocument/2006/relationships/header" Target="header19.xml" /><Relationship Id="rId258" Type="http://schemas.openxmlformats.org/officeDocument/2006/relationships/header" Target="header20.xml" /><Relationship Id="rId259" Type="http://schemas.openxmlformats.org/officeDocument/2006/relationships/footer" Target="footer19.xml" /><Relationship Id="rId26" Type="http://schemas.openxmlformats.org/officeDocument/2006/relationships/footer" Target="footer4.xml" /><Relationship Id="rId260" Type="http://schemas.openxmlformats.org/officeDocument/2006/relationships/footer" Target="footer20.xml" /><Relationship Id="rId261" Type="http://schemas.openxmlformats.org/officeDocument/2006/relationships/header" Target="header21.xml" /><Relationship Id="rId262" Type="http://schemas.openxmlformats.org/officeDocument/2006/relationships/footer" Target="footer21.xml" /><Relationship Id="rId263" Type="http://schemas.openxmlformats.org/officeDocument/2006/relationships/hyperlink" Target="https://advance.lexis.com/api/document?collection=cases-ca&amp;id=urn:contentItem:5M43-BH51-DXHD-G24D-00000-00&amp;context=" TargetMode="External" /><Relationship Id="rId264" Type="http://schemas.openxmlformats.org/officeDocument/2006/relationships/hyperlink" Target="https://advance.lexis.com/api/document?collection=legislation-ca&amp;id=urn:contentItem:5F41-1FH1-F361-M0G8-00000-00&amp;context=" TargetMode="External" /><Relationship Id="rId265" Type="http://schemas.openxmlformats.org/officeDocument/2006/relationships/hyperlink" Target="https://advance.lexis.com/api/document?collection=cases-ca&amp;id=urn:contentItem:5F7T-S7N1-JJ1H-X35C-00000-00&amp;context=" TargetMode="External" /><Relationship Id="rId266" Type="http://schemas.openxmlformats.org/officeDocument/2006/relationships/hyperlink" Target="https://advance.lexis.com/api/document?collection=cases-ca&amp;id=urn:contentItem:5F7T-S7P1-JG02-S45C-00000-00&amp;context=" TargetMode="External" /><Relationship Id="rId267" Type="http://schemas.openxmlformats.org/officeDocument/2006/relationships/hyperlink" Target="https://advance.lexis.com/api/document?collection=cases-ca&amp;id=urn:contentItem:5F7T-S7K1-F528-G33F-00000-00&amp;context=" TargetMode="External" /><Relationship Id="rId268" Type="http://schemas.openxmlformats.org/officeDocument/2006/relationships/hyperlink" Target="https://advance.lexis.com/api/document?collection=cases-ca&amp;id=urn:contentItem:5F7T-S761-FGJR-22S1-00000-00&amp;context=" TargetMode="External" /><Relationship Id="rId269" Type="http://schemas.openxmlformats.org/officeDocument/2006/relationships/hyperlink" Target="https://advance.lexis.com/api/document?collection=cases-ca&amp;id=urn:contentItem:5F7T-S751-F361-M0RY-00000-00&amp;context=" TargetMode="External" /><Relationship Id="rId27" Type="http://schemas.openxmlformats.org/officeDocument/2006/relationships/footer" Target="footer5.xml" /><Relationship Id="rId270" Type="http://schemas.openxmlformats.org/officeDocument/2006/relationships/hyperlink" Target="https://advance.lexis.com/api/document?collection=cases-ca&amp;id=urn:contentItem:5GCC-XVC1-F900-G4SR-00000-00&amp;context=" TargetMode="External" /><Relationship Id="rId271" Type="http://schemas.openxmlformats.org/officeDocument/2006/relationships/hyperlink" Target="https://advance.lexis.com/api/document?collection=cases-ca&amp;id=urn:contentItem:5F7T-S7N1-JW09-M167-00000-00&amp;context=" TargetMode="External" /><Relationship Id="rId272" Type="http://schemas.openxmlformats.org/officeDocument/2006/relationships/hyperlink" Target="https://advance.lexis.com/api/document?collection=cases-ca&amp;id=urn:contentItem:5F7T-S7N1-JJ1H-X2VJ-00000-00&amp;context=" TargetMode="External" /><Relationship Id="rId273" Type="http://schemas.openxmlformats.org/officeDocument/2006/relationships/hyperlink" Target="https://advance.lexis.com/api/document?collection=cases-ca&amp;id=urn:contentItem:5F7T-S7P1-JSJC-X1SJ-00000-00&amp;context=" TargetMode="External" /><Relationship Id="rId274" Type="http://schemas.openxmlformats.org/officeDocument/2006/relationships/hyperlink" Target="https://advance.lexis.com/api/document?collection=cases-ca&amp;id=urn:contentItem:5F7T-S7N1-JWR6-S2GP-00000-00&amp;context=" TargetMode="External" /><Relationship Id="rId275" Type="http://schemas.openxmlformats.org/officeDocument/2006/relationships/hyperlink" Target="https://advance.lexis.com/api/document?collection=cases-ca&amp;id=urn:contentItem:5F7T-S7P1-JBDT-B11F-00000-00&amp;context=" TargetMode="External" /><Relationship Id="rId276" Type="http://schemas.openxmlformats.org/officeDocument/2006/relationships/hyperlink" Target="https://advance.lexis.com/api/document?collection=cases-ca&amp;id=urn:contentItem:5F7T-S7N1-JGHR-M37R-00000-00&amp;context=" TargetMode="External" /><Relationship Id="rId277" Type="http://schemas.openxmlformats.org/officeDocument/2006/relationships/hyperlink" Target="https://advance.lexis.com/api/document?collection=cases-ca&amp;id=urn:contentItem:5GCC-XVB1-JGHR-M4FY-00000-00&amp;context=" TargetMode="External" /><Relationship Id="rId278" Type="http://schemas.openxmlformats.org/officeDocument/2006/relationships/hyperlink" Target="https://advance.lexis.com/api/document?collection=cases-ca&amp;id=urn:contentItem:5F7T-S7N1-JW09-M0X9-00000-00&amp;context=" TargetMode="External" /><Relationship Id="rId279" Type="http://schemas.openxmlformats.org/officeDocument/2006/relationships/hyperlink" Target="https://advance.lexis.com/api/document?collection=cases-ca&amp;id=urn:contentItem:5F7T-S7P1-JP4G-61S5-00000-00&amp;context=" TargetMode="External" /><Relationship Id="rId28" Type="http://schemas.openxmlformats.org/officeDocument/2006/relationships/header" Target="header6.xml" /><Relationship Id="rId280" Type="http://schemas.openxmlformats.org/officeDocument/2006/relationships/hyperlink" Target="https://advance.lexis.com/api/document?collection=cases-ca&amp;id=urn:contentItem:5F7T-S7P1-JG02-S43M-00000-00&amp;context=" TargetMode="External" /><Relationship Id="rId281" Type="http://schemas.openxmlformats.org/officeDocument/2006/relationships/hyperlink" Target="https://advance.lexis.com/api/document?collection=cases-ca&amp;id=urn:contentItem:5F7T-S7K1-JSJC-X168-00000-00&amp;context=" TargetMode="External" /><Relationship Id="rId282" Type="http://schemas.openxmlformats.org/officeDocument/2006/relationships/hyperlink" Target="https://advance.lexis.com/api/document?collection=cases-ca&amp;id=urn:contentItem:5F7T-S7P1-JSJC-X1MC-00000-00&amp;context=" TargetMode="External" /><Relationship Id="rId283" Type="http://schemas.openxmlformats.org/officeDocument/2006/relationships/hyperlink" Target="https://advance.lexis.com/api/document?collection=cases-ca&amp;id=urn:contentItem:5F7T-S7F1-F7VM-S475-00000-00&amp;context=" TargetMode="External" /><Relationship Id="rId284" Type="http://schemas.openxmlformats.org/officeDocument/2006/relationships/hyperlink" Target="https://advance.lexis.com/api/document?collection=cases-ca&amp;id=urn:contentItem:5F7T-S7P1-JCRC-B26X-00000-00&amp;context=" TargetMode="External" /><Relationship Id="rId285" Type="http://schemas.openxmlformats.org/officeDocument/2006/relationships/hyperlink" Target="https://advance.lexis.com/api/document?collection=cases-ca&amp;id=urn:contentItem:5F7T-S6W1-JYYX-61TX-00000-00&amp;context=" TargetMode="External" /><Relationship Id="rId286" Type="http://schemas.openxmlformats.org/officeDocument/2006/relationships/hyperlink" Target="https://advance.lexis.com/api/document?collection=cases-ca&amp;id=urn:contentItem:5F7T-S7M1-DYMS-62FG-00000-00&amp;context=" TargetMode="External" /><Relationship Id="rId287" Type="http://schemas.openxmlformats.org/officeDocument/2006/relationships/header" Target="header22.xml" /><Relationship Id="rId288" Type="http://schemas.openxmlformats.org/officeDocument/2006/relationships/header" Target="header23.xml" /><Relationship Id="rId289" Type="http://schemas.openxmlformats.org/officeDocument/2006/relationships/footer" Target="footer22.xml" /><Relationship Id="rId29" Type="http://schemas.openxmlformats.org/officeDocument/2006/relationships/footer" Target="footer6.xml" /><Relationship Id="rId290" Type="http://schemas.openxmlformats.org/officeDocument/2006/relationships/footer" Target="footer23.xml" /><Relationship Id="rId291" Type="http://schemas.openxmlformats.org/officeDocument/2006/relationships/header" Target="header24.xml" /><Relationship Id="rId292" Type="http://schemas.openxmlformats.org/officeDocument/2006/relationships/footer" Target="footer24.xml" /><Relationship Id="rId293" Type="http://schemas.openxmlformats.org/officeDocument/2006/relationships/hyperlink" Target="https://advance.lexis.com/api/document?collection=cases-ca&amp;id=urn:contentItem:5F7T-S7M1-F4W2-625S-00000-00&amp;context=" TargetMode="External" /><Relationship Id="rId294" Type="http://schemas.openxmlformats.org/officeDocument/2006/relationships/hyperlink" Target="https://advance.lexis.com/api/document?collection=cases-ca&amp;id=urn:contentItem:5K6X-WKJ1-F06F-20T5-00000-00&amp;context=" TargetMode="External" /><Relationship Id="rId295" Type="http://schemas.openxmlformats.org/officeDocument/2006/relationships/hyperlink" Target="https://advance.lexis.com/api/document?collection=legislation-ca&amp;id=urn:contentItem:5WC4-20M1-F30T-B4PR-00000-00&amp;context=" TargetMode="External" /><Relationship Id="rId296" Type="http://schemas.openxmlformats.org/officeDocument/2006/relationships/hyperlink" Target="https://advance.lexis.com/api/document?collection=legislation-ca&amp;id=urn:contentItem:5F9J-MWT1-F4GK-M55C-00000-00&amp;context=" TargetMode="External" /><Relationship Id="rId297" Type="http://schemas.openxmlformats.org/officeDocument/2006/relationships/hyperlink" Target="https://advance.lexis.com/api/document?collection=cases-ca&amp;id=urn:contentItem:5F8P-SDD1-FCYK-217K-00000-00&amp;context=" TargetMode="External" /><Relationship Id="rId298" Type="http://schemas.openxmlformats.org/officeDocument/2006/relationships/hyperlink" Target="https://advance.lexis.com/api/document?collection=cases-ca&amp;id=urn:contentItem:5F7T-S751-JP4G-614D-00000-00&amp;context=" TargetMode="External" /><Relationship Id="rId299" Type="http://schemas.openxmlformats.org/officeDocument/2006/relationships/hyperlink" Target="https://advance.lexis.com/api/document?collection=cases-ca&amp;id=urn:contentItem:5F7T-S751-JG02-S29T-00000-00&amp;context=" TargetMode="External" /><Relationship Id="rId3" Type="http://schemas.openxmlformats.org/officeDocument/2006/relationships/fontTable" Target="fontTable.xml" /><Relationship Id="rId30" Type="http://schemas.openxmlformats.org/officeDocument/2006/relationships/hyperlink" Target="https://advance.lexis.com/api/document?collection=cases-ca&amp;id=urn:contentItem:5F7T-S7F1-DXWW-24G8-00000-00&amp;context=" TargetMode="External" /><Relationship Id="rId300" Type="http://schemas.openxmlformats.org/officeDocument/2006/relationships/hyperlink" Target="https://advance.lexis.com/api/document?collection=cases-ca&amp;id=urn:contentItem:5F8T-N3V1-FC1F-M497-00000-00&amp;context=" TargetMode="External" /><Relationship Id="rId301" Type="http://schemas.openxmlformats.org/officeDocument/2006/relationships/hyperlink" Target="https://advance.lexis.com/api/document?collection=cases-ca&amp;id=urn:contentItem:5F8P-SF71-JWR6-S456-00000-00&amp;context=" TargetMode="External" /><Relationship Id="rId302" Type="http://schemas.openxmlformats.org/officeDocument/2006/relationships/hyperlink" Target="https://advance.lexis.com/api/document?collection=cases-ca&amp;id=urn:contentItem:5F7T-S7M1-JNCK-22T8-00000-00&amp;context=" TargetMode="External" /><Relationship Id="rId303" Type="http://schemas.openxmlformats.org/officeDocument/2006/relationships/hyperlink" Target="https://advance.lexis.com/api/document?collection=cases-ca&amp;id=urn:contentItem:5F7T-S7J1-JGBH-B2B7-00000-00&amp;context=" TargetMode="External" /><Relationship Id="rId304" Type="http://schemas.openxmlformats.org/officeDocument/2006/relationships/hyperlink" Target="https://advance.lexis.com/api/document?collection=cases-ca&amp;id=urn:contentItem:5F82-1SJ1-JWXF-21CK-00000-00&amp;context=" TargetMode="External" /><Relationship Id="rId305" Type="http://schemas.openxmlformats.org/officeDocument/2006/relationships/hyperlink" Target="https://advance.lexis.com/api/document?collection=cases-ca&amp;id=urn:contentItem:5F7T-S791-JCJ5-2538-00000-00&amp;context=" TargetMode="External" /><Relationship Id="rId306" Type="http://schemas.openxmlformats.org/officeDocument/2006/relationships/hyperlink" Target="https://advance.lexis.com/api/document?collection=cases-ca&amp;id=urn:contentItem:5F81-VJY1-FBN1-2317-00000-00&amp;context=" TargetMode="External" /><Relationship Id="rId307" Type="http://schemas.openxmlformats.org/officeDocument/2006/relationships/hyperlink" Target="https://advance.lexis.com/api/document?collection=cases-ca&amp;id=urn:contentItem:5F8P-SFH1-JS0R-20MM-00000-00&amp;context=" TargetMode="External" /><Relationship Id="rId308" Type="http://schemas.openxmlformats.org/officeDocument/2006/relationships/hyperlink" Target="https://advance.lexis.com/api/document?collection=cases-ca&amp;id=urn:contentItem:5F8T-N3V1-JTGH-B1GF-00000-00&amp;context=" TargetMode="External" /><Relationship Id="rId309" Type="http://schemas.openxmlformats.org/officeDocument/2006/relationships/hyperlink" Target="https://advance.lexis.com/api/document?collection=cases-ca&amp;id=urn:contentItem:5F8T-N3V1-FH4C-X1WY-00000-00&amp;context=" TargetMode="External" /><Relationship Id="rId31" Type="http://schemas.openxmlformats.org/officeDocument/2006/relationships/hyperlink" Target="https://advance.lexis.com/api/document?collection=legislation-ca&amp;id=urn:contentItem:5F41-1FJ1-F5KY-B1KS-00000-00&amp;context=" TargetMode="External" /><Relationship Id="rId310" Type="http://schemas.openxmlformats.org/officeDocument/2006/relationships/hyperlink" Target="https://advance.lexis.com/api/document?collection=cases-ca&amp;id=urn:contentItem:5F7T-S731-FFFC-B0R6-00000-00&amp;context=" TargetMode="External" /><Relationship Id="rId311" Type="http://schemas.openxmlformats.org/officeDocument/2006/relationships/hyperlink" Target="https://advance.lexis.com/api/document?collection=cases-ca&amp;id=urn:contentItem:5F7T-S741-F57G-S1VM-00000-00&amp;context=" TargetMode="External" /><Relationship Id="rId312" Type="http://schemas.openxmlformats.org/officeDocument/2006/relationships/hyperlink" Target="https://advance.lexis.com/api/document?collection=cases-ca&amp;id=urn:contentItem:5F8T-N3V1-JTGH-B111-00000-00&amp;context=" TargetMode="External" /><Relationship Id="rId313" Type="http://schemas.openxmlformats.org/officeDocument/2006/relationships/hyperlink" Target="https://advance.lexis.com/api/document?collection=cases-ca&amp;id=urn:contentItem:5F7T-S781-F06F-23YD-00000-00&amp;context=" TargetMode="External" /><Relationship Id="rId314" Type="http://schemas.openxmlformats.org/officeDocument/2006/relationships/hyperlink" Target="https://advance.lexis.com/api/document?collection=cases-ca&amp;id=urn:contentItem:5F7T-S7B1-FH4C-X3B9-00000-00&amp;context=" TargetMode="External" /><Relationship Id="rId315" Type="http://schemas.openxmlformats.org/officeDocument/2006/relationships/hyperlink" Target="https://advance.lexis.com/api/document?collection=cases-ca&amp;id=urn:contentItem:5F16-93C1-DY89-M2NF-00000-00&amp;context=" TargetMode="External" /><Relationship Id="rId316" Type="http://schemas.openxmlformats.org/officeDocument/2006/relationships/hyperlink" Target="https://advance.lexis.com/api/document?collection=cases-ca&amp;id=urn:contentItem:5F7T-S7C1-F7ND-G04B-00000-00&amp;context=" TargetMode="External" /><Relationship Id="rId317" Type="http://schemas.openxmlformats.org/officeDocument/2006/relationships/hyperlink" Target="https://advance.lexis.com/api/document?collection=cases-ca&amp;id=urn:contentItem:5F7T-S7K1-DY33-B1RH-00000-00&amp;context=" TargetMode="External" /><Relationship Id="rId318" Type="http://schemas.openxmlformats.org/officeDocument/2006/relationships/hyperlink" Target="https://advance.lexis.com/api/document?collection=cases-ca&amp;id=urn:contentItem:5F7T-S771-JTGH-B1KF-00000-00&amp;context=" TargetMode="External" /><Relationship Id="rId319" Type="http://schemas.openxmlformats.org/officeDocument/2006/relationships/hyperlink" Target="https://advance.lexis.com/api/document?collection=cases-ca&amp;id=urn:contentItem:5F82-1SF1-K054-G4BN-00000-00&amp;context=" TargetMode="External" /><Relationship Id="rId32" Type="http://schemas.openxmlformats.org/officeDocument/2006/relationships/hyperlink" Target="https://advance.lexis.com/api/document?collection=legislation-ca&amp;id=urn:contentItem:5F3B-BBK1-FCK4-G166-00000-00&amp;context=" TargetMode="External" /><Relationship Id="rId320" Type="http://schemas.openxmlformats.org/officeDocument/2006/relationships/hyperlink" Target="https://advance.lexis.com/api/document?collection=cases-ca&amp;id=urn:contentItem:5F7T-S7F1-JX3N-B1GP-00000-00&amp;context=" TargetMode="External" /><Relationship Id="rId321" Type="http://schemas.openxmlformats.org/officeDocument/2006/relationships/hyperlink" Target="https://advance.lexis.com/api/document?collection=cases-ca&amp;id=urn:contentItem:5F81-VJX1-FD4T-B2WK-00000-00&amp;context=" TargetMode="External" /><Relationship Id="rId322" Type="http://schemas.openxmlformats.org/officeDocument/2006/relationships/hyperlink" Target="https://advance.lexis.com/api/document?collection=cases-ca&amp;id=urn:contentItem:5F82-1SF1-F1P7-B3WX-00000-00&amp;context=" TargetMode="External" /><Relationship Id="rId323" Type="http://schemas.openxmlformats.org/officeDocument/2006/relationships/hyperlink" Target="https://advance.lexis.com/api/document?collection=cases-ca&amp;id=urn:contentItem:5F7T-S7K1-F1H1-221P-00000-00&amp;context=" TargetMode="External" /><Relationship Id="rId324" Type="http://schemas.openxmlformats.org/officeDocument/2006/relationships/hyperlink" Target="https://advance.lexis.com/api/document?collection=cases-ca&amp;id=urn:contentItem:5F7T-S7D1-DY89-M41B-00000-00&amp;context=" TargetMode="External" /><Relationship Id="rId325" Type="http://schemas.openxmlformats.org/officeDocument/2006/relationships/hyperlink" Target="https://advance.lexis.com/api/document?collection=cases-ca&amp;id=urn:contentItem:5F7T-S7B1-JSRM-6021-00000-00&amp;context=" TargetMode="External" /><Relationship Id="rId326" Type="http://schemas.openxmlformats.org/officeDocument/2006/relationships/hyperlink" Target="https://advance.lexis.com/api/document?collection=cases-ca&amp;id=urn:contentItem:5F82-1SF1-JKPJ-G212-00000-00&amp;context=" TargetMode="External" /><Relationship Id="rId327" Type="http://schemas.openxmlformats.org/officeDocument/2006/relationships/hyperlink" Target="https://advance.lexis.com/api/document?collection=cases-ca&amp;id=urn:contentItem:5F81-VJX1-JJYN-B51S-00000-00&amp;context=" TargetMode="External" /><Relationship Id="rId328" Type="http://schemas.openxmlformats.org/officeDocument/2006/relationships/hyperlink" Target="https://advance.lexis.com/api/document?collection=cases-ca&amp;id=urn:contentItem:5F7T-S7K1-JSJC-X11V-00000-00&amp;context=" TargetMode="External" /><Relationship Id="rId329" Type="http://schemas.openxmlformats.org/officeDocument/2006/relationships/hyperlink" Target="https://advance.lexis.com/api/document?collection=cases-ca&amp;id=urn:contentItem:5F7T-S7F1-JFKM-61JV-00000-00&amp;context=" TargetMode="External" /><Relationship Id="rId33" Type="http://schemas.openxmlformats.org/officeDocument/2006/relationships/hyperlink" Target="https://advance.lexis.com/api/document?collection=legislation-ca&amp;id=urn:contentItem:5F41-1FG1-FC1F-M0TW-00000-00&amp;context=" TargetMode="External" /><Relationship Id="rId330" Type="http://schemas.openxmlformats.org/officeDocument/2006/relationships/hyperlink" Target="https://advance.lexis.com/api/document?collection=cases-ca&amp;id=urn:contentItem:5F7T-S781-F27X-612F-00000-00&amp;context=" TargetMode="External" /><Relationship Id="rId331" Type="http://schemas.openxmlformats.org/officeDocument/2006/relationships/hyperlink" Target="https://advance.lexis.com/api/document?collection=cases-ca&amp;id=urn:contentItem:5F8P-SF71-FGCG-S3FR-00000-00&amp;context=" TargetMode="External" /><Relationship Id="rId332" Type="http://schemas.openxmlformats.org/officeDocument/2006/relationships/hyperlink" Target="https://advance.lexis.com/api/document?collection=cases-ca&amp;id=urn:contentItem:5F7T-S7K1-F1H1-22C7-00000-00&amp;context=" TargetMode="External" /><Relationship Id="rId333" Type="http://schemas.openxmlformats.org/officeDocument/2006/relationships/hyperlink" Target="https://advance.lexis.com/api/document?collection=cases-ca&amp;id=urn:contentItem:5F8P-SDF1-F81W-20YC-00000-00&amp;context=" TargetMode="External" /><Relationship Id="rId334" Type="http://schemas.openxmlformats.org/officeDocument/2006/relationships/hyperlink" Target="https://advance.lexis.com/api/document?collection=cases-ca&amp;id=urn:contentItem:5F81-VJY1-FBN1-22NW-00000-00&amp;context=" TargetMode="External" /><Relationship Id="rId335" Type="http://schemas.openxmlformats.org/officeDocument/2006/relationships/hyperlink" Target="https://advance.lexis.com/api/document?collection=cases-ca&amp;id=urn:contentItem:5F81-VJY1-FBN1-230Y-00000-00&amp;context=" TargetMode="External" /><Relationship Id="rId336" Type="http://schemas.openxmlformats.org/officeDocument/2006/relationships/hyperlink" Target="https://advance.lexis.com/api/document?collection=cases-ca&amp;id=urn:contentItem:5F7T-S711-F5KY-B17X-00000-00&amp;context=" TargetMode="External" /><Relationship Id="rId337" Type="http://schemas.openxmlformats.org/officeDocument/2006/relationships/hyperlink" Target="https://advance.lexis.com/api/document?collection=cases-ca&amp;id=urn:contentItem:5F8P-SFH1-FBV7-B3H7-00000-00&amp;context=" TargetMode="External" /><Relationship Id="rId338" Type="http://schemas.openxmlformats.org/officeDocument/2006/relationships/hyperlink" Target="https://advance.lexis.com/api/document?collection=cases-ca&amp;id=urn:contentItem:5F7T-S741-F528-G2DD-00000-00&amp;context=" TargetMode="External" /><Relationship Id="rId339" Type="http://schemas.openxmlformats.org/officeDocument/2006/relationships/hyperlink" Target="https://advance.lexis.com/api/document?collection=cases-ca&amp;id=urn:contentItem:5F7T-S7D1-FFFC-B1K2-00000-00&amp;context=" TargetMode="External" /><Relationship Id="rId34" Type="http://schemas.openxmlformats.org/officeDocument/2006/relationships/hyperlink" Target="https://advance.lexis.com/api/document?collection=cases-ca&amp;id=urn:contentItem:5F7T-S751-JNS1-M1T2-00000-00&amp;context=" TargetMode="External" /><Relationship Id="rId340" Type="http://schemas.openxmlformats.org/officeDocument/2006/relationships/hyperlink" Target="https://advance.lexis.com/api/document?collection=cases-ca&amp;id=urn:contentItem:5F7T-S7B1-JCJ5-2004-00000-00&amp;context=" TargetMode="External" /><Relationship Id="rId341" Type="http://schemas.openxmlformats.org/officeDocument/2006/relationships/hyperlink" Target="https://advance.lexis.com/api/document?collection=cases-ca&amp;id=urn:contentItem:5F81-VJX1-JP9P-G4GC-00000-00&amp;context=" TargetMode="External" /><Relationship Id="rId342" Type="http://schemas.openxmlformats.org/officeDocument/2006/relationships/hyperlink" Target="https://advance.lexis.com/api/document?collection=cases-ca&amp;id=urn:contentItem:5F8P-SDP1-DYFH-X21Y-00000-00&amp;context=" TargetMode="External" /><Relationship Id="rId343" Type="http://schemas.openxmlformats.org/officeDocument/2006/relationships/hyperlink" Target="https://advance.lexis.com/api/document?collection=cases-ca&amp;id=urn:contentItem:5F81-VJX1-JKPJ-G1MK-00000-00&amp;context=" TargetMode="External" /><Relationship Id="rId344" Type="http://schemas.openxmlformats.org/officeDocument/2006/relationships/hyperlink" Target="https://advance.lexis.com/api/document?collection=cases-ca&amp;id=urn:contentItem:5F8P-SDN1-JNCK-21HK-00000-00&amp;context=" TargetMode="External" /><Relationship Id="rId345" Type="http://schemas.openxmlformats.org/officeDocument/2006/relationships/hyperlink" Target="https://advance.lexis.com/api/document?collection=cases-ca&amp;id=urn:contentItem:5F81-VJX1-FFTT-X1MM-00000-00&amp;context=" TargetMode="External" /><Relationship Id="rId346" Type="http://schemas.openxmlformats.org/officeDocument/2006/relationships/hyperlink" Target="https://advance.lexis.com/api/document?collection=cases-ca&amp;id=urn:contentItem:5F7T-S761-F81W-224Y-00000-00&amp;context=" TargetMode="External" /><Relationship Id="rId347" Type="http://schemas.openxmlformats.org/officeDocument/2006/relationships/hyperlink" Target="https://advance.lexis.com/api/document?collection=cases-ca&amp;id=urn:contentItem:5F81-VJX1-JJYN-B519-00000-00&amp;context=" TargetMode="External" /><Relationship Id="rId348" Type="http://schemas.openxmlformats.org/officeDocument/2006/relationships/hyperlink" Target="https://advance.lexis.com/api/document?collection=cases-ca&amp;id=urn:contentItem:5F8P-SDF1-F81W-20TD-00000-00&amp;context=" TargetMode="External" /><Relationship Id="rId349" Type="http://schemas.openxmlformats.org/officeDocument/2006/relationships/hyperlink" Target="https://advance.lexis.com/api/document?collection=cases-ca&amp;id=urn:contentItem:5F8P-SF61-JPP5-21PT-00000-00&amp;context=" TargetMode="External" /><Relationship Id="rId35" Type="http://schemas.openxmlformats.org/officeDocument/2006/relationships/hyperlink" Target="https://advance.lexis.com/api/document?collection=cases-ca&amp;id=urn:contentItem:5F7T-S731-DY33-B0VY-00000-00&amp;context=" TargetMode="External" /><Relationship Id="rId350" Type="http://schemas.openxmlformats.org/officeDocument/2006/relationships/hyperlink" Target="https://advance.lexis.com/api/document?collection=cases-ca&amp;id=urn:contentItem:5F8P-SF81-JTGH-B4P8-00000-00&amp;context=" TargetMode="External" /><Relationship Id="rId351" Type="http://schemas.openxmlformats.org/officeDocument/2006/relationships/hyperlink" Target="https://advance.lexis.com/api/document?collection=cases-ca&amp;id=urn:contentItem:5F8P-T8X1-JTGH-B0KF-00000-00&amp;context=" TargetMode="External" /><Relationship Id="rId352" Type="http://schemas.openxmlformats.org/officeDocument/2006/relationships/hyperlink" Target="https://advance.lexis.com/api/document?collection=cases-ca&amp;id=urn:contentItem:5F8P-SD61-F8KH-X50C-00000-00&amp;context=" TargetMode="External" /><Relationship Id="rId353" Type="http://schemas.openxmlformats.org/officeDocument/2006/relationships/hyperlink" Target="https://advance.lexis.com/api/document?collection=cases-ca&amp;id=urn:contentItem:5F8T-N3V1-FC1F-M486-00000-00&amp;context=" TargetMode="External" /><Relationship Id="rId354" Type="http://schemas.openxmlformats.org/officeDocument/2006/relationships/hyperlink" Target="https://advance.lexis.com/api/document?collection=cases-ca&amp;id=urn:contentItem:5F8T-N3V1-FC1F-M3WB-00000-00&amp;context=" TargetMode="External" /><Relationship Id="rId355" Type="http://schemas.openxmlformats.org/officeDocument/2006/relationships/hyperlink" Target="https://advance.lexis.com/api/document?collection=cases-ca&amp;id=urn:contentItem:5F7T-S7D1-FC6N-X0MC-00000-00&amp;context=" TargetMode="External" /><Relationship Id="rId356" Type="http://schemas.openxmlformats.org/officeDocument/2006/relationships/hyperlink" Target="https://advance.lexis.com/api/document?collection=cases-ca&amp;id=urn:contentItem:5F7T-S7H1-JCRC-B0Y4-00000-00&amp;context=" TargetMode="External" /><Relationship Id="rId357" Type="http://schemas.openxmlformats.org/officeDocument/2006/relationships/hyperlink" Target="https://advance.lexis.com/api/document?collection=cases-ca&amp;id=urn:contentItem:5F8P-SFC1-JX8W-M0PD-00000-00&amp;context=" TargetMode="External" /><Relationship Id="rId358" Type="http://schemas.openxmlformats.org/officeDocument/2006/relationships/hyperlink" Target="https://advance.lexis.com/api/document?collection=cases-ca&amp;id=urn:contentItem:5F8T-N3V1-JF75-M3FN-00000-00&amp;context=" TargetMode="External" /><Relationship Id="rId359" Type="http://schemas.openxmlformats.org/officeDocument/2006/relationships/hyperlink" Target="https://advance.lexis.com/api/document?collection=cases-ca&amp;id=urn:contentItem:5F7T-S751-JNS1-M1BT-00000-00&amp;context=" TargetMode="External" /><Relationship Id="rId36" Type="http://schemas.openxmlformats.org/officeDocument/2006/relationships/hyperlink" Target="https://advance.lexis.com/api/document?collection=cases-ca&amp;id=urn:contentItem:5F7T-S7H1-JFKM-6264-00000-00&amp;context=" TargetMode="External" /><Relationship Id="rId360" Type="http://schemas.openxmlformats.org/officeDocument/2006/relationships/hyperlink" Target="https://advance.lexis.com/api/document?collection=cases-ca&amp;id=urn:contentItem:5F8T-N3T1-JFKM-6519-00000-00&amp;context=" TargetMode="External" /><Relationship Id="rId361" Type="http://schemas.openxmlformats.org/officeDocument/2006/relationships/hyperlink" Target="https://advance.lexis.com/api/document?collection=cases-ca&amp;id=urn:contentItem:5F7T-S7K1-JKHB-62S4-00000-00&amp;context=" TargetMode="External" /><Relationship Id="rId362" Type="http://schemas.openxmlformats.org/officeDocument/2006/relationships/hyperlink" Target="https://advance.lexis.com/api/document?collection=cases-ca&amp;id=urn:contentItem:5F7T-S7J1-JYYX-62K8-00000-00&amp;context=" TargetMode="External" /><Relationship Id="rId363" Type="http://schemas.openxmlformats.org/officeDocument/2006/relationships/hyperlink" Target="https://advance.lexis.com/api/document?collection=cases-ca&amp;id=urn:contentItem:5F7T-S7D1-DY89-M3Y3-00000-00&amp;context=" TargetMode="External" /><Relationship Id="rId364" Type="http://schemas.openxmlformats.org/officeDocument/2006/relationships/hyperlink" Target="https://advance.lexis.com/api/document?collection=cases-ca&amp;id=urn:contentItem:5F7T-S781-F7G6-63N4-00000-00&amp;context=" TargetMode="External" /><Relationship Id="rId365" Type="http://schemas.openxmlformats.org/officeDocument/2006/relationships/hyperlink" Target="https://advance.lexis.com/api/document?collection=cases-ca&amp;id=urn:contentItem:5F7T-S7D1-FFFC-B1C3-00000-00&amp;context=" TargetMode="External" /><Relationship Id="rId366" Type="http://schemas.openxmlformats.org/officeDocument/2006/relationships/hyperlink" Target="https://advance.lexis.com/api/document?collection=cases-ca&amp;id=urn:contentItem:5F7T-S7F1-JK4W-M1D5-00000-00&amp;context=" TargetMode="External" /><Relationship Id="rId367" Type="http://schemas.openxmlformats.org/officeDocument/2006/relationships/hyperlink" Target="https://advance.lexis.com/api/document?collection=cases-ca&amp;id=urn:contentItem:5F8T-N3V1-JFKM-60BP-00000-00&amp;context=" TargetMode="External" /><Relationship Id="rId368" Type="http://schemas.openxmlformats.org/officeDocument/2006/relationships/hyperlink" Target="https://advance.lexis.com/api/document?collection=cases-ca&amp;id=urn:contentItem:5F7T-S711-F4GK-M2MK-00000-00&amp;context=" TargetMode="External" /><Relationship Id="rId369" Type="http://schemas.openxmlformats.org/officeDocument/2006/relationships/hyperlink" Target="https://advance.lexis.com/api/document?collection=cases-ca&amp;id=urn:contentItem:5F8T-N3V1-JTGH-B10C-00000-00&amp;context=" TargetMode="External" /><Relationship Id="rId37" Type="http://schemas.openxmlformats.org/officeDocument/2006/relationships/hyperlink" Target="https://advance.lexis.com/api/document?collection=cases-ca&amp;id=urn:contentItem:5F16-9391-F528-G4FP-00000-00&amp;context=" TargetMode="External" /><Relationship Id="rId370" Type="http://schemas.openxmlformats.org/officeDocument/2006/relationships/hyperlink" Target="https://advance.lexis.com/api/document?collection=cases-ca&amp;id=urn:contentItem:5F7T-S791-JCJ5-2556-00000-00&amp;context=" TargetMode="External" /><Relationship Id="rId371" Type="http://schemas.openxmlformats.org/officeDocument/2006/relationships/hyperlink" Target="https://advance.lexis.com/api/document?collection=cases-ca&amp;id=urn:contentItem:5F7T-S7C1-FCSB-S213-00000-00&amp;context=" TargetMode="External" /><Relationship Id="rId372" Type="http://schemas.openxmlformats.org/officeDocument/2006/relationships/hyperlink" Target="https://advance.lexis.com/api/document?collection=cases-ca&amp;id=urn:contentItem:5F16-9371-F27X-61JX-00000-00&amp;context=" TargetMode="External" /><Relationship Id="rId373" Type="http://schemas.openxmlformats.org/officeDocument/2006/relationships/hyperlink" Target="https://advance.lexis.com/api/document?collection=cases-ca&amp;id=urn:contentItem:5F7T-S7F1-FFFC-B25N-00000-00&amp;context=" TargetMode="External" /><Relationship Id="rId374" Type="http://schemas.openxmlformats.org/officeDocument/2006/relationships/hyperlink" Target="https://advance.lexis.com/api/document?collection=cases-ca&amp;id=urn:contentItem:5F7T-S7K1-DY33-B1BJ-00000-00&amp;context=" TargetMode="External" /><Relationship Id="rId375" Type="http://schemas.openxmlformats.org/officeDocument/2006/relationships/hyperlink" Target="https://advance.lexis.com/api/document?collection=cases-ca&amp;id=urn:contentItem:5F81-VJX1-FCK4-G1WJ-00000-00&amp;context=" TargetMode="External" /><Relationship Id="rId376" Type="http://schemas.openxmlformats.org/officeDocument/2006/relationships/hyperlink" Target="https://advance.lexis.com/api/document?collection=cases-ca&amp;id=urn:contentItem:5F82-1SH1-F57G-S301-00000-00&amp;context=" TargetMode="External" /><Relationship Id="rId377" Type="http://schemas.openxmlformats.org/officeDocument/2006/relationships/hyperlink" Target="https://advance.lexis.com/api/document?collection=cases-ca&amp;id=urn:contentItem:5F81-VJY1-JWBS-64DJ-00000-00&amp;context=" TargetMode="External" /><Relationship Id="rId378" Type="http://schemas.openxmlformats.org/officeDocument/2006/relationships/hyperlink" Target="https://advance.lexis.com/api/document?collection=cases-ca&amp;id=urn:contentItem:5F82-1SH1-JYYX-60Y5-00000-00&amp;context=" TargetMode="External" /><Relationship Id="rId379" Type="http://schemas.openxmlformats.org/officeDocument/2006/relationships/hyperlink" Target="https://advance.lexis.com/api/document?collection=cases-ca&amp;id=urn:contentItem:5F7T-S7K1-JNY7-X4KC-00000-00&amp;context=" TargetMode="External" /><Relationship Id="rId38" Type="http://schemas.openxmlformats.org/officeDocument/2006/relationships/hyperlink" Target="https://advance.lexis.com/api/document?collection=cases-ca&amp;id=urn:contentItem:5F7T-S781-FH4C-X33F-00000-00&amp;context=" TargetMode="External" /><Relationship Id="rId380" Type="http://schemas.openxmlformats.org/officeDocument/2006/relationships/hyperlink" Target="https://advance.lexis.com/api/document?collection=cases-ca&amp;id=urn:contentItem:5F7T-S7C1-FGRY-B0NK-00000-00&amp;context=" TargetMode="External" /><Relationship Id="rId381" Type="http://schemas.openxmlformats.org/officeDocument/2006/relationships/hyperlink" Target="https://advance.lexis.com/api/document?collection=cases-ca&amp;id=urn:contentItem:5F81-VJX1-FFTT-X1XP-00000-00&amp;context=" TargetMode="External" /><Relationship Id="rId382" Type="http://schemas.openxmlformats.org/officeDocument/2006/relationships/hyperlink" Target="https://advance.lexis.com/api/document?collection=cases-ca&amp;id=urn:contentItem:5F81-VJX1-F22N-X1NS-00000-00&amp;context=" TargetMode="External" /><Relationship Id="rId383" Type="http://schemas.openxmlformats.org/officeDocument/2006/relationships/hyperlink" Target="https://advance.lexis.com/api/document?collection=cases-ca&amp;id=urn:contentItem:5F81-VJX1-JP9P-G4HJ-00000-00&amp;context=" TargetMode="External" /><Relationship Id="rId384" Type="http://schemas.openxmlformats.org/officeDocument/2006/relationships/hyperlink" Target="https://advance.lexis.com/api/document?collection=legislation-ca&amp;id=urn:contentItem:5W07-7G51-FFMK-M1C9-00000-00&amp;context=" TargetMode="External" /><Relationship Id="rId385" Type="http://schemas.openxmlformats.org/officeDocument/2006/relationships/hyperlink" Target="https://advance.lexis.com/api/document?collection=cases-ca&amp;id=urn:contentItem:5F8P-SF21-F5DR-21HM-00000-00&amp;context=" TargetMode="External" /><Relationship Id="rId386" Type="http://schemas.openxmlformats.org/officeDocument/2006/relationships/hyperlink" Target="https://advance.lexis.com/api/document?collection=cases-ca&amp;id=urn:contentItem:5F81-VJX1-JJYN-B4HB-00000-00&amp;context=" TargetMode="External" /><Relationship Id="rId387" Type="http://schemas.openxmlformats.org/officeDocument/2006/relationships/hyperlink" Target="https://advance.lexis.com/api/document?collection=cases-ca&amp;id=urn:contentItem:5F7T-S7G1-JBT7-X4CT-00000-00&amp;context=" TargetMode="External" /><Relationship Id="rId388" Type="http://schemas.openxmlformats.org/officeDocument/2006/relationships/hyperlink" Target="https://advance.lexis.com/api/document?collection=cases-ca&amp;id=urn:contentItem:5F8T-N3V1-FC1F-M3X1-00000-00&amp;context=" TargetMode="External" /><Relationship Id="rId389" Type="http://schemas.openxmlformats.org/officeDocument/2006/relationships/hyperlink" Target="https://advance.lexis.com/api/document?collection=cases-ca&amp;id=urn:contentItem:5F83-3VC1-FCK4-G3PW-00000-00&amp;context=" TargetMode="External" /><Relationship Id="rId39" Type="http://schemas.openxmlformats.org/officeDocument/2006/relationships/hyperlink" Target="https://advance.lexis.com/api/document?collection=legislation-ca&amp;id=urn:contentItem:5VYK-WB31-F27X-641H-00000-00&amp;context=" TargetMode="External" /><Relationship Id="rId390" Type="http://schemas.openxmlformats.org/officeDocument/2006/relationships/hyperlink" Target="https://advance.lexis.com/api/document?collection=cases-ca&amp;id=urn:contentItem:5F7T-S741-F2F4-G221-00000-00&amp;context=" TargetMode="External" /><Relationship Id="rId391" Type="http://schemas.openxmlformats.org/officeDocument/2006/relationships/hyperlink" Target="https://advance.lexis.com/api/document?collection=cases-ca&amp;id=urn:contentItem:5F7T-S7B1-FH4C-X3MS-00000-00&amp;context=" TargetMode="External" /><Relationship Id="rId392" Type="http://schemas.openxmlformats.org/officeDocument/2006/relationships/hyperlink" Target="https://advance.lexis.com/api/document?collection=cases-ca&amp;id=urn:contentItem:5F81-VJX1-FFTT-X1FY-00000-00&amp;context=" TargetMode="External" /><Relationship Id="rId393" Type="http://schemas.openxmlformats.org/officeDocument/2006/relationships/hyperlink" Target="https://advance.lexis.com/api/document?collection=cases-ca&amp;id=urn:contentItem:5F8P-SD81-JX8W-M4F5-00000-00&amp;context=" TargetMode="External" /><Relationship Id="rId394" Type="http://schemas.openxmlformats.org/officeDocument/2006/relationships/hyperlink" Target="https://advance.lexis.com/api/document?collection=cases-ca&amp;id=urn:contentItem:5F83-3VC1-F528-G41R-00000-00&amp;context=" TargetMode="External" /><Relationship Id="rId395" Type="http://schemas.openxmlformats.org/officeDocument/2006/relationships/hyperlink" Target="https://advance.lexis.com/api/document?collection=cases-ca&amp;id=urn:contentItem:5F83-3VC1-F528-G430-00000-00&amp;context=" TargetMode="External" /><Relationship Id="rId396" Type="http://schemas.openxmlformats.org/officeDocument/2006/relationships/hyperlink" Target="https://advance.lexis.com/api/document?collection=cases-ca&amp;id=urn:contentItem:5F83-3VC1-FCSB-S4X2-00000-00&amp;context=" TargetMode="External" /><Relationship Id="rId397" Type="http://schemas.openxmlformats.org/officeDocument/2006/relationships/hyperlink" Target="https://advance.lexis.com/api/document?collection=cases-ca&amp;id=urn:contentItem:5F83-3VC1-F528-G41K-00000-00&amp;context=" TargetMode="External" /><Relationship Id="rId398" Type="http://schemas.openxmlformats.org/officeDocument/2006/relationships/hyperlink" Target="https://advance.lexis.com/api/document?collection=cases-ca&amp;id=urn:contentItem:5F7T-S751-JCJ5-24JJ-00000-00&amp;context=" TargetMode="External" /><Relationship Id="rId399" Type="http://schemas.openxmlformats.org/officeDocument/2006/relationships/hyperlink" Target="https://advance.lexis.com/api/document?collection=cases-ca&amp;id=urn:contentItem:5F8P-SD51-F1H1-24BV-00000-00&amp;context=" TargetMode="External" /><Relationship Id="rId4" Type="http://schemas.openxmlformats.org/officeDocument/2006/relationships/header" Target="header1.xml" /><Relationship Id="rId40" Type="http://schemas.openxmlformats.org/officeDocument/2006/relationships/hyperlink" Target="https://advance.lexis.com/api/document?collection=cases-ca&amp;id=urn:contentItem:5F81-VJV1-JK4W-M539-00000-00&amp;context=" TargetMode="External" /><Relationship Id="rId400" Type="http://schemas.openxmlformats.org/officeDocument/2006/relationships/hyperlink" Target="https://advance.lexis.com/api/document?collection=cases-ca&amp;id=urn:contentItem:5F8P-SDR1-JJSF-228W-00000-00&amp;context=" TargetMode="External" /><Relationship Id="rId401" Type="http://schemas.openxmlformats.org/officeDocument/2006/relationships/hyperlink" Target="https://advance.lexis.com/api/document?collection=cases-ca&amp;id=urn:contentItem:5F7T-S7C1-JCJ5-20KN-00000-00&amp;context=" TargetMode="External" /><Relationship Id="rId402" Type="http://schemas.openxmlformats.org/officeDocument/2006/relationships/hyperlink" Target="https://advance.lexis.com/api/document?collection=cases-ca&amp;id=urn:contentItem:5F81-VJX1-F22N-X1NF-00000-00&amp;context=" TargetMode="External" /><Relationship Id="rId403" Type="http://schemas.openxmlformats.org/officeDocument/2006/relationships/header" Target="header25.xml" /><Relationship Id="rId404" Type="http://schemas.openxmlformats.org/officeDocument/2006/relationships/header" Target="header26.xml" /><Relationship Id="rId405" Type="http://schemas.openxmlformats.org/officeDocument/2006/relationships/footer" Target="footer25.xml" /><Relationship Id="rId406" Type="http://schemas.openxmlformats.org/officeDocument/2006/relationships/footer" Target="footer26.xml" /><Relationship Id="rId407" Type="http://schemas.openxmlformats.org/officeDocument/2006/relationships/header" Target="header27.xml" /><Relationship Id="rId408" Type="http://schemas.openxmlformats.org/officeDocument/2006/relationships/footer" Target="footer27.xml" /><Relationship Id="rId409" Type="http://schemas.openxmlformats.org/officeDocument/2006/relationships/hyperlink" Target="https://advance.lexis.com/api/document?collection=cases-ca&amp;id=urn:contentItem:5F7T-S7P1-JBDT-B0Y6-00000-00&amp;context=" TargetMode="External" /><Relationship Id="rId41" Type="http://schemas.openxmlformats.org/officeDocument/2006/relationships/hyperlink" Target="https://advance.lexis.com/api/document?collection=cases-ca&amp;id=urn:contentItem:5F7T-S6X1-F1H1-20SP-00000-00&amp;context=" TargetMode="External" /><Relationship Id="rId410" Type="http://schemas.openxmlformats.org/officeDocument/2006/relationships/image" Target="media/image6.png" /><Relationship Id="rId411" Type="http://schemas.openxmlformats.org/officeDocument/2006/relationships/hyperlink" Target="https://advance.lexis.com/api/document?collection=cases-ca&amp;id=urn:contentItem:5F7T-S721-F06F-230Y-00000-00&amp;context=" TargetMode="External" /><Relationship Id="rId412" Type="http://schemas.openxmlformats.org/officeDocument/2006/relationships/hyperlink" Target="https://advance.lexis.com/api/document?collection=cases-ca&amp;id=urn:contentItem:5F7T-S741-F528-G2J5-00000-00&amp;context=" TargetMode="External" /><Relationship Id="rId413" Type="http://schemas.openxmlformats.org/officeDocument/2006/relationships/hyperlink" Target="https://advance.lexis.com/api/document?collection=cases-ca&amp;id=urn:contentItem:5F7T-S7N1-F57G-S2HF-00000-00&amp;context=" TargetMode="External" /><Relationship Id="rId414" Type="http://schemas.openxmlformats.org/officeDocument/2006/relationships/hyperlink" Target="https://advance.lexis.com/api/document?collection=cases-ca&amp;id=urn:contentItem:5F7T-S7D1-JN6B-S131-00000-00&amp;context=" TargetMode="External" /><Relationship Id="rId415" Type="http://schemas.openxmlformats.org/officeDocument/2006/relationships/hyperlink" Target="https://advance.lexis.com/api/document?collection=cases-ca&amp;id=urn:contentItem:5F7T-S7M1-JFSV-G3BR-00000-00&amp;context=" TargetMode="External" /><Relationship Id="rId416" Type="http://schemas.openxmlformats.org/officeDocument/2006/relationships/hyperlink" Target="https://advance.lexis.com/api/document?collection=cases-ca&amp;id=urn:contentItem:5F7T-S7H1-F016-S3XM-00000-00&amp;context=" TargetMode="External" /><Relationship Id="rId417" Type="http://schemas.openxmlformats.org/officeDocument/2006/relationships/hyperlink" Target="https://advance.lexis.com/api/document?collection=cases-ca&amp;id=urn:contentItem:5F7T-S7K1-F1H1-222V-00000-00&amp;context=" TargetMode="External" /><Relationship Id="rId418" Type="http://schemas.openxmlformats.org/officeDocument/2006/relationships/hyperlink" Target="https://advance.lexis.com/api/document?collection=cases-ca&amp;id=urn:contentItem:5F7T-S7P1-JCRC-B2CN-00000-00&amp;context=" TargetMode="External" /><Relationship Id="rId419" Type="http://schemas.openxmlformats.org/officeDocument/2006/relationships/hyperlink" Target="https://advance.lexis.com/api/document?collection=cases-ca&amp;id=urn:contentItem:5F8T-N3S1-JT99-250W-00000-00&amp;context=" TargetMode="External" /><Relationship Id="rId42" Type="http://schemas.openxmlformats.org/officeDocument/2006/relationships/hyperlink" Target="https://advance.lexis.com/api/document?collection=cases-ca&amp;id=urn:contentItem:5F7T-S761-FFMK-M0TR-00000-00&amp;context=" TargetMode="External" /><Relationship Id="rId420" Type="http://schemas.openxmlformats.org/officeDocument/2006/relationships/hyperlink" Target="https://advance.lexis.com/api/document?collection=cases-ca&amp;id=urn:contentItem:5F7T-S7N1-JW09-M12P-00000-00&amp;context=" TargetMode="External" /><Relationship Id="rId421" Type="http://schemas.openxmlformats.org/officeDocument/2006/relationships/hyperlink" Target="https://advance.lexis.com/api/document?collection=cases-ca&amp;id=urn:contentItem:5F7T-S7J1-JNS1-M2G2-00000-00&amp;context=" TargetMode="External" /><Relationship Id="rId422" Type="http://schemas.openxmlformats.org/officeDocument/2006/relationships/hyperlink" Target="https://advance.lexis.com/api/document?collection=cases-ca&amp;id=urn:contentItem:5F7T-S7K1-JKHB-62PC-00000-00&amp;context=" TargetMode="External" /><Relationship Id="rId423" Type="http://schemas.openxmlformats.org/officeDocument/2006/relationships/hyperlink" Target="https://advance.lexis.com/api/document?collection=cases-ca&amp;id=urn:contentItem:5F7T-S7K1-DY33-B1KT-00000-00&amp;context=" TargetMode="External" /><Relationship Id="rId424" Type="http://schemas.openxmlformats.org/officeDocument/2006/relationships/hyperlink" Target="https://advance.lexis.com/api/document?collection=cases-ca&amp;id=urn:contentItem:5F7T-S7B1-F7ND-G50F-00000-00&amp;context=" TargetMode="External" /><Relationship Id="rId425" Type="http://schemas.openxmlformats.org/officeDocument/2006/relationships/hyperlink" Target="https://advance.lexis.com/api/document?collection=cases-ca&amp;id=urn:contentItem:5F7T-S6W1-JB7K-21F4-00000-00&amp;context=" TargetMode="External" /><Relationship Id="rId426" Type="http://schemas.openxmlformats.org/officeDocument/2006/relationships/hyperlink" Target="https://advance.lexis.com/api/document?collection=cases-ca&amp;id=urn:contentItem:5F7T-S6X1-JTNR-M3X3-00000-00&amp;context=" TargetMode="External" /><Relationship Id="rId427" Type="http://schemas.openxmlformats.org/officeDocument/2006/relationships/hyperlink" Target="https://advance.lexis.com/api/document?collection=cases-ca&amp;id=urn:contentItem:5F7T-S731-DY33-B0YN-00000-00&amp;context=" TargetMode="External" /><Relationship Id="rId428" Type="http://schemas.openxmlformats.org/officeDocument/2006/relationships/hyperlink" Target="https://advance.lexis.com/api/document?collection=cases-ca&amp;id=urn:contentItem:5F7T-S7N1-F57G-S2D4-00000-00&amp;context=" TargetMode="External" /><Relationship Id="rId429" Type="http://schemas.openxmlformats.org/officeDocument/2006/relationships/hyperlink" Target="https://advance.lexis.com/api/document?collection=cases-ca&amp;id=urn:contentItem:5F7T-S7H1-FCSB-S3RY-00000-00&amp;context=" TargetMode="External" /><Relationship Id="rId43" Type="http://schemas.openxmlformats.org/officeDocument/2006/relationships/hyperlink" Target="https://advance.lexis.com/api/document?collection=cases-ca&amp;id=urn:contentItem:5F8T-N3V1-JTGH-B0YP-00000-00&amp;context=" TargetMode="External" /><Relationship Id="rId430" Type="http://schemas.openxmlformats.org/officeDocument/2006/relationships/header" Target="header28.xml" /><Relationship Id="rId431" Type="http://schemas.openxmlformats.org/officeDocument/2006/relationships/header" Target="header29.xml" /><Relationship Id="rId432" Type="http://schemas.openxmlformats.org/officeDocument/2006/relationships/footer" Target="footer28.xml" /><Relationship Id="rId433" Type="http://schemas.openxmlformats.org/officeDocument/2006/relationships/footer" Target="footer29.xml" /><Relationship Id="rId434" Type="http://schemas.openxmlformats.org/officeDocument/2006/relationships/header" Target="header30.xml" /><Relationship Id="rId435" Type="http://schemas.openxmlformats.org/officeDocument/2006/relationships/footer" Target="footer30.xml" /><Relationship Id="rId436" Type="http://schemas.openxmlformats.org/officeDocument/2006/relationships/hyperlink" Target="https://advance.lexis.com/api/document?collection=cases-ca&amp;id=urn:contentItem:5F7T-S7H1-F016-S3P5-00000-00&amp;context=" TargetMode="External" /><Relationship Id="rId437" Type="http://schemas.openxmlformats.org/officeDocument/2006/relationships/hyperlink" Target="https://advance.lexis.com/api/document?collection=cases-ca&amp;id=urn:contentItem:5K6Y-81M1-DXHD-G2S9-00000-00&amp;context=" TargetMode="External" /><Relationship Id="rId438" Type="http://schemas.openxmlformats.org/officeDocument/2006/relationships/hyperlink" Target="https://advance.lexis.com/api/document?collection=cases-ca&amp;id=urn:contentItem:5F7T-S751-JBM1-M2BR-00000-00&amp;context=" TargetMode="External" /><Relationship Id="rId439" Type="http://schemas.openxmlformats.org/officeDocument/2006/relationships/hyperlink" Target="https://advance.lexis.com/api/document?collection=cases-ca&amp;id=urn:contentItem:5F7T-S721-JSC5-M37V-00000-00&amp;context=" TargetMode="External" /><Relationship Id="rId44" Type="http://schemas.openxmlformats.org/officeDocument/2006/relationships/hyperlink" Target="https://advance.lexis.com/api/document?collection=cases-ca&amp;id=urn:contentItem:5F7T-S6T1-JTNR-M2V3-00000-00&amp;context=" TargetMode="External" /><Relationship Id="rId440" Type="http://schemas.openxmlformats.org/officeDocument/2006/relationships/hyperlink" Target="https://advance.lexis.com/api/document?collection=cases-ca&amp;id=urn:contentItem:5F7T-S7G1-JBT7-X40C-00000-00&amp;context=" TargetMode="External" /><Relationship Id="rId441" Type="http://schemas.openxmlformats.org/officeDocument/2006/relationships/hyperlink" Target="https://advance.lexis.com/api/document?collection=cases-ca&amp;id=urn:contentItem:5F7T-S7G1-JX3N-B21B-00000-00&amp;context=" TargetMode="External" /><Relationship Id="rId442" Type="http://schemas.openxmlformats.org/officeDocument/2006/relationships/hyperlink" Target="https://advance.lexis.com/api/document?collection=cases-ca&amp;id=urn:contentItem:5F7T-S711-JC0G-62R6-00000-00&amp;context=" TargetMode="External" /><Relationship Id="rId443" Type="http://schemas.openxmlformats.org/officeDocument/2006/relationships/hyperlink" Target="https://advance.lexis.com/api/document?collection=cases-ca&amp;id=urn:contentItem:5F82-1SB1-F8SS-647Y-00000-00&amp;context=" TargetMode="External" /><Relationship Id="rId444" Type="http://schemas.openxmlformats.org/officeDocument/2006/relationships/hyperlink" Target="https://advance.lexis.com/api/document?collection=cases-ca&amp;id=urn:contentItem:5F7T-S6W1-F5T5-M1D5-00000-00&amp;context=" TargetMode="External" /><Relationship Id="rId445" Type="http://schemas.openxmlformats.org/officeDocument/2006/relationships/hyperlink" Target="https://advance.lexis.com/api/document?collection=cases-ca&amp;id=urn:contentItem:5F7T-S7F1-JFKM-622J-00000-00&amp;context=" TargetMode="External" /><Relationship Id="rId446" Type="http://schemas.openxmlformats.org/officeDocument/2006/relationships/hyperlink" Target="https://advance.lexis.com/api/document?collection=cases-ca&amp;id=urn:contentItem:5F7T-S741-F57G-S1YB-00000-00&amp;context=" TargetMode="External" /><Relationship Id="rId447" Type="http://schemas.openxmlformats.org/officeDocument/2006/relationships/hyperlink" Target="https://advance.lexis.com/api/document?collection=cases-ca&amp;id=urn:contentItem:5F7T-S7C1-FGRY-B0JX-00000-00&amp;context=" TargetMode="External" /><Relationship Id="rId448" Type="http://schemas.openxmlformats.org/officeDocument/2006/relationships/hyperlink" Target="https://advance.lexis.com/api/document?collection=cases-ca&amp;id=urn:contentItem:5F7T-S7F1-JBT7-X2KD-00000-00&amp;context=" TargetMode="External" /><Relationship Id="rId449" Type="http://schemas.openxmlformats.org/officeDocument/2006/relationships/hyperlink" Target="https://advance.lexis.com/api/document?collection=cases-ca&amp;id=urn:contentItem:5F7T-S7C1-JSRM-6128-00000-00&amp;context=" TargetMode="External" /><Relationship Id="rId45" Type="http://schemas.openxmlformats.org/officeDocument/2006/relationships/hyperlink" Target="https://advance.lexis.com/api/document?collection=cases-ca&amp;id=urn:contentItem:5F7T-S6W1-F8SS-62G1-00000-00&amp;context=" TargetMode="External" /><Relationship Id="rId450" Type="http://schemas.openxmlformats.org/officeDocument/2006/relationships/hyperlink" Target="https://advance.lexis.com/api/document?collection=cases-ca&amp;id=urn:contentItem:5F7T-S7C1-JCJ5-20BM-00000-00&amp;context=" TargetMode="External" /><Relationship Id="rId451" Type="http://schemas.openxmlformats.org/officeDocument/2006/relationships/hyperlink" Target="https://advance.lexis.com/api/document?collection=cases-ca&amp;id=urn:contentItem:5F7T-S7F1-FBN1-21F2-00000-00&amp;context=" TargetMode="External" /><Relationship Id="rId452" Type="http://schemas.openxmlformats.org/officeDocument/2006/relationships/hyperlink" Target="https://advance.lexis.com/api/document?collection=cases-ca&amp;id=urn:contentItem:5F7T-S7C1-JXG3-X0CY-00000-00&amp;context=" TargetMode="External" /><Relationship Id="rId453" Type="http://schemas.openxmlformats.org/officeDocument/2006/relationships/hyperlink" Target="https://advance.lexis.com/api/document?collection=cases-ca&amp;id=urn:contentItem:5F7T-S7C1-JS0R-2251-00000-00&amp;context=" TargetMode="External" /><Relationship Id="rId454" Type="http://schemas.openxmlformats.org/officeDocument/2006/relationships/hyperlink" Target="https://advance.lexis.com/api/document?collection=cases-ca&amp;id=urn:contentItem:5F7T-S7F1-FFFC-B20P-00000-00&amp;context=" TargetMode="External" /><Relationship Id="rId455" Type="http://schemas.openxmlformats.org/officeDocument/2006/relationships/hyperlink" Target="https://advance.lexis.com/api/document?collection=cases-ca&amp;id=urn:contentItem:5F7T-S771-JW5H-X207-00000-00&amp;context=" TargetMode="External" /><Relationship Id="rId456" Type="http://schemas.openxmlformats.org/officeDocument/2006/relationships/hyperlink" Target="https://advance.lexis.com/api/document?collection=cases-ca&amp;id=urn:contentItem:5F7T-S7H1-F4GK-M31D-00000-00&amp;context=" TargetMode="External" /><Relationship Id="rId457" Type="http://schemas.openxmlformats.org/officeDocument/2006/relationships/hyperlink" Target="https://advance.lexis.com/api/document?collection=cases-ca&amp;id=urn:contentItem:5F7T-S731-F016-S3D3-00000-00&amp;context=" TargetMode="External" /><Relationship Id="rId458" Type="http://schemas.openxmlformats.org/officeDocument/2006/relationships/hyperlink" Target="https://advance.lexis.com/api/document?collection=cases-ca&amp;id=urn:contentItem:5F7T-S751-JCJ5-24CV-00000-00&amp;context=" TargetMode="External" /><Relationship Id="rId459" Type="http://schemas.openxmlformats.org/officeDocument/2006/relationships/hyperlink" Target="https://advance.lexis.com/api/document?collection=cases-ca&amp;id=urn:contentItem:5F7T-S731-F1WF-M2HD-00000-00&amp;context=" TargetMode="External" /><Relationship Id="rId46" Type="http://schemas.openxmlformats.org/officeDocument/2006/relationships/hyperlink" Target="https://advance.lexis.com/api/document?collection=cases-ca&amp;id=urn:contentItem:5F7T-S701-JBT7-X2DD-00000-00&amp;context=" TargetMode="External" /><Relationship Id="rId460" Type="http://schemas.openxmlformats.org/officeDocument/2006/relationships/header" Target="header31.xml" /><Relationship Id="rId461" Type="http://schemas.openxmlformats.org/officeDocument/2006/relationships/header" Target="header32.xml" /><Relationship Id="rId462" Type="http://schemas.openxmlformats.org/officeDocument/2006/relationships/footer" Target="footer31.xml" /><Relationship Id="rId463" Type="http://schemas.openxmlformats.org/officeDocument/2006/relationships/footer" Target="footer32.xml" /><Relationship Id="rId464" Type="http://schemas.openxmlformats.org/officeDocument/2006/relationships/header" Target="header33.xml" /><Relationship Id="rId465" Type="http://schemas.openxmlformats.org/officeDocument/2006/relationships/footer" Target="footer33.xml" /><Relationship Id="rId466" Type="http://schemas.openxmlformats.org/officeDocument/2006/relationships/hyperlink" Target="https://advance.lexis.com/api/document?collection=cases-ca&amp;id=urn:contentItem:5X5X-78W1-JWJ0-G13K-00000-00&amp;context=" TargetMode="External" /><Relationship Id="rId467" Type="http://schemas.openxmlformats.org/officeDocument/2006/relationships/hyperlink" Target="https://advance.lexis.com/api/document?collection=cases-ca&amp;id=urn:contentItem:5YFR-J3Y1-JGBH-B393-00000-00&amp;context=" TargetMode="External" /><Relationship Id="rId468" Type="http://schemas.openxmlformats.org/officeDocument/2006/relationships/hyperlink" Target="https://advance.lexis.com/api/document?collection=cases-ca&amp;id=urn:contentItem:5F7T-S7K1-JX3N-B2V4-00000-00&amp;context=" TargetMode="External" /><Relationship Id="rId469" Type="http://schemas.openxmlformats.org/officeDocument/2006/relationships/hyperlink" Target="https://advance.lexis.com/api/document?collection=cases-ca&amp;id=urn:contentItem:5F7T-S7N1-F06F-24KX-00000-00&amp;context=" TargetMode="External" /><Relationship Id="rId47" Type="http://schemas.openxmlformats.org/officeDocument/2006/relationships/hyperlink" Target="https://advance.lexis.com/api/document?collection=cases-ca&amp;id=urn:contentItem:5F8P-SDS1-JWR6-S38R-00000-00&amp;context=" TargetMode="External" /><Relationship Id="rId470" Type="http://schemas.openxmlformats.org/officeDocument/2006/relationships/hyperlink" Target="https://advance.lexis.com/api/document?collection=cases-ca&amp;id=urn:contentItem:5F8T-N3P1-F7ND-G14C-00000-00&amp;context=" TargetMode="External" /><Relationship Id="rId471" Type="http://schemas.openxmlformats.org/officeDocument/2006/relationships/hyperlink" Target="https://advance.lexis.com/api/document?collection=cases-ca&amp;id=urn:contentItem:5F81-YGW1-DYFH-X025-00000-00&amp;context=" TargetMode="External" /><Relationship Id="rId472" Type="http://schemas.openxmlformats.org/officeDocument/2006/relationships/hyperlink" Target="https://advance.lexis.com/api/document?collection=cases-ca&amp;id=urn:contentItem:5F8P-SC71-JK4W-M2MK-00000-00&amp;context=" TargetMode="External" /><Relationship Id="rId473" Type="http://schemas.openxmlformats.org/officeDocument/2006/relationships/hyperlink" Target="https://advance.lexis.com/api/document?collection=cases-ca&amp;id=urn:contentItem:5F8T-N3V1-JF75-M3WX-00000-00&amp;context=" TargetMode="External" /><Relationship Id="rId474" Type="http://schemas.openxmlformats.org/officeDocument/2006/relationships/hyperlink" Target="https://advance.lexis.com/api/document?collection=cases-ca&amp;id=urn:contentItem:5F8T-N3V1-JTGH-B153-00000-00&amp;context=" TargetMode="External" /><Relationship Id="rId475" Type="http://schemas.openxmlformats.org/officeDocument/2006/relationships/hyperlink" Target="https://advance.lexis.com/api/document?collection=cases-ca&amp;id=urn:contentItem:5W78-2BT1-F30T-B35G-00000-00&amp;context=" TargetMode="External" /><Relationship Id="rId476" Type="http://schemas.openxmlformats.org/officeDocument/2006/relationships/hyperlink" Target="https://advance.lexis.com/api/document?collection=cases-ca&amp;id=urn:contentItem:5F7T-S7H1-FCSB-S3MY-00000-00&amp;context=" TargetMode="External" /><Relationship Id="rId477" Type="http://schemas.openxmlformats.org/officeDocument/2006/relationships/hyperlink" Target="https://advance.lexis.com/api/document?collection=cases-ca&amp;id=urn:contentItem:5F7T-S7K1-JSJC-X12X-00000-00&amp;context=" TargetMode="External" /><Relationship Id="rId478" Type="http://schemas.openxmlformats.org/officeDocument/2006/relationships/hyperlink" Target="https://advance.lexis.com/api/document?collection=cases-ca&amp;id=urn:contentItem:5F7T-S7B1-F7ND-G4Y8-00000-00&amp;context=" TargetMode="External" /><Relationship Id="rId479" Type="http://schemas.openxmlformats.org/officeDocument/2006/relationships/hyperlink" Target="https://advance.lexis.com/api/document?collection=cases-ca&amp;id=urn:contentItem:5F7T-S7K1-JX3N-B31M-00000-00&amp;context=" TargetMode="External" /><Relationship Id="rId48" Type="http://schemas.openxmlformats.org/officeDocument/2006/relationships/hyperlink" Target="https://advance.lexis.com/api/document?collection=cases-ca&amp;id=urn:contentItem:5F7T-S711-F5KY-B10J-00000-00&amp;context=" TargetMode="External" /><Relationship Id="rId480" Type="http://schemas.openxmlformats.org/officeDocument/2006/relationships/hyperlink" Target="https://advance.lexis.com/api/document?collection=cases-ca&amp;id=urn:contentItem:5F7T-S7K1-JKHB-62J8-00000-00&amp;context=" TargetMode="External" /><Relationship Id="rId481" Type="http://schemas.openxmlformats.org/officeDocument/2006/relationships/hyperlink" Target="https://advance.lexis.com/api/document?collection=cases-ca&amp;id=urn:contentItem:5V6F-TFX1-JW09-M4BB-00000-00&amp;context=" TargetMode="External" /><Relationship Id="rId482" Type="http://schemas.openxmlformats.org/officeDocument/2006/relationships/hyperlink" Target="https://advance.lexis.com/api/document?collection=cases-ca&amp;id=urn:contentItem:5TX5-0TT1-JTGH-B0JT-00000-00&amp;context=" TargetMode="External" /><Relationship Id="rId483" Type="http://schemas.openxmlformats.org/officeDocument/2006/relationships/hyperlink" Target="https://advance.lexis.com/api/document?collection=cases-ca&amp;id=urn:contentItem:5NBM-9KY1-JCRC-B3Y8-00000-00&amp;context=" TargetMode="External" /><Relationship Id="rId484" Type="http://schemas.openxmlformats.org/officeDocument/2006/relationships/hyperlink" Target="https://advance.lexis.com/api/document?collection=cases-ca&amp;id=urn:contentItem:5M5T-3BP1-F22N-X09K-00000-00&amp;context=" TargetMode="External" /><Relationship Id="rId485" Type="http://schemas.openxmlformats.org/officeDocument/2006/relationships/hyperlink" Target="https://advance.lexis.com/api/document?collection=cases-ca&amp;id=urn:contentItem:5F7T-S7P1-JSJC-X1B5-00000-00&amp;context=" TargetMode="External" /><Relationship Id="rId486" Type="http://schemas.openxmlformats.org/officeDocument/2006/relationships/hyperlink" Target="https://advance.lexis.com/api/document?collection=cases-ca&amp;id=urn:contentItem:5F7T-S7P1-JP4G-623G-00000-00&amp;context=" TargetMode="External" /><Relationship Id="rId487" Type="http://schemas.openxmlformats.org/officeDocument/2006/relationships/hyperlink" Target="https://advance.lexis.com/api/document?collection=cases-ca&amp;id=urn:contentItem:5F7T-S7M1-DYMS-628K-00000-00&amp;context=" TargetMode="External" /><Relationship Id="rId488" Type="http://schemas.openxmlformats.org/officeDocument/2006/relationships/hyperlink" Target="https://advance.lexis.com/api/document?collection=cases-ca&amp;id=urn:contentItem:5SKW-TCR1-FBN1-21JS-00000-00&amp;context=" TargetMode="External" /><Relationship Id="rId489" Type="http://schemas.openxmlformats.org/officeDocument/2006/relationships/hyperlink" Target="https://advance.lexis.com/api/document?collection=cases-ca&amp;id=urn:contentItem:5F7T-S7H1-F4GK-M33F-00000-00&amp;context=" TargetMode="External" /><Relationship Id="rId49" Type="http://schemas.openxmlformats.org/officeDocument/2006/relationships/hyperlink" Target="https://advance.lexis.com/api/document?collection=cases-ca&amp;id=urn:contentItem:5F7T-S7D1-JN6B-S0RK-00000-00&amp;context=" TargetMode="External" /><Relationship Id="rId490" Type="http://schemas.openxmlformats.org/officeDocument/2006/relationships/hyperlink" Target="https://advance.lexis.com/api/document?collection=cases-ca&amp;id=urn:contentItem:5F7T-S7P1-JSJC-X1W2-00000-00&amp;context=" TargetMode="External" /><Relationship Id="rId491" Type="http://schemas.openxmlformats.org/officeDocument/2006/relationships/hyperlink" Target="https://advance.lexis.com/api/document?collection=cases-ca&amp;id=urn:contentItem:5F7T-S771-JSJC-X0FT-00000-00&amp;context=" TargetMode="External" /><Relationship Id="rId492" Type="http://schemas.openxmlformats.org/officeDocument/2006/relationships/hyperlink" Target="https://advance.lexis.com/api/document?collection=cases-ca&amp;id=urn:contentItem:5F7T-S7P1-JCRC-B2J1-00000-00&amp;context=" TargetMode="External" /><Relationship Id="rId493" Type="http://schemas.openxmlformats.org/officeDocument/2006/relationships/hyperlink" Target="https://advance.lexis.com/api/document?collection=cases-ca&amp;id=urn:contentItem:5F7T-S781-F7G6-63NT-00000-00&amp;context=" TargetMode="External" /><Relationship Id="rId494" Type="http://schemas.openxmlformats.org/officeDocument/2006/relationships/hyperlink" Target="https://advance.lexis.com/api/document?collection=cases-ca&amp;id=urn:contentItem:5F82-1SF1-JXG3-X2CR-00000-00&amp;context=" TargetMode="External" /><Relationship Id="rId495" Type="http://schemas.openxmlformats.org/officeDocument/2006/relationships/hyperlink" Target="https://advance.lexis.com/api/document?collection=cases-ca&amp;id=urn:contentItem:5F8T-N3T1-JJSF-2361-00000-00&amp;context=" TargetMode="External" /><Relationship Id="rId496" Type="http://schemas.openxmlformats.org/officeDocument/2006/relationships/hyperlink" Target="https://advance.lexis.com/api/document?collection=cases-ca&amp;id=urn:contentItem:5F7T-S7J1-FGCG-S05H-00000-00&amp;context=" TargetMode="External" /><Relationship Id="rId497" Type="http://schemas.openxmlformats.org/officeDocument/2006/relationships/hyperlink" Target="https://advance.lexis.com/api/document?collection=cases-ca&amp;id=urn:contentItem:5F7T-S7M1-JCRC-B1V3-00000-00&amp;context=" TargetMode="External" /><Relationship Id="rId498" Type="http://schemas.openxmlformats.org/officeDocument/2006/relationships/hyperlink" Target="https://advance.lexis.com/api/document?collection=cases-ca&amp;id=urn:contentItem:5F82-1SH1-F8KH-X1YH-00000-00&amp;context=" TargetMode="External" /><Relationship Id="rId499" Type="http://schemas.openxmlformats.org/officeDocument/2006/relationships/hyperlink" Target="https://advance.lexis.com/api/document?collection=cases-ca&amp;id=urn:contentItem:5G4B-CVF1-JPGX-S2TN-00000-00&amp;context=" TargetMode="External" /><Relationship Id="rId5" Type="http://schemas.openxmlformats.org/officeDocument/2006/relationships/header" Target="header2.xml" /><Relationship Id="rId50" Type="http://schemas.openxmlformats.org/officeDocument/2006/relationships/hyperlink" Target="https://advance.lexis.com/api/document?collection=cases-ca&amp;id=urn:contentItem:5F7T-S711-JC0G-62RS-00000-00&amp;context=" TargetMode="External" /><Relationship Id="rId500" Type="http://schemas.openxmlformats.org/officeDocument/2006/relationships/hyperlink" Target="https://advance.lexis.com/api/document?collection=cases-ca&amp;id=urn:contentItem:5F7T-S7M1-JNCK-22SH-00000-00&amp;context=" TargetMode="External" /><Relationship Id="rId501" Type="http://schemas.openxmlformats.org/officeDocument/2006/relationships/hyperlink" Target="https://advance.lexis.com/api/document?collection=cases-ca&amp;id=urn:contentItem:5G6C-VP51-F7VM-S0N3-00000-00&amp;context=" TargetMode="External" /><Relationship Id="rId502" Type="http://schemas.openxmlformats.org/officeDocument/2006/relationships/hyperlink" Target="https://advance.lexis.com/api/document?collection=cases-ca&amp;id=urn:contentItem:5WT1-XTC1-JF1Y-B0CK-00000-00&amp;context=" TargetMode="External" /><Relationship Id="rId503" Type="http://schemas.openxmlformats.org/officeDocument/2006/relationships/hyperlink" Target="https://advance.lexis.com/api/document?collection=cases-ca&amp;id=urn:contentItem:5TG0-RY01-F81W-22R8-00000-00&amp;context=" TargetMode="External" /><Relationship Id="rId504" Type="http://schemas.openxmlformats.org/officeDocument/2006/relationships/hyperlink" Target="https://advance.lexis.com/api/document?collection=cases-ca&amp;id=urn:contentItem:5MRB-VMB1-K054-G0MG-00000-00&amp;context=" TargetMode="External" /><Relationship Id="rId505" Type="http://schemas.openxmlformats.org/officeDocument/2006/relationships/hyperlink" Target="https://advance.lexis.com/api/document?collection=cases-ca&amp;id=urn:contentItem:5RNF-R891-JFSV-G0BF-00000-00&amp;context=" TargetMode="External" /><Relationship Id="rId506" Type="http://schemas.openxmlformats.org/officeDocument/2006/relationships/hyperlink" Target="https://advance.lexis.com/api/document?collection=cases-ca&amp;id=urn:contentItem:5F7T-S741-F528-G26C-00000-00&amp;context=" TargetMode="External" /><Relationship Id="rId507" Type="http://schemas.openxmlformats.org/officeDocument/2006/relationships/hyperlink" Target="https://advance.lexis.com/api/document?collection=cases-ca&amp;id=urn:contentItem:5F7T-S7H1-JS5Y-B2T7-00000-00&amp;context=" TargetMode="External" /><Relationship Id="rId508" Type="http://schemas.openxmlformats.org/officeDocument/2006/relationships/hyperlink" Target="https://advance.lexis.com/api/document?collection=cases-ca&amp;id=urn:contentItem:5F8T-N3V1-FC1F-M4BC-00000-00&amp;context=" TargetMode="External" /><Relationship Id="rId509" Type="http://schemas.openxmlformats.org/officeDocument/2006/relationships/hyperlink" Target="https://advance.lexis.com/api/document?collection=cases-ca&amp;id=urn:contentItem:5F7T-S7F1-JX3N-B19D-00000-00&amp;context=" TargetMode="External" /><Relationship Id="rId51" Type="http://schemas.openxmlformats.org/officeDocument/2006/relationships/hyperlink" Target="https://advance.lexis.com/api/document?collection=cases-ca&amp;id=urn:contentItem:5F7T-S6V1-FJTD-G23D-00000-00&amp;context=" TargetMode="External" /><Relationship Id="rId510" Type="http://schemas.openxmlformats.org/officeDocument/2006/relationships/hyperlink" Target="https://advance.lexis.com/api/document?collection=cases-ca&amp;id=urn:contentItem:5F7T-S7C1-JS0R-22BW-00000-00&amp;context=" TargetMode="External" /><Relationship Id="rId511" Type="http://schemas.openxmlformats.org/officeDocument/2006/relationships/header" Target="header34.xml" /><Relationship Id="rId512" Type="http://schemas.openxmlformats.org/officeDocument/2006/relationships/header" Target="header35.xml" /><Relationship Id="rId513" Type="http://schemas.openxmlformats.org/officeDocument/2006/relationships/footer" Target="footer34.xml" /><Relationship Id="rId514" Type="http://schemas.openxmlformats.org/officeDocument/2006/relationships/footer" Target="footer35.xml" /><Relationship Id="rId515" Type="http://schemas.openxmlformats.org/officeDocument/2006/relationships/header" Target="header36.xml" /><Relationship Id="rId516" Type="http://schemas.openxmlformats.org/officeDocument/2006/relationships/footer" Target="footer36.xml" /><Relationship Id="rId517" Type="http://schemas.openxmlformats.org/officeDocument/2006/relationships/hyperlink" Target="https://advance.lexis.com/api/document?collection=cases-ca&amp;id=urn:contentItem:5MF2-KC41-F60C-X1H0-00000-00&amp;context=" TargetMode="External" /><Relationship Id="rId518" Type="http://schemas.openxmlformats.org/officeDocument/2006/relationships/hyperlink" Target="https://advance.lexis.com/api/document?collection=cases-ca&amp;id=urn:contentItem:5N5Y-R8Y1-JWXF-241Y-00000-00&amp;context=" TargetMode="External" /><Relationship Id="rId519" Type="http://schemas.openxmlformats.org/officeDocument/2006/relationships/hyperlink" Target="https://advance.lexis.com/api/document?collection=legislation-ca&amp;id=urn:contentItem:5F41-1FG1-JJYN-B06K-00000-00&amp;context=" TargetMode="External" /><Relationship Id="rId52" Type="http://schemas.openxmlformats.org/officeDocument/2006/relationships/hyperlink" Target="https://advance.lexis.com/api/document?collection=cases-ca&amp;id=urn:contentItem:5F8T-N3V1-JFKM-60C8-00000-00&amp;context=" TargetMode="External" /><Relationship Id="rId520" Type="http://schemas.openxmlformats.org/officeDocument/2006/relationships/hyperlink" Target="https://advance.lexis.com/api/document?collection=cases-ca&amp;id=urn:contentItem:5F7T-S7M1-JNCK-22RP-00000-00&amp;context=" TargetMode="External" /><Relationship Id="rId521" Type="http://schemas.openxmlformats.org/officeDocument/2006/relationships/hyperlink" Target="https://advance.lexis.com/api/document?collection=cases-ca&amp;id=urn:contentItem:5F8T-N3V1-JTGH-B18F-00000-00&amp;context=" TargetMode="External" /><Relationship Id="rId522" Type="http://schemas.openxmlformats.org/officeDocument/2006/relationships/hyperlink" Target="https://advance.lexis.com/api/document?collection=cases-ca&amp;id=urn:contentItem:5F7T-S7G1-JPP5-2210-00000-00&amp;context=" TargetMode="External" /><Relationship Id="rId523" Type="http://schemas.openxmlformats.org/officeDocument/2006/relationships/hyperlink" Target="https://advance.lexis.com/api/document?collection=cases-ca&amp;id=urn:contentItem:5F7T-S7H1-JG02-S3N8-00000-00&amp;context=" TargetMode="External" /><Relationship Id="rId524" Type="http://schemas.openxmlformats.org/officeDocument/2006/relationships/hyperlink" Target="https://advance.lexis.com/api/document?collection=cases-ca&amp;id=urn:contentItem:5F81-VJV1-JK4W-M4YV-00000-00&amp;context=" TargetMode="External" /><Relationship Id="rId525" Type="http://schemas.openxmlformats.org/officeDocument/2006/relationships/hyperlink" Target="https://advance.lexis.com/api/document?collection=cases-ca&amp;id=urn:contentItem:5F7T-S7H1-JG02-S39S-00000-00&amp;context=" TargetMode="External" /><Relationship Id="rId526" Type="http://schemas.openxmlformats.org/officeDocument/2006/relationships/hyperlink" Target="https://advance.lexis.com/api/document?collection=cases-ca&amp;id=urn:contentItem:5F7T-S6S1-JX8W-M2DS-00000-00&amp;context=" TargetMode="External" /><Relationship Id="rId527" Type="http://schemas.openxmlformats.org/officeDocument/2006/relationships/hyperlink" Target="https://advance.lexis.com/api/document?collection=cases-ca&amp;id=urn:contentItem:5F7T-S7M1-JJK6-S222-00000-00&amp;context=" TargetMode="External" /><Relationship Id="rId528" Type="http://schemas.openxmlformats.org/officeDocument/2006/relationships/hyperlink" Target="https://advance.lexis.com/api/document?collection=cases-ca&amp;id=urn:contentItem:5F81-VJS1-JN6B-S3P8-00000-00&amp;context=" TargetMode="External" /><Relationship Id="rId529" Type="http://schemas.openxmlformats.org/officeDocument/2006/relationships/hyperlink" Target="https://advance.lexis.com/api/document?collection=cases-ca&amp;id=urn:contentItem:5F7T-S7C1-F30T-B2GM-00000-00&amp;context=" TargetMode="External" /><Relationship Id="rId53" Type="http://schemas.openxmlformats.org/officeDocument/2006/relationships/hyperlink" Target="https://advance.lexis.com/api/document?collection=cases-ca&amp;id=urn:contentItem:5F7T-S761-JS5Y-B1VK-00000-00&amp;context=" TargetMode="External" /><Relationship Id="rId530" Type="http://schemas.openxmlformats.org/officeDocument/2006/relationships/hyperlink" Target="https://advance.lexis.com/api/document?collection=cases-ca&amp;id=urn:contentItem:5F7T-S7H1-JS5Y-B2MT-00000-00&amp;context=" TargetMode="External" /><Relationship Id="rId531" Type="http://schemas.openxmlformats.org/officeDocument/2006/relationships/hyperlink" Target="https://advance.lexis.com/api/document?collection=cases-ca&amp;id=urn:contentItem:5GCC-XVB1-FK0M-S4V2-00000-00&amp;context=" TargetMode="External" /><Relationship Id="rId532" Type="http://schemas.openxmlformats.org/officeDocument/2006/relationships/hyperlink" Target="https://advance.lexis.com/api/document?collection=cases-ca&amp;id=urn:contentItem:5F82-1SF1-F361-M45M-00000-00&amp;context=" TargetMode="External" /><Relationship Id="rId533" Type="http://schemas.openxmlformats.org/officeDocument/2006/relationships/hyperlink" Target="https://advance.lexis.com/api/document?collection=cases-ca&amp;id=urn:contentItem:5F7T-S7H1-F4GK-M2XG-00000-00&amp;context=" TargetMode="External" /><Relationship Id="rId534" Type="http://schemas.openxmlformats.org/officeDocument/2006/relationships/hyperlink" Target="https://advance.lexis.com/api/document?collection=cases-ca&amp;id=urn:contentItem:5F7T-S7J1-FGCG-S0GS-00000-00&amp;context=" TargetMode="External" /><Relationship Id="rId535" Type="http://schemas.openxmlformats.org/officeDocument/2006/relationships/hyperlink" Target="https://advance.lexis.com/api/document?collection=cases-ca&amp;id=urn:contentItem:5GCC-XVB1-JGHR-M4HX-00000-00&amp;context=" TargetMode="External" /><Relationship Id="rId536" Type="http://schemas.openxmlformats.org/officeDocument/2006/relationships/hyperlink" Target="https://advance.lexis.com/api/document?collection=cases-ca&amp;id=urn:contentItem:5HJF-6CT1-JJK6-S1V8-00000-00&amp;context=" TargetMode="External" /><Relationship Id="rId537" Type="http://schemas.openxmlformats.org/officeDocument/2006/relationships/hyperlink" Target="https://advance.lexis.com/api/document?collection=cases-ca&amp;id=urn:contentItem:5GCC-XVC1-F900-G51X-00000-00&amp;context=" TargetMode="External" /><Relationship Id="rId538" Type="http://schemas.openxmlformats.org/officeDocument/2006/relationships/hyperlink" Target="https://advance.lexis.com/api/document?collection=cases-ca&amp;id=urn:contentItem:5GCC-XVB1-FK0M-S546-00000-00&amp;context=" TargetMode="External" /><Relationship Id="rId539" Type="http://schemas.openxmlformats.org/officeDocument/2006/relationships/hyperlink" Target="https://advance.lexis.com/api/document?collection=cases-ca&amp;id=urn:contentItem:5F7V-3DH1-JCJ5-239M-00000-00&amp;context=" TargetMode="External" /><Relationship Id="rId54" Type="http://schemas.openxmlformats.org/officeDocument/2006/relationships/hyperlink" Target="https://advance.lexis.com/api/document?collection=cases-ca&amp;id=urn:contentItem:5F8T-N3V1-JFKM-607N-00000-00&amp;context=" TargetMode="External" /><Relationship Id="rId540" Type="http://schemas.openxmlformats.org/officeDocument/2006/relationships/header" Target="header37.xml" /><Relationship Id="rId541" Type="http://schemas.openxmlformats.org/officeDocument/2006/relationships/header" Target="header38.xml" /><Relationship Id="rId542" Type="http://schemas.openxmlformats.org/officeDocument/2006/relationships/footer" Target="footer37.xml" /><Relationship Id="rId543" Type="http://schemas.openxmlformats.org/officeDocument/2006/relationships/footer" Target="footer38.xml" /><Relationship Id="rId544" Type="http://schemas.openxmlformats.org/officeDocument/2006/relationships/header" Target="header39.xml" /><Relationship Id="rId545" Type="http://schemas.openxmlformats.org/officeDocument/2006/relationships/footer" Target="footer39.xml" /><Relationship Id="rId546" Type="http://schemas.openxmlformats.org/officeDocument/2006/relationships/hyperlink" Target="https://advance.lexis.com/api/document?collection=cases-ca&amp;id=urn:contentItem:5F7T-S7P1-F2TK-2376-00000-00&amp;context=" TargetMode="External" /><Relationship Id="rId547" Type="http://schemas.openxmlformats.org/officeDocument/2006/relationships/hyperlink" Target="https://advance.lexis.com/api/document?collection=cases-ca&amp;id=urn:contentItem:5F7T-S7N1-DXWW-20G1-00000-00&amp;context=" TargetMode="External" /><Relationship Id="rId548" Type="http://schemas.openxmlformats.org/officeDocument/2006/relationships/hyperlink" Target="https://advance.lexis.com/api/document?collection=cases-ca&amp;id=urn:contentItem:5F7T-S7N1-JW09-M131-00000-00&amp;context=" TargetMode="External" /><Relationship Id="rId549" Type="http://schemas.openxmlformats.org/officeDocument/2006/relationships/hyperlink" Target="https://advance.lexis.com/api/document?collection=cases-ca&amp;id=urn:contentItem:5F7T-S7N1-JW09-M0VN-00000-00&amp;context=" TargetMode="External" /><Relationship Id="rId55" Type="http://schemas.openxmlformats.org/officeDocument/2006/relationships/hyperlink" Target="https://advance.lexis.com/api/document?collection=cases-ca&amp;id=urn:contentItem:5F7T-S751-JNS1-M1P7-00000-00&amp;context=" TargetMode="External" /><Relationship Id="rId550" Type="http://schemas.openxmlformats.org/officeDocument/2006/relationships/hyperlink" Target="https://advance.lexis.com/api/document?collection=cases-ca&amp;id=urn:contentItem:5F7T-S7J1-DXWW-24YP-00000-00&amp;context=" TargetMode="External" /><Relationship Id="rId551" Type="http://schemas.openxmlformats.org/officeDocument/2006/relationships/hyperlink" Target="https://advance.lexis.com/api/document?collection=cases-ca&amp;id=urn:contentItem:5F7T-S7M1-JCRC-B1TW-00000-00&amp;context=" TargetMode="External" /><Relationship Id="rId552" Type="http://schemas.openxmlformats.org/officeDocument/2006/relationships/header" Target="header40.xml" /><Relationship Id="rId553" Type="http://schemas.openxmlformats.org/officeDocument/2006/relationships/header" Target="header41.xml" /><Relationship Id="rId554" Type="http://schemas.openxmlformats.org/officeDocument/2006/relationships/footer" Target="footer40.xml" /><Relationship Id="rId555" Type="http://schemas.openxmlformats.org/officeDocument/2006/relationships/footer" Target="footer41.xml" /><Relationship Id="rId556" Type="http://schemas.openxmlformats.org/officeDocument/2006/relationships/header" Target="header42.xml" /><Relationship Id="rId557" Type="http://schemas.openxmlformats.org/officeDocument/2006/relationships/footer" Target="footer42.xml" /><Relationship Id="rId558" Type="http://schemas.openxmlformats.org/officeDocument/2006/relationships/hyperlink" Target="https://advance.lexis.com/api/document?collection=cases-ca&amp;id=urn:contentItem:5KHN-KX81-JWR6-S42T-00000-00&amp;context=" TargetMode="External" /><Relationship Id="rId559" Type="http://schemas.openxmlformats.org/officeDocument/2006/relationships/hyperlink" Target="https://advance.lexis.com/api/document?collection=cases-ca&amp;id=urn:contentItem:5F7T-S7K1-JNY7-X4MF-00000-00&amp;context=" TargetMode="External" /><Relationship Id="rId56" Type="http://schemas.openxmlformats.org/officeDocument/2006/relationships/hyperlink" Target="https://advance.lexis.com/api/document?collection=cases-ca&amp;id=urn:contentItem:5F82-1SD1-JFKM-6064-00000-00&amp;context=" TargetMode="External" /><Relationship Id="rId560" Type="http://schemas.openxmlformats.org/officeDocument/2006/relationships/hyperlink" Target="https://advance.lexis.com/api/document?collection=cases-ca&amp;id=urn:contentItem:5F7T-S7P1-JBDT-B0VT-00000-00&amp;context=" TargetMode="External" /><Relationship Id="rId561" Type="http://schemas.openxmlformats.org/officeDocument/2006/relationships/hyperlink" Target="https://advance.lexis.com/api/document?collection=cases-ca&amp;id=urn:contentItem:5F7T-S7P1-JG02-S45T-00000-00&amp;context=" TargetMode="External" /><Relationship Id="rId562" Type="http://schemas.openxmlformats.org/officeDocument/2006/relationships/hyperlink" Target="https://advance.lexis.com/api/document?collection=cases-ca&amp;id=urn:contentItem:5F7T-S7P1-JP4G-6203-00000-00&amp;context=" TargetMode="External" /><Relationship Id="rId563" Type="http://schemas.openxmlformats.org/officeDocument/2006/relationships/hyperlink" Target="https://advance.lexis.com/api/document?collection=cases-ca&amp;id=urn:contentItem:5F7T-S7P1-JBDT-B12B-00000-00&amp;context=" TargetMode="External" /><Relationship Id="rId564" Type="http://schemas.openxmlformats.org/officeDocument/2006/relationships/hyperlink" Target="https://advance.lexis.com/api/document?collection=cases-ca&amp;id=urn:contentItem:5F7T-S7P1-JCRC-B287-00000-00&amp;context=" TargetMode="External" /><Relationship Id="rId565" Type="http://schemas.openxmlformats.org/officeDocument/2006/relationships/hyperlink" Target="https://advance.lexis.com/api/document?collection=cases-ca&amp;id=urn:contentItem:5GCC-XVB1-JSXV-G0F6-00000-00&amp;context=" TargetMode="External" /><Relationship Id="rId566" Type="http://schemas.openxmlformats.org/officeDocument/2006/relationships/hyperlink" Target="https://advance.lexis.com/api/document?collection=cases-ca&amp;id=urn:contentItem:5F7T-S7P1-JG02-S3WX-00000-00&amp;context=" TargetMode="External" /><Relationship Id="rId567" Type="http://schemas.openxmlformats.org/officeDocument/2006/relationships/hyperlink" Target="https://advance.lexis.com/api/document?collection=cases-ca&amp;id=urn:contentItem:5F7T-S7P1-JBDT-B14X-00000-00&amp;context=" TargetMode="External" /><Relationship Id="rId568" Type="http://schemas.openxmlformats.org/officeDocument/2006/relationships/hyperlink" Target="https://advance.lexis.com/api/document?collection=cases-ca&amp;id=urn:contentItem:5F7T-S7P1-JSJC-X1SR-00000-00&amp;context=" TargetMode="External" /><Relationship Id="rId569" Type="http://schemas.openxmlformats.org/officeDocument/2006/relationships/hyperlink" Target="https://advance.lexis.com/api/document?collection=cases-ca&amp;id=urn:contentItem:5F7T-S7K1-F528-G2XC-00000-00&amp;context=" TargetMode="External" /><Relationship Id="rId57" Type="http://schemas.openxmlformats.org/officeDocument/2006/relationships/hyperlink" Target="https://advance.lexis.com/api/document?collection=cases-ca&amp;id=urn:contentItem:5F7T-S7D1-DY89-M3W8-00000-00&amp;context=" TargetMode="External" /><Relationship Id="rId570" Type="http://schemas.openxmlformats.org/officeDocument/2006/relationships/hyperlink" Target="https://advance.lexis.com/api/document?collection=cases-ca&amp;id=urn:contentItem:5F7T-S7M1-JCRC-B1FJ-00000-00&amp;context=" TargetMode="External" /><Relationship Id="rId571" Type="http://schemas.openxmlformats.org/officeDocument/2006/relationships/hyperlink" Target="https://advance.lexis.com/api/document?collection=cases-ca&amp;id=urn:contentItem:5F7T-S7N1-DXWW-204R-00000-00&amp;context=" TargetMode="External" /><Relationship Id="rId572" Type="http://schemas.openxmlformats.org/officeDocument/2006/relationships/hyperlink" Target="https://advance.lexis.com/api/document?collection=cases-ca&amp;id=urn:contentItem:5F7T-S7P1-JBDT-B0XJ-00000-00&amp;context=" TargetMode="External" /><Relationship Id="rId573" Type="http://schemas.openxmlformats.org/officeDocument/2006/relationships/hyperlink" Target="https://advance.lexis.com/api/document?collection=cases-ca&amp;id=urn:contentItem:5F7T-S7J1-DXWW-24R0-00000-00&amp;context=" TargetMode="External" /><Relationship Id="rId574" Type="http://schemas.openxmlformats.org/officeDocument/2006/relationships/header" Target="header43.xml" /><Relationship Id="rId575" Type="http://schemas.openxmlformats.org/officeDocument/2006/relationships/header" Target="header44.xml" /><Relationship Id="rId576" Type="http://schemas.openxmlformats.org/officeDocument/2006/relationships/footer" Target="footer43.xml" /><Relationship Id="rId577" Type="http://schemas.openxmlformats.org/officeDocument/2006/relationships/footer" Target="footer44.xml" /><Relationship Id="rId578" Type="http://schemas.openxmlformats.org/officeDocument/2006/relationships/header" Target="header45.xml" /><Relationship Id="rId579" Type="http://schemas.openxmlformats.org/officeDocument/2006/relationships/footer" Target="footer45.xml" /><Relationship Id="rId58" Type="http://schemas.openxmlformats.org/officeDocument/2006/relationships/hyperlink" Target="https://advance.lexis.com/api/document?collection=cases-ca&amp;id=urn:contentItem:5F7T-S7C1-JSRM-60TP-00000-00&amp;context=" TargetMode="External" /><Relationship Id="rId580" Type="http://schemas.openxmlformats.org/officeDocument/2006/relationships/hyperlink" Target="https://advance.lexis.com/api/document?collection=cases-ca&amp;id=urn:contentItem:5F7T-S7P1-JG02-S4FV-00000-00&amp;context=" TargetMode="External" /><Relationship Id="rId581" Type="http://schemas.openxmlformats.org/officeDocument/2006/relationships/hyperlink" Target="https://advance.lexis.com/api/document?collection=cases-ca&amp;id=urn:contentItem:5F7D-TK01-F016-S060-00000-00&amp;context=" TargetMode="External" /><Relationship Id="rId582" Type="http://schemas.openxmlformats.org/officeDocument/2006/relationships/hyperlink" Target="https://advance.lexis.com/api/document?collection=legislation-ca&amp;id=urn:contentItem:5F3B-B911-DXWW-228R-00000-00&amp;context=" TargetMode="External" /><Relationship Id="rId583" Type="http://schemas.openxmlformats.org/officeDocument/2006/relationships/hyperlink" Target="https://advance.lexis.com/api/document?collection=legislation-ca&amp;id=urn:contentItem:5JPF-MSP1-DY89-M2XW-00000-00&amp;context=" TargetMode="External" /><Relationship Id="rId584" Type="http://schemas.openxmlformats.org/officeDocument/2006/relationships/hyperlink" Target="https://advance.lexis.com/api/document?collection=legislation-ca&amp;id=urn:contentItem:5VYK-WB61-JJD0-G4F3-00000-00&amp;context=" TargetMode="External" /><Relationship Id="rId585" Type="http://schemas.openxmlformats.org/officeDocument/2006/relationships/hyperlink" Target="https://advance.lexis.com/api/document?collection=cases-ca&amp;id=urn:contentItem:5F8T-N3V1-JTGH-B1BS-00000-00&amp;context=" TargetMode="External" /><Relationship Id="rId586" Type="http://schemas.openxmlformats.org/officeDocument/2006/relationships/hyperlink" Target="https://advance.lexis.com/api/document?collection=cases-ca&amp;id=urn:contentItem:5F7T-S7N1-JGHR-M2WR-00000-00&amp;context=" TargetMode="External" /><Relationship Id="rId587" Type="http://schemas.openxmlformats.org/officeDocument/2006/relationships/hyperlink" Target="https://advance.lexis.com/api/document?collection=cases-ca&amp;id=urn:contentItem:5F8T-N3V1-FC1F-M41J-00000-00&amp;context=" TargetMode="External" /><Relationship Id="rId588" Type="http://schemas.openxmlformats.org/officeDocument/2006/relationships/hyperlink" Target="https://advance.lexis.com/api/document?collection=cases-ca&amp;id=urn:contentItem:5F8T-N3T1-JFKM-652P-00000-00&amp;context=" TargetMode="External" /><Relationship Id="rId589" Type="http://schemas.openxmlformats.org/officeDocument/2006/relationships/hyperlink" Target="https://advance.lexis.com/api/document?collection=cases-ca&amp;id=urn:contentItem:5F7T-S7K1-F528-G346-00000-00&amp;context=" TargetMode="External" /><Relationship Id="rId59" Type="http://schemas.openxmlformats.org/officeDocument/2006/relationships/hyperlink" Target="https://advance.lexis.com/api/document?collection=cases-ca&amp;id=urn:contentItem:5F8T-N3V1-JF75-M3K1-00000-00&amp;context=" TargetMode="External" /><Relationship Id="rId590" Type="http://schemas.openxmlformats.org/officeDocument/2006/relationships/hyperlink" Target="https://advance.lexis.com/api/document?collection=cases-ca&amp;id=urn:contentItem:5F7T-S791-FJTD-G308-00000-00&amp;context=" TargetMode="External" /><Relationship Id="rId591" Type="http://schemas.openxmlformats.org/officeDocument/2006/relationships/hyperlink" Target="https://advance.lexis.com/api/document?collection=cases-ca&amp;id=urn:contentItem:5F7T-S6Y1-F65M-60MS-00000-00&amp;context=" TargetMode="External" /><Relationship Id="rId592" Type="http://schemas.openxmlformats.org/officeDocument/2006/relationships/hyperlink" Target="https://advance.lexis.com/api/document?collection=cases-ca&amp;id=urn:contentItem:5F7T-S6Y1-DY33-B07N-00000-00&amp;context=" TargetMode="External" /><Relationship Id="rId593" Type="http://schemas.openxmlformats.org/officeDocument/2006/relationships/hyperlink" Target="https://advance.lexis.com/api/document?collection=cases-ca&amp;id=urn:contentItem:5F7T-S701-F8KH-X1KK-00000-00&amp;context=" TargetMode="External" /><Relationship Id="rId594" Type="http://schemas.openxmlformats.org/officeDocument/2006/relationships/hyperlink" Target="https://advance.lexis.com/api/document?collection=cases-ca&amp;id=urn:contentItem:5F81-VJV1-DXWW-22F7-00000-00&amp;context=" TargetMode="External" /><Relationship Id="rId595" Type="http://schemas.openxmlformats.org/officeDocument/2006/relationships/hyperlink" Target="https://advance.lexis.com/api/document?collection=cases-ca&amp;id=urn:contentItem:5F8T-N3T1-JGHR-M1XV-00000-00&amp;context=" TargetMode="External" /><Relationship Id="rId596" Type="http://schemas.openxmlformats.org/officeDocument/2006/relationships/hyperlink" Target="https://advance.lexis.com/api/document?collection=cases-ca&amp;id=urn:contentItem:5F8T-N3T1-JJSF-236M-00000-00&amp;context=" TargetMode="External" /><Relationship Id="rId597" Type="http://schemas.openxmlformats.org/officeDocument/2006/relationships/hyperlink" Target="https://advance.lexis.com/api/document?collection=cases-ca&amp;id=urn:contentItem:5F7T-S701-JGPY-X1KR-00000-00&amp;context=" TargetMode="External" /><Relationship Id="rId598" Type="http://schemas.openxmlformats.org/officeDocument/2006/relationships/hyperlink" Target="https://advance.lexis.com/api/document?collection=cases-ca&amp;id=urn:contentItem:5F7T-S7N1-JGHR-M3F0-00000-00&amp;context=" TargetMode="External" /><Relationship Id="rId599" Type="http://schemas.openxmlformats.org/officeDocument/2006/relationships/hyperlink" Target="https://advance.lexis.com/api/document?collection=cases-ca&amp;id=urn:contentItem:5F7T-S771-F361-M1JS-00000-00&amp;context=" TargetMode="External" /><Relationship Id="rId6" Type="http://schemas.openxmlformats.org/officeDocument/2006/relationships/footer" Target="footer1.xml" /><Relationship Id="rId60" Type="http://schemas.openxmlformats.org/officeDocument/2006/relationships/hyperlink" Target="https://advance.lexis.com/api/document?collection=cases-ca&amp;id=urn:contentItem:5F2P-NNM1-JCRC-B52T-00000-00&amp;context=" TargetMode="External" /><Relationship Id="rId600" Type="http://schemas.openxmlformats.org/officeDocument/2006/relationships/hyperlink" Target="https://advance.lexis.com/api/document?collection=cases-ca&amp;id=urn:contentItem:5F8P-T8W1-F2F4-G1CD-00000-00&amp;context=" TargetMode="External" /><Relationship Id="rId601" Type="http://schemas.openxmlformats.org/officeDocument/2006/relationships/hyperlink" Target="https://advance.lexis.com/api/document?collection=cases-ca&amp;id=urn:contentItem:5F8T-N3V1-FC1F-M49S-00000-00&amp;context=" TargetMode="External" /><Relationship Id="rId602" Type="http://schemas.openxmlformats.org/officeDocument/2006/relationships/hyperlink" Target="https://advance.lexis.com/api/document?collection=cases-ca&amp;id=urn:contentItem:5F8T-N3V1-FC1F-M3WT-00000-00&amp;context=" TargetMode="External" /><Relationship Id="rId603" Type="http://schemas.openxmlformats.org/officeDocument/2006/relationships/hyperlink" Target="https://advance.lexis.com/api/document?collection=cases-ca&amp;id=urn:contentItem:5F8T-N3V1-JF75-M3RB-00000-00&amp;context=" TargetMode="External" /><Relationship Id="rId604" Type="http://schemas.openxmlformats.org/officeDocument/2006/relationships/hyperlink" Target="https://advance.lexis.com/api/document?collection=cases-ca&amp;id=urn:contentItem:5F7T-S7N1-F06F-24HV-00000-00&amp;context=" TargetMode="External" /><Relationship Id="rId605" Type="http://schemas.openxmlformats.org/officeDocument/2006/relationships/hyperlink" Target="https://advance.lexis.com/api/document?collection=cases-ca&amp;id=urn:contentItem:5F8T-N3V1-JTGH-B12R-00000-00&amp;context=" TargetMode="External" /><Relationship Id="rId606" Type="http://schemas.openxmlformats.org/officeDocument/2006/relationships/hyperlink" Target="https://advance.lexis.com/api/document?collection=cases-ca&amp;id=urn:contentItem:5F8T-N3V1-FC1F-M4DY-00000-00&amp;context=" TargetMode="External" /><Relationship Id="rId607" Type="http://schemas.openxmlformats.org/officeDocument/2006/relationships/hyperlink" Target="https://advance.lexis.com/api/document?collection=cases-ca&amp;id=urn:contentItem:5F16-93D1-F06F-22GM-00000-00&amp;context=" TargetMode="External" /><Relationship Id="rId608" Type="http://schemas.openxmlformats.org/officeDocument/2006/relationships/hyperlink" Target="https://advance.lexis.com/api/document?collection=cases-ca&amp;id=urn:contentItem:5F7T-S6W1-JB7K-21HY-00000-00&amp;context=" TargetMode="External" /><Relationship Id="rId609" Type="http://schemas.openxmlformats.org/officeDocument/2006/relationships/hyperlink" Target="https://advance.lexis.com/api/document?collection=cases-ca&amp;id=urn:contentItem:5F7T-S7M1-JNCK-22K6-00000-00&amp;context=" TargetMode="External" /><Relationship Id="rId61" Type="http://schemas.openxmlformats.org/officeDocument/2006/relationships/hyperlink" Target="https://advance.lexis.com/api/document?collection=cases-ca&amp;id=urn:contentItem:5F82-1SB1-JPP5-24JT-00000-00&amp;context=" TargetMode="External" /><Relationship Id="rId610" Type="http://schemas.openxmlformats.org/officeDocument/2006/relationships/hyperlink" Target="https://advance.lexis.com/api/document?collection=cases-ca&amp;id=urn:contentItem:5F7T-S7N1-JJ1H-X2NV-00000-00&amp;context=" TargetMode="External" /><Relationship Id="rId611" Type="http://schemas.openxmlformats.org/officeDocument/2006/relationships/hyperlink" Target="https://advance.lexis.com/api/document?collection=cases-ca&amp;id=urn:contentItem:5F7T-S7H1-K054-G2BY-00000-00&amp;context=" TargetMode="External" /><Relationship Id="rId612" Type="http://schemas.openxmlformats.org/officeDocument/2006/relationships/hyperlink" Target="https://advance.lexis.com/api/document?collection=cases-ca&amp;id=urn:contentItem:5F8T-N3V1-FH4C-X22N-00000-00&amp;context=" TargetMode="External" /><Relationship Id="rId613" Type="http://schemas.openxmlformats.org/officeDocument/2006/relationships/hyperlink" Target="https://advance.lexis.com/api/document?collection=cases-ca&amp;id=urn:contentItem:5F8T-N3V1-JTGH-B1DH-00000-00&amp;context=" TargetMode="External" /><Relationship Id="rId614" Type="http://schemas.openxmlformats.org/officeDocument/2006/relationships/hyperlink" Target="https://advance.lexis.com/api/document?collection=cases-ca&amp;id=urn:contentItem:5F8T-N3T1-JJSF-23DG-00000-00&amp;context=" TargetMode="External" /><Relationship Id="rId615" Type="http://schemas.openxmlformats.org/officeDocument/2006/relationships/hyperlink" Target="https://advance.lexis.com/api/document?collection=cases-ca&amp;id=urn:contentItem:5F82-1SJ1-F900-G2BF-00000-00&amp;context=" TargetMode="External" /><Relationship Id="rId616" Type="http://schemas.openxmlformats.org/officeDocument/2006/relationships/hyperlink" Target="https://advance.lexis.com/api/document?collection=cases-ca&amp;id=urn:contentItem:5F7H-KW51-FCK4-G09V-00000-00&amp;context=" TargetMode="External" /><Relationship Id="rId617" Type="http://schemas.openxmlformats.org/officeDocument/2006/relationships/hyperlink" Target="https://advance.lexis.com/api/document?collection=cases-ca&amp;id=urn:contentItem:5F16-9371-F5DR-232R-00000-00&amp;context=" TargetMode="External" /><Relationship Id="rId618" Type="http://schemas.openxmlformats.org/officeDocument/2006/relationships/hyperlink" Target="https://advance.lexis.com/api/document?collection=cases-ca&amp;id=urn:contentItem:5F7T-S781-F06F-23N8-00000-00&amp;context=" TargetMode="External" /><Relationship Id="rId619" Type="http://schemas.openxmlformats.org/officeDocument/2006/relationships/hyperlink" Target="https://advance.lexis.com/api/document?collection=cases-ca&amp;id=urn:contentItem:5F7T-S6T1-F2F4-G1P7-00000-00&amp;context=" TargetMode="External" /><Relationship Id="rId62" Type="http://schemas.openxmlformats.org/officeDocument/2006/relationships/hyperlink" Target="https://advance.lexis.com/api/document?collection=cases-ca&amp;id=urn:contentItem:5F7T-S771-JN14-G2FD-00000-00&amp;context=" TargetMode="External" /><Relationship Id="rId620" Type="http://schemas.openxmlformats.org/officeDocument/2006/relationships/hyperlink" Target="https://advance.lexis.com/api/document?collection=cases-ca&amp;id=urn:contentItem:5F7T-S6W1-JYYX-61M8-00000-00&amp;context=" TargetMode="External" /><Relationship Id="rId621" Type="http://schemas.openxmlformats.org/officeDocument/2006/relationships/hyperlink" Target="https://advance.lexis.com/api/document?collection=cases-ca&amp;id=urn:contentItem:5F7T-XPT1-JT99-21MS-00000-00&amp;context=" TargetMode="External" /><Relationship Id="rId622" Type="http://schemas.openxmlformats.org/officeDocument/2006/relationships/hyperlink" Target="https://advance.lexis.com/api/document?collection=cases-ca&amp;id=urn:contentItem:5F7T-S7J1-DXWW-251S-00000-00&amp;context=" TargetMode="External" /><Relationship Id="rId623" Type="http://schemas.openxmlformats.org/officeDocument/2006/relationships/hyperlink" Target="https://advance.lexis.com/api/document?collection=cases-ca&amp;id=urn:contentItem:5F7T-XPR1-JCBX-S27J-00000-00&amp;context=" TargetMode="External" /><Relationship Id="rId624" Type="http://schemas.openxmlformats.org/officeDocument/2006/relationships/hyperlink" Target="https://advance.lexis.com/api/document?collection=cases-ca&amp;id=urn:contentItem:5F7T-S7G1-JPP5-21MC-00000-00&amp;context=" TargetMode="External" /><Relationship Id="rId625" Type="http://schemas.openxmlformats.org/officeDocument/2006/relationships/hyperlink" Target="https://advance.lexis.com/api/document?collection=cases-ca&amp;id=urn:contentItem:5F7T-S7H1-JFKM-62C5-00000-00&amp;context=" TargetMode="External" /><Relationship Id="rId626" Type="http://schemas.openxmlformats.org/officeDocument/2006/relationships/header" Target="header46.xml" /><Relationship Id="rId627" Type="http://schemas.openxmlformats.org/officeDocument/2006/relationships/header" Target="header47.xml" /><Relationship Id="rId628" Type="http://schemas.openxmlformats.org/officeDocument/2006/relationships/footer" Target="footer46.xml" /><Relationship Id="rId629" Type="http://schemas.openxmlformats.org/officeDocument/2006/relationships/footer" Target="footer47.xml" /><Relationship Id="rId63" Type="http://schemas.openxmlformats.org/officeDocument/2006/relationships/hyperlink" Target="https://advance.lexis.com/api/document?collection=cases-ca&amp;id=urn:contentItem:5F8T-N3T1-JJSF-23P9-00000-00&amp;context=" TargetMode="External" /><Relationship Id="rId630" Type="http://schemas.openxmlformats.org/officeDocument/2006/relationships/header" Target="header48.xml" /><Relationship Id="rId631" Type="http://schemas.openxmlformats.org/officeDocument/2006/relationships/footer" Target="footer48.xml" /><Relationship Id="rId632" Type="http://schemas.openxmlformats.org/officeDocument/2006/relationships/hyperlink" Target="https://advance.lexis.com/api/document?collection=cases-ca&amp;id=urn:contentItem:5F7T-S7N1-DXWW-20K2-00000-00&amp;context=" TargetMode="External" /><Relationship Id="rId633" Type="http://schemas.openxmlformats.org/officeDocument/2006/relationships/hyperlink" Target="https://advance.lexis.com/api/document?collection=cases-ca&amp;id=urn:contentItem:5F8T-N3V1-FH4C-X20M-00000-00&amp;context=" TargetMode="External" /><Relationship Id="rId634" Type="http://schemas.openxmlformats.org/officeDocument/2006/relationships/hyperlink" Target="https://advance.lexis.com/api/document?collection=cases-ca&amp;id=urn:contentItem:5F7T-S7N1-DXWW-206B-00000-00&amp;context=" TargetMode="External" /><Relationship Id="rId635" Type="http://schemas.openxmlformats.org/officeDocument/2006/relationships/hyperlink" Target="https://advance.lexis.com/api/document?collection=cases-ca&amp;id=urn:contentItem:5F7T-S7K1-DY33-B1R6-00000-00&amp;context=" TargetMode="External" /><Relationship Id="rId636" Type="http://schemas.openxmlformats.org/officeDocument/2006/relationships/hyperlink" Target="https://advance.lexis.com/api/document?collection=cases-ca&amp;id=urn:contentItem:5F7T-S7H1-JCRC-B110-00000-00&amp;context=" TargetMode="External" /><Relationship Id="rId637" Type="http://schemas.openxmlformats.org/officeDocument/2006/relationships/hyperlink" Target="https://advance.lexis.com/api/document?collection=cases-ca&amp;id=urn:contentItem:5F7T-S7G1-JNY7-X3RF-00000-00&amp;context=" TargetMode="External" /><Relationship Id="rId638" Type="http://schemas.openxmlformats.org/officeDocument/2006/relationships/hyperlink" Target="https://advance.lexis.com/api/document?collection=cases-ca&amp;id=urn:contentItem:5F7T-S7N1-JJ1H-X33W-00000-00&amp;context=" TargetMode="External" /><Relationship Id="rId639" Type="http://schemas.openxmlformats.org/officeDocument/2006/relationships/hyperlink" Target="https://advance.lexis.com/api/document?collection=cases-ca&amp;id=urn:contentItem:5F7T-S7N1-JC5P-G1XT-00000-00&amp;context=" TargetMode="External" /><Relationship Id="rId64" Type="http://schemas.openxmlformats.org/officeDocument/2006/relationships/hyperlink" Target="https://advance.lexis.com/api/document?collection=cases-ca&amp;id=urn:contentItem:5F7T-S711-F4W2-61PW-00000-00&amp;context=" TargetMode="External" /><Relationship Id="rId640" Type="http://schemas.openxmlformats.org/officeDocument/2006/relationships/hyperlink" Target="https://advance.lexis.com/api/document?collection=cases-ca&amp;id=urn:contentItem:5F7T-S7N1-JJ1H-X30T-00000-00&amp;context=" TargetMode="External" /><Relationship Id="rId641" Type="http://schemas.openxmlformats.org/officeDocument/2006/relationships/hyperlink" Target="https://advance.lexis.com/api/document?collection=cases-ca&amp;id=urn:contentItem:5F7T-S7K1-JSJC-X0W0-00000-00&amp;context=" TargetMode="External" /><Relationship Id="rId642" Type="http://schemas.openxmlformats.org/officeDocument/2006/relationships/hyperlink" Target="https://advance.lexis.com/api/document?collection=cases-ca&amp;id=urn:contentItem:5F7T-S7M1-JCRC-B1NS-00000-00&amp;context=" TargetMode="External" /><Relationship Id="rId643" Type="http://schemas.openxmlformats.org/officeDocument/2006/relationships/hyperlink" Target="https://advance.lexis.com/api/document?collection=cases-ca&amp;id=urn:contentItem:5F7T-S7N1-JJ1H-X2RB-00000-00&amp;context=" TargetMode="External" /><Relationship Id="rId644" Type="http://schemas.openxmlformats.org/officeDocument/2006/relationships/hyperlink" Target="https://advance.lexis.com/api/document?collection=cases-ca&amp;id=urn:contentItem:5F7T-S7N1-F06F-24MW-00000-00&amp;context=" TargetMode="External" /><Relationship Id="rId645" Type="http://schemas.openxmlformats.org/officeDocument/2006/relationships/hyperlink" Target="https://advance.lexis.com/api/document?collection=cases-ca&amp;id=urn:contentItem:5F7T-S7N1-JGHR-M38V-00000-00&amp;context=" TargetMode="External" /><Relationship Id="rId646" Type="http://schemas.openxmlformats.org/officeDocument/2006/relationships/header" Target="header49.xml" /><Relationship Id="rId647" Type="http://schemas.openxmlformats.org/officeDocument/2006/relationships/header" Target="header50.xml" /><Relationship Id="rId648" Type="http://schemas.openxmlformats.org/officeDocument/2006/relationships/footer" Target="footer49.xml" /><Relationship Id="rId649" Type="http://schemas.openxmlformats.org/officeDocument/2006/relationships/footer" Target="footer50.xml" /><Relationship Id="rId65" Type="http://schemas.openxmlformats.org/officeDocument/2006/relationships/hyperlink" Target="https://advance.lexis.com/api/document?collection=cases-ca&amp;id=urn:contentItem:5F7T-S731-JC0G-63GB-00000-00&amp;context=" TargetMode="External" /><Relationship Id="rId650" Type="http://schemas.openxmlformats.org/officeDocument/2006/relationships/header" Target="header51.xml" /><Relationship Id="rId651" Type="http://schemas.openxmlformats.org/officeDocument/2006/relationships/footer" Target="footer51.xml" /><Relationship Id="rId652" Type="http://schemas.openxmlformats.org/officeDocument/2006/relationships/hyperlink" Target="https://advance.lexis.com/api/document?collection=cases-ca&amp;id=urn:contentItem:5G6F-0731-JSJC-X1B4-00000-00&amp;context=" TargetMode="External" /><Relationship Id="rId653" Type="http://schemas.openxmlformats.org/officeDocument/2006/relationships/hyperlink" Target="https://advance.lexis.com/api/document?collection=cases-ca&amp;id=urn:contentItem:5G74-N221-F8D9-M0WT-00000-00&amp;context=" TargetMode="External" /><Relationship Id="rId654" Type="http://schemas.openxmlformats.org/officeDocument/2006/relationships/hyperlink" Target="https://advance.lexis.com/api/document?collection=legislation-ca&amp;id=urn:contentItem:5F3B-B7W1-JTGH-B01X-00000-00&amp;context=" TargetMode="External" /><Relationship Id="rId655" Type="http://schemas.openxmlformats.org/officeDocument/2006/relationships/hyperlink" Target="https://advance.lexis.com/api/document?collection=cases-ca&amp;id=urn:contentItem:5GCC-XVB1-JSXV-G09R-00000-00&amp;context=" TargetMode="External" /><Relationship Id="rId656" Type="http://schemas.openxmlformats.org/officeDocument/2006/relationships/hyperlink" Target="https://advance.lexis.com/api/document?collection=cases-ca&amp;id=urn:contentItem:5F7T-S6Y1-F65M-6050-00000-00&amp;context=" TargetMode="External" /><Relationship Id="rId657" Type="http://schemas.openxmlformats.org/officeDocument/2006/relationships/hyperlink" Target="https://advance.lexis.com/api/document?collection=cases-ca&amp;id=urn:contentItem:5F7T-S761-F81W-227S-00000-00&amp;context=" TargetMode="External" /><Relationship Id="rId658" Type="http://schemas.openxmlformats.org/officeDocument/2006/relationships/hyperlink" Target="https://advance.lexis.com/api/document?collection=cases-ca&amp;id=urn:contentItem:5F7T-S731-JNJT-B1W0-00000-00&amp;context=" TargetMode="External" /><Relationship Id="rId659" Type="http://schemas.openxmlformats.org/officeDocument/2006/relationships/hyperlink" Target="https://advance.lexis.com/api/document?collection=cases-ca&amp;id=urn:contentItem:5F7T-S7H1-JFKM-62DN-00000-00&amp;context=" TargetMode="External" /><Relationship Id="rId66" Type="http://schemas.openxmlformats.org/officeDocument/2006/relationships/header" Target="header7.xml" /><Relationship Id="rId660" Type="http://schemas.openxmlformats.org/officeDocument/2006/relationships/hyperlink" Target="https://advance.lexis.com/api/document?collection=cases-ca&amp;id=urn:contentItem:5F7T-S6W1-JYYX-61WY-00000-00&amp;context=" TargetMode="External" /><Relationship Id="rId661" Type="http://schemas.openxmlformats.org/officeDocument/2006/relationships/hyperlink" Target="https://advance.lexis.com/api/document?collection=cases-ca&amp;id=urn:contentItem:5F7T-S771-F361-M1HH-00000-00&amp;context=" TargetMode="External" /><Relationship Id="rId662" Type="http://schemas.openxmlformats.org/officeDocument/2006/relationships/hyperlink" Target="https://advance.lexis.com/api/document?collection=cases-ca&amp;id=urn:contentItem:5F7T-S771-JTGH-B1BD-00000-00&amp;context=" TargetMode="External" /><Relationship Id="rId663" Type="http://schemas.openxmlformats.org/officeDocument/2006/relationships/hyperlink" Target="https://advance.lexis.com/api/document?collection=cases-ca&amp;id=urn:contentItem:5F7T-S6X1-FJDY-X10J-00000-00&amp;context=" TargetMode="External" /><Relationship Id="rId664" Type="http://schemas.openxmlformats.org/officeDocument/2006/relationships/hyperlink" Target="https://advance.lexis.com/api/document?collection=cases-ca&amp;id=urn:contentItem:5F7T-S7M1-JCRC-B1H1-00000-00&amp;context=" TargetMode="External" /><Relationship Id="rId665" Type="http://schemas.openxmlformats.org/officeDocument/2006/relationships/hyperlink" Target="https://advance.lexis.com/api/document?collection=cases-ca&amp;id=urn:contentItem:5F7T-S7P1-JG02-S46F-00000-00&amp;context=" TargetMode="External" /><Relationship Id="rId666" Type="http://schemas.openxmlformats.org/officeDocument/2006/relationships/hyperlink" Target="https://advance.lexis.com/api/document?collection=cases-ca&amp;id=urn:contentItem:5F7T-S7J1-JYYX-62D7-00000-00&amp;context=" TargetMode="External" /><Relationship Id="rId667" Type="http://schemas.openxmlformats.org/officeDocument/2006/relationships/hyperlink" Target="https://advance.lexis.com/api/document?collection=cases-ca&amp;id=urn:contentItem:5F8N-K711-F1P7-B3JJ-00000-00&amp;context=" TargetMode="External" /><Relationship Id="rId668" Type="http://schemas.openxmlformats.org/officeDocument/2006/relationships/hyperlink" Target="https://advance.lexis.com/api/document?collection=cases-ca&amp;id=urn:contentItem:5F81-VJY1-FBN1-22MV-00000-00&amp;context=" TargetMode="External" /><Relationship Id="rId669" Type="http://schemas.openxmlformats.org/officeDocument/2006/relationships/hyperlink" Target="https://advance.lexis.com/api/document?collection=cases-ca&amp;id=urn:contentItem:5F8W-M4G1-FBFS-S2S0-00000-00&amp;context=" TargetMode="External" /><Relationship Id="rId67" Type="http://schemas.openxmlformats.org/officeDocument/2006/relationships/header" Target="header8.xml" /><Relationship Id="rId670" Type="http://schemas.openxmlformats.org/officeDocument/2006/relationships/hyperlink" Target="https://advance.lexis.com/api/document?collection=cases-ca&amp;id=urn:contentItem:5GCC-XVB1-JSXV-G0C9-00000-00&amp;context=" TargetMode="External" /><Relationship Id="rId671" Type="http://schemas.openxmlformats.org/officeDocument/2006/relationships/hyperlink" Target="https://advance.lexis.com/api/document?collection=cases-ca&amp;id=urn:contentItem:5G5K-89P1-K054-G32M-00000-00&amp;context=" TargetMode="External" /><Relationship Id="rId672" Type="http://schemas.openxmlformats.org/officeDocument/2006/relationships/hyperlink" Target="https://advance.lexis.com/api/document?collection=cases-ca&amp;id=urn:contentItem:5F7T-S7C1-FGRY-B08X-00000-00&amp;context=" TargetMode="External" /><Relationship Id="rId673" Type="http://schemas.openxmlformats.org/officeDocument/2006/relationships/hyperlink" Target="https://advance.lexis.com/api/document?collection=cases-ca&amp;id=urn:contentItem:5F7T-S7P1-JSJC-X1J5-00000-00&amp;context=" TargetMode="External" /><Relationship Id="rId674" Type="http://schemas.openxmlformats.org/officeDocument/2006/relationships/hyperlink" Target="https://advance.lexis.com/api/document?collection=cases-ca&amp;id=urn:contentItem:5F7T-S771-JN14-G279-00000-00&amp;context=" TargetMode="External" /><Relationship Id="rId675" Type="http://schemas.openxmlformats.org/officeDocument/2006/relationships/hyperlink" Target="https://advance.lexis.com/api/document?collection=cases-ca&amp;id=urn:contentItem:5F7T-S781-F06F-23X6-00000-00&amp;context=" TargetMode="External" /><Relationship Id="rId676" Type="http://schemas.openxmlformats.org/officeDocument/2006/relationships/hyperlink" Target="https://advance.lexis.com/api/document?collection=cases-ca&amp;id=urn:contentItem:5XR8-3VX1-JG02-S190-00000-00&amp;context=" TargetMode="External" /><Relationship Id="rId677" Type="http://schemas.openxmlformats.org/officeDocument/2006/relationships/header" Target="header52.xml" /><Relationship Id="rId678" Type="http://schemas.openxmlformats.org/officeDocument/2006/relationships/header" Target="header53.xml" /><Relationship Id="rId679" Type="http://schemas.openxmlformats.org/officeDocument/2006/relationships/footer" Target="footer52.xml" /><Relationship Id="rId68" Type="http://schemas.openxmlformats.org/officeDocument/2006/relationships/footer" Target="footer7.xml" /><Relationship Id="rId680" Type="http://schemas.openxmlformats.org/officeDocument/2006/relationships/footer" Target="footer53.xml" /><Relationship Id="rId681" Type="http://schemas.openxmlformats.org/officeDocument/2006/relationships/header" Target="header54.xml" /><Relationship Id="rId682" Type="http://schemas.openxmlformats.org/officeDocument/2006/relationships/footer" Target="footer54.xml" /><Relationship Id="rId683" Type="http://schemas.openxmlformats.org/officeDocument/2006/relationships/hyperlink" Target="https://advance.lexis.com/api/document?collection=cases-ca&amp;id=urn:contentItem:5F7T-S7J1-FGCG-S0N7-00000-00&amp;context=" TargetMode="External" /><Relationship Id="rId684" Type="http://schemas.openxmlformats.org/officeDocument/2006/relationships/hyperlink" Target="https://advance.lexis.com/api/document?collection=cases-ca&amp;id=urn:contentItem:5F7T-S7J1-JNS1-M29K-00000-00&amp;context=" TargetMode="External" /><Relationship Id="rId685" Type="http://schemas.openxmlformats.org/officeDocument/2006/relationships/hyperlink" Target="https://advance.lexis.com/api/document?collection=cases-ca&amp;id=urn:contentItem:5F7T-S7H1-JFSV-G37B-00000-00&amp;context=" TargetMode="External" /><Relationship Id="rId686" Type="http://schemas.openxmlformats.org/officeDocument/2006/relationships/hyperlink" Target="https://advance.lexis.com/api/document?collection=cases-ca&amp;id=urn:contentItem:5F7T-S6V1-JFKM-6133-00000-00&amp;context=" TargetMode="External" /><Relationship Id="rId687" Type="http://schemas.openxmlformats.org/officeDocument/2006/relationships/hyperlink" Target="https://advance.lexis.com/api/document?collection=cases-ca&amp;id=urn:contentItem:5F7T-S6W1-F5T5-M1CN-00000-00&amp;context=" TargetMode="External" /><Relationship Id="rId688" Type="http://schemas.openxmlformats.org/officeDocument/2006/relationships/hyperlink" Target="https://advance.lexis.com/api/document?collection=cases-ca&amp;id=urn:contentItem:5F7T-S6Y1-JNY7-X296-00000-00&amp;context=" TargetMode="External" /><Relationship Id="rId689" Type="http://schemas.openxmlformats.org/officeDocument/2006/relationships/hyperlink" Target="https://advance.lexis.com/api/document?collection=cases-ca&amp;id=urn:contentItem:5F7T-S701-JF75-M4DT-00000-00&amp;context=" TargetMode="External" /><Relationship Id="rId69" Type="http://schemas.openxmlformats.org/officeDocument/2006/relationships/footer" Target="footer8.xml" /><Relationship Id="rId690" Type="http://schemas.openxmlformats.org/officeDocument/2006/relationships/header" Target="header55.xml" /><Relationship Id="rId691" Type="http://schemas.openxmlformats.org/officeDocument/2006/relationships/header" Target="header56.xml" /><Relationship Id="rId692" Type="http://schemas.openxmlformats.org/officeDocument/2006/relationships/footer" Target="footer55.xml" /><Relationship Id="rId693" Type="http://schemas.openxmlformats.org/officeDocument/2006/relationships/footer" Target="footer56.xml" /><Relationship Id="rId694" Type="http://schemas.openxmlformats.org/officeDocument/2006/relationships/header" Target="header57.xml" /><Relationship Id="rId695" Type="http://schemas.openxmlformats.org/officeDocument/2006/relationships/footer" Target="footer57.xml" /><Relationship Id="rId696" Type="http://schemas.openxmlformats.org/officeDocument/2006/relationships/hyperlink" Target="https://advance.lexis.com/api/document?collection=cases-ca&amp;id=urn:contentItem:5Y4B-PDY1-JXNB-62MS-00000-00&amp;context=" TargetMode="External" /><Relationship Id="rId697" Type="http://schemas.openxmlformats.org/officeDocument/2006/relationships/hyperlink" Target="https://advance.lexis.com/api/document?collection=cases-ca&amp;id=urn:contentItem:5XFK-7HB1-JBM1-M11K-00000-00&amp;context=" TargetMode="External" /><Relationship Id="rId698" Type="http://schemas.openxmlformats.org/officeDocument/2006/relationships/hyperlink" Target="https://advance.lexis.com/api/document?collection=analytical-materials-ca&amp;id=urn:contentItem:5MF8-MMJ1-DYFH-X0KT-00000-00&amp;context=" TargetMode="External" /><Relationship Id="rId699" Type="http://schemas.openxmlformats.org/officeDocument/2006/relationships/hyperlink" Target="https://advance.lexis.com/api/document?collection=cases-ca&amp;id=urn:contentItem:5T6H-NM31-F873-B0RJ-00000-00&amp;context=" TargetMode="External" /><Relationship Id="rId7" Type="http://schemas.openxmlformats.org/officeDocument/2006/relationships/footer" Target="footer2.xml" /><Relationship Id="rId70" Type="http://schemas.openxmlformats.org/officeDocument/2006/relationships/header" Target="header9.xml" /><Relationship Id="rId700" Type="http://schemas.openxmlformats.org/officeDocument/2006/relationships/hyperlink" Target="https://advance.lexis.com/api/document?collection=cases-ca&amp;id=urn:contentItem:5MYB-0RF1-FCK4-G547-00000-00&amp;context=" TargetMode="External" /><Relationship Id="rId701" Type="http://schemas.openxmlformats.org/officeDocument/2006/relationships/hyperlink" Target="https://advance.lexis.com/api/document?collection=cases-ca&amp;id=urn:contentItem:5KS2-M7W1-JNY7-X3HS-00000-00&amp;context=" TargetMode="External" /><Relationship Id="rId702" Type="http://schemas.openxmlformats.org/officeDocument/2006/relationships/hyperlink" Target="https://advance.lexis.com/api/document?collection=cases-ca&amp;id=urn:contentItem:5MH6-90P1-FCYK-22NP-00000-00&amp;context=" TargetMode="External" /><Relationship Id="rId703" Type="http://schemas.openxmlformats.org/officeDocument/2006/relationships/hyperlink" Target="https://advance.lexis.com/api/document?collection=cases-ca&amp;id=urn:contentItem:5WPG-1H51-JSJC-X3KP-00000-00&amp;context=" TargetMode="External" /><Relationship Id="rId704" Type="http://schemas.openxmlformats.org/officeDocument/2006/relationships/hyperlink" Target="https://advance.lexis.com/api/document?collection=cases-ca&amp;id=urn:contentItem:5F8T-N3V1-FC1F-M49J-00000-00&amp;context=" TargetMode="External" /><Relationship Id="rId705" Type="http://schemas.openxmlformats.org/officeDocument/2006/relationships/hyperlink" Target="https://advance.lexis.com/api/document?collection=cases-ca&amp;id=urn:contentItem:5F7T-S7C1-JSRM-617X-00000-00&amp;context=" TargetMode="External" /><Relationship Id="rId706" Type="http://schemas.openxmlformats.org/officeDocument/2006/relationships/hyperlink" Target="https://advance.lexis.com/api/document?collection=cases-ca&amp;id=urn:contentItem:5F7T-S7G1-JX3N-B27H-00000-00&amp;context=" TargetMode="External" /><Relationship Id="rId707" Type="http://schemas.openxmlformats.org/officeDocument/2006/relationships/hyperlink" Target="https://advance.lexis.com/api/document?collection=cases-ca&amp;id=urn:contentItem:5F7T-S6X1-K0BB-S0R6-00000-00&amp;context=" TargetMode="External" /><Relationship Id="rId708" Type="http://schemas.openxmlformats.org/officeDocument/2006/relationships/hyperlink" Target="https://advance.lexis.com/api/document?collection=cases-ca&amp;id=urn:contentItem:5F7T-S7M1-JNCK-22CV-00000-00&amp;context=" TargetMode="External" /><Relationship Id="rId709" Type="http://schemas.openxmlformats.org/officeDocument/2006/relationships/hyperlink" Target="https://advance.lexis.com/api/document?collection=cases-ca&amp;id=urn:contentItem:5F7T-S7N1-JW09-M0W3-00000-00&amp;context=" TargetMode="External" /><Relationship Id="rId71" Type="http://schemas.openxmlformats.org/officeDocument/2006/relationships/footer" Target="footer9.xml" /><Relationship Id="rId710" Type="http://schemas.openxmlformats.org/officeDocument/2006/relationships/hyperlink" Target="https://advance.lexis.com/api/document?collection=cases-ca&amp;id=urn:contentItem:5F7T-S7P1-JP4G-61T7-00000-00&amp;context=" TargetMode="External" /><Relationship Id="rId711" Type="http://schemas.openxmlformats.org/officeDocument/2006/relationships/hyperlink" Target="https://advance.lexis.com/api/document?collection=cases-ca&amp;id=urn:contentItem:5T3B-6731-JB7K-21R7-00000-00&amp;context=" TargetMode="External" /><Relationship Id="rId712" Type="http://schemas.openxmlformats.org/officeDocument/2006/relationships/hyperlink" Target="https://advance.lexis.com/api/document?collection=cases-ca&amp;id=urn:contentItem:5X52-HCN1-F30T-B00C-00000-00&amp;context=" TargetMode="External" /><Relationship Id="rId713" Type="http://schemas.openxmlformats.org/officeDocument/2006/relationships/hyperlink" Target="https://advance.lexis.com/api/document?collection=cases-ca&amp;id=urn:contentItem:5M4Y-47R1-JC5P-G43Y-00000-00&amp;context=" TargetMode="External" /><Relationship Id="rId714" Type="http://schemas.openxmlformats.org/officeDocument/2006/relationships/hyperlink" Target="https://advance.lexis.com/api/document?collection=cases-ca&amp;id=urn:contentItem:5F7T-S7P1-JCRC-B2JM-00000-00&amp;context=" TargetMode="External" /><Relationship Id="rId715" Type="http://schemas.openxmlformats.org/officeDocument/2006/relationships/hyperlink" Target="https://advance.lexis.com/api/document?collection=cases-ca&amp;id=urn:contentItem:5F7T-XPX1-FCCX-6201-00000-00&amp;context=" TargetMode="External" /><Relationship Id="rId716" Type="http://schemas.openxmlformats.org/officeDocument/2006/relationships/hyperlink" Target="https://advance.lexis.com/api/document?collection=cases-ca&amp;id=urn:contentItem:5F7T-S7M1-JPP5-22B4-00000-00&amp;context=" TargetMode="External" /><Relationship Id="rId717" Type="http://schemas.openxmlformats.org/officeDocument/2006/relationships/hyperlink" Target="https://advance.lexis.com/api/document?collection=cases-ca&amp;id=urn:contentItem:5S9C-2VJ1-F7VM-S1HM-00000-00&amp;context=" TargetMode="External" /><Relationship Id="rId718" Type="http://schemas.openxmlformats.org/officeDocument/2006/relationships/hyperlink" Target="https://advance.lexis.com/api/document?collection=cases-ca&amp;id=urn:contentItem:5F7T-S7N1-JC5P-G21B-00000-00&amp;context=" TargetMode="External" /><Relationship Id="rId719" Type="http://schemas.openxmlformats.org/officeDocument/2006/relationships/hyperlink" Target="https://advance.lexis.com/api/document?collection=cases-ca&amp;id=urn:contentItem:5HR4-FPP1-JG02-S2CS-00000-00&amp;context=" TargetMode="External" /><Relationship Id="rId72" Type="http://schemas.openxmlformats.org/officeDocument/2006/relationships/hyperlink" Target="https://advance.lexis.com/api/document?collection=cases-ca&amp;id=urn:contentItem:5K6X-MT61-FFMK-M50M-00000-00&amp;context=" TargetMode="External" /><Relationship Id="rId720" Type="http://schemas.openxmlformats.org/officeDocument/2006/relationships/hyperlink" Target="https://advance.lexis.com/api/document?collection=cases-ca&amp;id=urn:contentItem:5TGV-PHG1-JB7K-22MB-00000-00&amp;context=" TargetMode="External" /><Relationship Id="rId721" Type="http://schemas.openxmlformats.org/officeDocument/2006/relationships/hyperlink" Target="https://advance.lexis.com/api/document?collection=cases-ca&amp;id=urn:contentItem:5F7T-S731-JC0G-637P-00000-00&amp;context=" TargetMode="External" /><Relationship Id="rId722" Type="http://schemas.openxmlformats.org/officeDocument/2006/relationships/hyperlink" Target="https://advance.lexis.com/api/document?collection=cases-ca&amp;id=urn:contentItem:5F7T-S7M1-DYMS-623G-00000-00&amp;context=" TargetMode="External" /><Relationship Id="rId723" Type="http://schemas.openxmlformats.org/officeDocument/2006/relationships/hyperlink" Target="https://advance.lexis.com/api/document?collection=cases-ca&amp;id=urn:contentItem:5F7T-S7D1-FFFC-B1F7-00000-00&amp;context=" TargetMode="External" /><Relationship Id="rId724" Type="http://schemas.openxmlformats.org/officeDocument/2006/relationships/hyperlink" Target="https://advance.lexis.com/api/document?collection=cases-ca&amp;id=urn:contentItem:5TG0-RY01-F81W-22R7-00000-00&amp;context=" TargetMode="External" /><Relationship Id="rId725" Type="http://schemas.openxmlformats.org/officeDocument/2006/relationships/header" Target="header58.xml" /><Relationship Id="rId726" Type="http://schemas.openxmlformats.org/officeDocument/2006/relationships/header" Target="header59.xml" /><Relationship Id="rId727" Type="http://schemas.openxmlformats.org/officeDocument/2006/relationships/footer" Target="footer58.xml" /><Relationship Id="rId728" Type="http://schemas.openxmlformats.org/officeDocument/2006/relationships/footer" Target="footer59.xml" /><Relationship Id="rId729" Type="http://schemas.openxmlformats.org/officeDocument/2006/relationships/header" Target="header60.xml" /><Relationship Id="rId73" Type="http://schemas.openxmlformats.org/officeDocument/2006/relationships/hyperlink" Target="https://advance.lexis.com/api/document?collection=cases-ca&amp;id=urn:contentItem:5F7T-S7N1-JWR6-S24B-00000-00&amp;context=" TargetMode="External" /><Relationship Id="rId730" Type="http://schemas.openxmlformats.org/officeDocument/2006/relationships/footer" Target="footer60.xml" /><Relationship Id="rId731" Type="http://schemas.openxmlformats.org/officeDocument/2006/relationships/hyperlink" Target="https://advance.lexis.com/api/document?collection=cases-ca&amp;id=urn:contentItem:5F7T-S7F1-FFFC-B1KM-00000-00&amp;context=" TargetMode="External" /><Relationship Id="rId732" Type="http://schemas.openxmlformats.org/officeDocument/2006/relationships/hyperlink" Target="https://advance.lexis.com/api/document?collection=cases-ca&amp;id=urn:contentItem:5F7T-S7D1-FC6N-X0FB-00000-00&amp;context=" TargetMode="External" /><Relationship Id="rId733" Type="http://schemas.openxmlformats.org/officeDocument/2006/relationships/hyperlink" Target="https://advance.lexis.com/api/document?collection=cases-ca&amp;id=urn:contentItem:5F7T-S7C1-F7VM-S3SB-00000-00&amp;context=" TargetMode="External" /><Relationship Id="rId734" Type="http://schemas.openxmlformats.org/officeDocument/2006/relationships/hyperlink" Target="https://advance.lexis.com/api/document?collection=cases-ca&amp;id=urn:contentItem:5F81-VJX1-FD4T-B2XG-00000-00&amp;context=" TargetMode="External" /><Relationship Id="rId735" Type="http://schemas.openxmlformats.org/officeDocument/2006/relationships/hyperlink" Target="https://advance.lexis.com/api/document?collection=cases-ca&amp;id=urn:contentItem:5F7T-S6Y1-JTNR-M4PK-00000-00&amp;context=" TargetMode="External" /><Relationship Id="rId736" Type="http://schemas.openxmlformats.org/officeDocument/2006/relationships/hyperlink" Target="https://advance.lexis.com/api/document?collection=cases-ca&amp;id=urn:contentItem:5F7T-S701-JK4W-M10F-00000-00&amp;context=" TargetMode="External" /><Relationship Id="rId737" Type="http://schemas.openxmlformats.org/officeDocument/2006/relationships/hyperlink" Target="https://advance.lexis.com/api/document?collection=cases-ca&amp;id=urn:contentItem:5F81-VJT1-JK4W-M48Y-00000-00&amp;context=" TargetMode="External" /><Relationship Id="rId738" Type="http://schemas.openxmlformats.org/officeDocument/2006/relationships/hyperlink" Target="https://advance.lexis.com/api/document?collection=cases-ca&amp;id=urn:contentItem:5F7T-S731-F60C-X1CT-00000-00&amp;context=" TargetMode="External" /><Relationship Id="rId739" Type="http://schemas.openxmlformats.org/officeDocument/2006/relationships/hyperlink" Target="https://advance.lexis.com/api/document?collection=cases-ca&amp;id=urn:contentItem:5F7T-S6W1-F956-S10V-00000-00&amp;context=" TargetMode="External" /><Relationship Id="rId74" Type="http://schemas.openxmlformats.org/officeDocument/2006/relationships/hyperlink" Target="https://advance.lexis.com/api/document?collection=analytical-materials-ca&amp;id=urn:contentItem:5M76-G4N1-FJDY-X0FH-00000-00&amp;context=" TargetMode="External" /><Relationship Id="rId740" Type="http://schemas.openxmlformats.org/officeDocument/2006/relationships/hyperlink" Target="https://advance.lexis.com/api/document?collection=cases-ca&amp;id=urn:contentItem:5F8T-N3V1-FC1F-M4BT-00000-00&amp;context=" TargetMode="External" /><Relationship Id="rId741" Type="http://schemas.openxmlformats.org/officeDocument/2006/relationships/hyperlink" Target="https://advance.lexis.com/api/document?collection=cases-ca&amp;id=urn:contentItem:5F7T-S6Y1-F81W-218D-00000-00&amp;context=" TargetMode="External" /><Relationship Id="rId742" Type="http://schemas.openxmlformats.org/officeDocument/2006/relationships/hyperlink" Target="https://advance.lexis.com/api/document?collection=cases-ca&amp;id=urn:contentItem:5F81-VJT1-FD4T-B24M-00000-00&amp;context=" TargetMode="External" /><Relationship Id="rId743" Type="http://schemas.openxmlformats.org/officeDocument/2006/relationships/hyperlink" Target="https://advance.lexis.com/api/document?collection=cases-ca&amp;id=urn:contentItem:5F8N-K6X1-F4NT-X458-00000-00&amp;context=" TargetMode="External" /><Relationship Id="rId744" Type="http://schemas.openxmlformats.org/officeDocument/2006/relationships/hyperlink" Target="https://advance.lexis.com/api/document?collection=cases-ca&amp;id=urn:contentItem:5F81-VJT1-JWJ0-G34N-00000-00&amp;context=" TargetMode="External" /><Relationship Id="rId745" Type="http://schemas.openxmlformats.org/officeDocument/2006/relationships/hyperlink" Target="https://advance.lexis.com/api/document?collection=cases-ca&amp;id=urn:contentItem:5F81-VJV1-F60C-X33X-00000-00&amp;context=" TargetMode="External" /><Relationship Id="rId746" Type="http://schemas.openxmlformats.org/officeDocument/2006/relationships/hyperlink" Target="https://advance.lexis.com/api/document?collection=cases-ca&amp;id=urn:contentItem:5F7T-S7D1-JN6B-S0XD-00000-00&amp;context=" TargetMode="External" /><Relationship Id="rId747" Type="http://schemas.openxmlformats.org/officeDocument/2006/relationships/hyperlink" Target="https://advance.lexis.com/api/document?collection=cases-ca&amp;id=urn:contentItem:5F7T-S781-F900-G0N3-00000-00&amp;context=" TargetMode="External" /><Relationship Id="rId748" Type="http://schemas.openxmlformats.org/officeDocument/2006/relationships/hyperlink" Target="https://advance.lexis.com/api/document?collection=cases-ca&amp;id=urn:contentItem:5F8T-N3V1-JF75-M3B2-00000-00&amp;context=" TargetMode="External" /><Relationship Id="rId749" Type="http://schemas.openxmlformats.org/officeDocument/2006/relationships/hyperlink" Target="https://advance.lexis.com/api/document?collection=cases-ca&amp;id=urn:contentItem:5F8T-N3V1-FC1F-M3W8-00000-00&amp;context=" TargetMode="External" /><Relationship Id="rId75" Type="http://schemas.openxmlformats.org/officeDocument/2006/relationships/hyperlink" Target="https://advance.lexis.com/api/document?collection=cases-ca&amp;id=urn:contentItem:5F7T-S7K1-DY33-B1WK-00000-00&amp;context=" TargetMode="External" /><Relationship Id="rId750" Type="http://schemas.openxmlformats.org/officeDocument/2006/relationships/hyperlink" Target="https://advance.lexis.com/api/document?collection=cases-ca&amp;id=urn:contentItem:5F81-VJX1-FGY5-M37J-00000-00&amp;context=" TargetMode="External" /><Relationship Id="rId751" Type="http://schemas.openxmlformats.org/officeDocument/2006/relationships/hyperlink" Target="https://advance.lexis.com/api/document?collection=cases-ca&amp;id=urn:contentItem:5F7T-S6R1-DXWW-2308-00000-00&amp;context=" TargetMode="External" /><Relationship Id="rId752" Type="http://schemas.openxmlformats.org/officeDocument/2006/relationships/hyperlink" Target="https://advance.lexis.com/api/document?collection=cases-ca&amp;id=urn:contentItem:5F7T-S6Y1-FJDY-X241-00000-00&amp;context=" TargetMode="External" /><Relationship Id="rId753" Type="http://schemas.openxmlformats.org/officeDocument/2006/relationships/hyperlink" Target="https://advance.lexis.com/api/document?collection=cases-ca&amp;id=urn:contentItem:5HDC-MS71-FFFC-B1D7-00000-00&amp;context=" TargetMode="External" /><Relationship Id="rId754" Type="http://schemas.openxmlformats.org/officeDocument/2006/relationships/header" Target="header61.xml" /><Relationship Id="rId755" Type="http://schemas.openxmlformats.org/officeDocument/2006/relationships/header" Target="header62.xml" /><Relationship Id="rId756" Type="http://schemas.openxmlformats.org/officeDocument/2006/relationships/footer" Target="footer61.xml" /><Relationship Id="rId757" Type="http://schemas.openxmlformats.org/officeDocument/2006/relationships/footer" Target="footer62.xml" /><Relationship Id="rId758" Type="http://schemas.openxmlformats.org/officeDocument/2006/relationships/header" Target="header63.xml" /><Relationship Id="rId759" Type="http://schemas.openxmlformats.org/officeDocument/2006/relationships/footer" Target="footer63.xml" /><Relationship Id="rId76" Type="http://schemas.openxmlformats.org/officeDocument/2006/relationships/hyperlink" Target="https://advance.lexis.com/api/document?collection=cases-ca&amp;id=urn:contentItem:5F7T-S7M1-JCRC-B1RP-00000-00&amp;context=" TargetMode="External" /><Relationship Id="rId760" Type="http://schemas.openxmlformats.org/officeDocument/2006/relationships/hyperlink" Target="https://advance.lexis.com/api/document?collection=cases-ca&amp;id=urn:contentItem:5F7T-S7N1-F06F-24SJ-00000-00&amp;context=" TargetMode="External" /><Relationship Id="rId761" Type="http://schemas.openxmlformats.org/officeDocument/2006/relationships/hyperlink" Target="https://advance.lexis.com/api/document?collection=cases-ca&amp;id=urn:contentItem:5F7T-S7K1-JSJC-X0XV-00000-00&amp;context=" TargetMode="External" /><Relationship Id="rId762" Type="http://schemas.openxmlformats.org/officeDocument/2006/relationships/hyperlink" Target="https://advance.lexis.com/api/document?collection=cases-ca&amp;id=urn:contentItem:5F7T-S7K1-DY33-B1W5-00000-00&amp;context=" TargetMode="External" /><Relationship Id="rId763" Type="http://schemas.openxmlformats.org/officeDocument/2006/relationships/hyperlink" Target="https://advance.lexis.com/api/document?collection=cases-ca&amp;id=urn:contentItem:5F7T-S7J1-FGCG-S033-00000-00&amp;context=" TargetMode="External" /><Relationship Id="rId764" Type="http://schemas.openxmlformats.org/officeDocument/2006/relationships/hyperlink" Target="https://advance.lexis.com/api/document?collection=cases-ca&amp;id=urn:contentItem:5F7T-S7H1-FCSB-S3JG-00000-00&amp;context=" TargetMode="External" /><Relationship Id="rId765" Type="http://schemas.openxmlformats.org/officeDocument/2006/relationships/hyperlink" Target="https://advance.lexis.com/api/document?collection=cases-ca&amp;id=urn:contentItem:5F7T-S7M1-F4W2-62H4-00000-00&amp;context=" TargetMode="External" /><Relationship Id="rId766" Type="http://schemas.openxmlformats.org/officeDocument/2006/relationships/hyperlink" Target="https://advance.lexis.com/api/document?collection=cases-ca&amp;id=urn:contentItem:5F7T-S731-FFFC-B0K2-00000-00&amp;context=" TargetMode="External" /><Relationship Id="rId767" Type="http://schemas.openxmlformats.org/officeDocument/2006/relationships/hyperlink" Target="https://advance.lexis.com/api/document?collection=cases-ca&amp;id=urn:contentItem:5F7T-S701-JF75-M4N2-00000-00&amp;context=" TargetMode="External" /><Relationship Id="rId768" Type="http://schemas.openxmlformats.org/officeDocument/2006/relationships/hyperlink" Target="https://advance.lexis.com/api/document?collection=cases-ca&amp;id=urn:contentItem:5F7T-S7D1-JXG3-X0Y7-00000-00&amp;context=" TargetMode="External" /><Relationship Id="rId769" Type="http://schemas.openxmlformats.org/officeDocument/2006/relationships/header" Target="header64.xml" /><Relationship Id="rId77" Type="http://schemas.openxmlformats.org/officeDocument/2006/relationships/hyperlink" Target="https://advance.lexis.com/api/document?collection=cases-ca&amp;id=urn:contentItem:5F7T-S7F1-FJTD-G3D8-00000-00&amp;context=" TargetMode="External" /><Relationship Id="rId770" Type="http://schemas.openxmlformats.org/officeDocument/2006/relationships/header" Target="header65.xml" /><Relationship Id="rId771" Type="http://schemas.openxmlformats.org/officeDocument/2006/relationships/footer" Target="footer64.xml" /><Relationship Id="rId772" Type="http://schemas.openxmlformats.org/officeDocument/2006/relationships/footer" Target="footer65.xml" /><Relationship Id="rId773" Type="http://schemas.openxmlformats.org/officeDocument/2006/relationships/header" Target="header66.xml" /><Relationship Id="rId774" Type="http://schemas.openxmlformats.org/officeDocument/2006/relationships/footer" Target="footer66.xml" /><Relationship Id="rId775" Type="http://schemas.openxmlformats.org/officeDocument/2006/relationships/hyperlink" Target="https://advance.lexis.com/api/document?collection=cases-ca&amp;id=urn:contentItem:5F7T-S7J1-JGBH-B28D-00000-00&amp;context=" TargetMode="External" /><Relationship Id="rId776" Type="http://schemas.openxmlformats.org/officeDocument/2006/relationships/hyperlink" Target="https://advance.lexis.com/api/document?collection=cases-ca&amp;id=urn:contentItem:5K6Y-81M1-DXHD-G2RS-00000-00&amp;context=" TargetMode="External" /><Relationship Id="rId777" Type="http://schemas.openxmlformats.org/officeDocument/2006/relationships/hyperlink" Target="https://advance.lexis.com/api/document?collection=cases-ca&amp;id=urn:contentItem:5F8T-N3T1-JFKM-652N-00000-00&amp;context=" TargetMode="External" /><Relationship Id="rId778" Type="http://schemas.openxmlformats.org/officeDocument/2006/relationships/hyperlink" Target="https://advance.lexis.com/api/document?collection=cases-ca&amp;id=urn:contentItem:5F8T-N3V1-JF75-M3CF-00000-00&amp;context=" TargetMode="External" /><Relationship Id="rId779" Type="http://schemas.openxmlformats.org/officeDocument/2006/relationships/hyperlink" Target="https://advance.lexis.com/api/document?collection=cases-ca&amp;id=urn:contentItem:5F8T-N3T1-JJSF-23NR-00000-00&amp;context=" TargetMode="External" /><Relationship Id="rId78" Type="http://schemas.openxmlformats.org/officeDocument/2006/relationships/hyperlink" Target="https://advance.lexis.com/api/document?collection=cases-ca&amp;id=urn:contentItem:5F7T-S7F1-JBT7-X2R8-00000-00&amp;context=" TargetMode="External" /><Relationship Id="rId780" Type="http://schemas.openxmlformats.org/officeDocument/2006/relationships/hyperlink" Target="https://advance.lexis.com/api/document?collection=cases-ca&amp;id=urn:contentItem:5F8T-N3T1-JGHR-M1X6-00000-00&amp;context=" TargetMode="External" /><Relationship Id="rId781" Type="http://schemas.openxmlformats.org/officeDocument/2006/relationships/hyperlink" Target="https://advance.lexis.com/api/document?collection=cases-ca&amp;id=urn:contentItem:5F7T-S741-DY89-M3K8-00000-00&amp;context=" TargetMode="External" /><Relationship Id="rId782" Type="http://schemas.openxmlformats.org/officeDocument/2006/relationships/hyperlink" Target="https://advance.lexis.com/api/document?collection=cases-ca&amp;id=urn:contentItem:5F7T-S7J1-JGBH-B25W-00000-00&amp;context=" TargetMode="External" /><Relationship Id="rId783" Type="http://schemas.openxmlformats.org/officeDocument/2006/relationships/hyperlink" Target="https://advance.lexis.com/api/document?collection=cases-ca&amp;id=urn:contentItem:5F7T-S761-JCBX-S0MY-00000-00&amp;context=" TargetMode="External" /><Relationship Id="rId784" Type="http://schemas.openxmlformats.org/officeDocument/2006/relationships/hyperlink" Target="https://advance.lexis.com/api/document?collection=cases-ca&amp;id=urn:contentItem:5F8P-SCN1-FK0M-S2WB-00000-00&amp;context=" TargetMode="External" /><Relationship Id="rId785" Type="http://schemas.openxmlformats.org/officeDocument/2006/relationships/hyperlink" Target="https://advance.lexis.com/api/document?collection=cases-ca&amp;id=urn:contentItem:5F7T-S751-JBM1-M29M-00000-00&amp;context=" TargetMode="External" /><Relationship Id="rId786" Type="http://schemas.openxmlformats.org/officeDocument/2006/relationships/header" Target="header67.xml" /><Relationship Id="rId787" Type="http://schemas.openxmlformats.org/officeDocument/2006/relationships/header" Target="header68.xml" /><Relationship Id="rId788" Type="http://schemas.openxmlformats.org/officeDocument/2006/relationships/footer" Target="footer67.xml" /><Relationship Id="rId789" Type="http://schemas.openxmlformats.org/officeDocument/2006/relationships/footer" Target="footer68.xml" /><Relationship Id="rId79" Type="http://schemas.openxmlformats.org/officeDocument/2006/relationships/hyperlink" Target="https://advance.lexis.com/api/document?collection=cases-ca&amp;id=urn:contentItem:5F7T-S7M1-JPP5-22MK-00000-00&amp;context=" TargetMode="External" /><Relationship Id="rId790" Type="http://schemas.openxmlformats.org/officeDocument/2006/relationships/header" Target="header69.xml" /><Relationship Id="rId791" Type="http://schemas.openxmlformats.org/officeDocument/2006/relationships/footer" Target="footer69.xml" /><Relationship Id="rId792" Type="http://schemas.openxmlformats.org/officeDocument/2006/relationships/hyperlink" Target="https://advance.lexis.com/api/document?collection=cases-ca&amp;id=urn:contentItem:5F7T-S781-F27X-619N-00000-00&amp;context=" TargetMode="External" /><Relationship Id="rId793" Type="http://schemas.openxmlformats.org/officeDocument/2006/relationships/hyperlink" Target="https://advance.lexis.com/api/document?collection=cases-ca&amp;id=urn:contentItem:5F7T-S781-FH4C-X34Y-00000-00&amp;context=" TargetMode="External" /><Relationship Id="rId794" Type="http://schemas.openxmlformats.org/officeDocument/2006/relationships/header" Target="header70.xml" /><Relationship Id="rId795" Type="http://schemas.openxmlformats.org/officeDocument/2006/relationships/header" Target="header71.xml" /><Relationship Id="rId796" Type="http://schemas.openxmlformats.org/officeDocument/2006/relationships/footer" Target="footer70.xml" /><Relationship Id="rId797" Type="http://schemas.openxmlformats.org/officeDocument/2006/relationships/footer" Target="footer71.xml" /><Relationship Id="rId798" Type="http://schemas.openxmlformats.org/officeDocument/2006/relationships/header" Target="header72.xml" /><Relationship Id="rId799" Type="http://schemas.openxmlformats.org/officeDocument/2006/relationships/footer" Target="footer72.xml" /><Relationship Id="rId8" Type="http://schemas.openxmlformats.org/officeDocument/2006/relationships/header" Target="header3.xml" /><Relationship Id="rId80" Type="http://schemas.openxmlformats.org/officeDocument/2006/relationships/hyperlink" Target="https://advance.lexis.com/api/document?collection=cases-ca&amp;id=urn:contentItem:5F7T-S7M1-JJK6-S1VH-00000-00&amp;context=" TargetMode="External" /><Relationship Id="rId800" Type="http://schemas.openxmlformats.org/officeDocument/2006/relationships/hyperlink" Target="https://advance.lexis.com/api/document?collection=cases-ca&amp;id=urn:contentItem:5F7T-S781-F7G6-63GK-00000-00&amp;context=" TargetMode="External" /><Relationship Id="rId801" Type="http://schemas.openxmlformats.org/officeDocument/2006/relationships/hyperlink" Target="https://advance.lexis.com/api/document?collection=cases-ca&amp;id=urn:contentItem:5F7T-S781-JSC5-M480-00000-00&amp;context=" TargetMode="External" /><Relationship Id="rId802" Type="http://schemas.openxmlformats.org/officeDocument/2006/relationships/hyperlink" Target="https://advance.lexis.com/api/document?collection=cases-ca&amp;id=urn:contentItem:5F7T-S701-FJDY-X2CR-00000-00&amp;context=" TargetMode="External" /><Relationship Id="rId803" Type="http://schemas.openxmlformats.org/officeDocument/2006/relationships/hyperlink" Target="https://advance.lexis.com/api/document?collection=cases-ca&amp;id=urn:contentItem:5F8T-N3T1-JJSF-2339-00000-00&amp;context=" TargetMode="External" /><Relationship Id="rId804" Type="http://schemas.openxmlformats.org/officeDocument/2006/relationships/hyperlink" Target="https://advance.lexis.com/api/document?collection=cases-ca&amp;id=urn:contentItem:5F8T-N3T1-JFKM-655K-00000-00&amp;context=" TargetMode="External" /><Relationship Id="rId805" Type="http://schemas.openxmlformats.org/officeDocument/2006/relationships/header" Target="header73.xml" /><Relationship Id="rId806" Type="http://schemas.openxmlformats.org/officeDocument/2006/relationships/header" Target="header74.xml" /><Relationship Id="rId807" Type="http://schemas.openxmlformats.org/officeDocument/2006/relationships/footer" Target="footer73.xml" /><Relationship Id="rId808" Type="http://schemas.openxmlformats.org/officeDocument/2006/relationships/footer" Target="footer74.xml" /><Relationship Id="rId809" Type="http://schemas.openxmlformats.org/officeDocument/2006/relationships/header" Target="header75.xml" /><Relationship Id="rId81" Type="http://schemas.openxmlformats.org/officeDocument/2006/relationships/hyperlink" Target="https://advance.lexis.com/api/document?collection=cases-ca&amp;id=urn:contentItem:5F7T-S7H1-JS5Y-B2VJ-00000-00&amp;context=" TargetMode="External" /><Relationship Id="rId810" Type="http://schemas.openxmlformats.org/officeDocument/2006/relationships/footer" Target="footer75.xml" /><Relationship Id="rId811" Type="http://schemas.openxmlformats.org/officeDocument/2006/relationships/hyperlink" Target="https://advance.lexis.com/api/document?collection=cases-ca&amp;id=urn:contentItem:5F7T-S7C1-FCSB-S2HM-00000-00&amp;context=" TargetMode="External" /><Relationship Id="rId812" Type="http://schemas.openxmlformats.org/officeDocument/2006/relationships/hyperlink" Target="https://advance.lexis.com/api/document?collection=cases-ca&amp;id=urn:contentItem:5F81-YGK1-JJ1H-X4TJ-00000-00&amp;context=" TargetMode="External" /><Relationship Id="rId813" Type="http://schemas.openxmlformats.org/officeDocument/2006/relationships/hyperlink" Target="https://advance.lexis.com/api/document?collection=cases-ca&amp;id=urn:contentItem:5F81-YGK1-F8D9-M1GW-00000-00&amp;context=" TargetMode="External" /><Relationship Id="rId814" Type="http://schemas.openxmlformats.org/officeDocument/2006/relationships/hyperlink" Target="https://advance.lexis.com/api/document?collection=cases-ca&amp;id=urn:contentItem:5F81-YGK1-F8D9-M1GV-00000-00&amp;context=" TargetMode="External" /><Relationship Id="rId815" Type="http://schemas.openxmlformats.org/officeDocument/2006/relationships/hyperlink" Target="https://advance.lexis.com/api/document?collection=cases-ca&amp;id=urn:contentItem:5F81-YGM1-F5KY-B50P-00000-00&amp;context=" TargetMode="External" /><Relationship Id="rId816" Type="http://schemas.openxmlformats.org/officeDocument/2006/relationships/hyperlink" Target="https://advance.lexis.com/api/document?collection=cases-ca&amp;id=urn:contentItem:5F7T-S741-FJM6-61JR-00000-00&amp;context=" TargetMode="External" /><Relationship Id="rId817" Type="http://schemas.openxmlformats.org/officeDocument/2006/relationships/header" Target="header76.xml" /><Relationship Id="rId818" Type="http://schemas.openxmlformats.org/officeDocument/2006/relationships/header" Target="header77.xml" /><Relationship Id="rId819" Type="http://schemas.openxmlformats.org/officeDocument/2006/relationships/footer" Target="footer76.xml" /><Relationship Id="rId82" Type="http://schemas.openxmlformats.org/officeDocument/2006/relationships/hyperlink" Target="https://advance.lexis.com/api/document?collection=cases-ca&amp;id=urn:contentItem:5F81-VJY1-JWBS-64P0-00000-00&amp;context=" TargetMode="External" /><Relationship Id="rId820" Type="http://schemas.openxmlformats.org/officeDocument/2006/relationships/footer" Target="footer77.xml" /><Relationship Id="rId821" Type="http://schemas.openxmlformats.org/officeDocument/2006/relationships/header" Target="header78.xml" /><Relationship Id="rId822" Type="http://schemas.openxmlformats.org/officeDocument/2006/relationships/footer" Target="footer78.xml" /><Relationship Id="rId823" Type="http://schemas.openxmlformats.org/officeDocument/2006/relationships/hyperlink" Target="https://advance.lexis.com/api/document?collection=cases-ca&amp;id=urn:contentItem:5F7T-S7D1-F7ND-G0C6-00000-00&amp;context=" TargetMode="External" /><Relationship Id="rId824" Type="http://schemas.openxmlformats.org/officeDocument/2006/relationships/hyperlink" Target="https://advance.lexis.com/api/document?collection=cases-ca&amp;id=urn:contentItem:5F7T-S761-JS5Y-B1XS-00000-00&amp;context=" TargetMode="External" /><Relationship Id="rId825" Type="http://schemas.openxmlformats.org/officeDocument/2006/relationships/hyperlink" Target="https://advance.lexis.com/api/document?collection=cases-ca&amp;id=urn:contentItem:5F7T-S7C1-JSRM-612H-00000-00&amp;context=" TargetMode="External" /><Relationship Id="rId826" Type="http://schemas.openxmlformats.org/officeDocument/2006/relationships/hyperlink" Target="https://advance.lexis.com/api/document?collection=cases-ca&amp;id=urn:contentItem:5F7T-S6V1-JFKM-61CW-00000-00&amp;context=" TargetMode="External" /><Relationship Id="rId827" Type="http://schemas.openxmlformats.org/officeDocument/2006/relationships/hyperlink" Target="https://advance.lexis.com/api/document?collection=cases-ca&amp;id=urn:contentItem:5F7V-3DK1-FCYK-245F-00000-00&amp;context=" TargetMode="External" /><Relationship Id="rId828" Type="http://schemas.openxmlformats.org/officeDocument/2006/relationships/header" Target="header79.xml" /><Relationship Id="rId829" Type="http://schemas.openxmlformats.org/officeDocument/2006/relationships/header" Target="header80.xml" /><Relationship Id="rId83" Type="http://schemas.openxmlformats.org/officeDocument/2006/relationships/hyperlink" Target="https://advance.lexis.com/api/document?collection=cases-ca&amp;id=urn:contentItem:5F8P-SF71-F8SS-63VW-00000-00&amp;context=" TargetMode="External" /><Relationship Id="rId830" Type="http://schemas.openxmlformats.org/officeDocument/2006/relationships/footer" Target="footer79.xml" /><Relationship Id="rId831" Type="http://schemas.openxmlformats.org/officeDocument/2006/relationships/footer" Target="footer80.xml" /><Relationship Id="rId832" Type="http://schemas.openxmlformats.org/officeDocument/2006/relationships/header" Target="header81.xml" /><Relationship Id="rId833" Type="http://schemas.openxmlformats.org/officeDocument/2006/relationships/footer" Target="footer81.xml" /><Relationship Id="rId834" Type="http://schemas.openxmlformats.org/officeDocument/2006/relationships/hyperlink" Target="https://advance.lexis.com/api/document?collection=cases-ca&amp;id=urn:contentItem:5F7T-S7D1-JS5Y-B2CW-00000-00&amp;context=" TargetMode="External" /><Relationship Id="rId835" Type="http://schemas.openxmlformats.org/officeDocument/2006/relationships/hyperlink" Target="https://advance.lexis.com/api/document?collection=cases-ca&amp;id=urn:contentItem:5F7T-S701-JJ6S-61FD-00000-00&amp;context=" TargetMode="External" /><Relationship Id="rId836" Type="http://schemas.openxmlformats.org/officeDocument/2006/relationships/hyperlink" Target="https://advance.lexis.com/api/document?collection=cases-ca&amp;id=urn:contentItem:5F7T-S741-F2F4-G20Y-00000-00&amp;context=" TargetMode="External" /><Relationship Id="rId837" Type="http://schemas.openxmlformats.org/officeDocument/2006/relationships/hyperlink" Target="https://advance.lexis.com/api/document?collection=cases-ca&amp;id=urn:contentItem:5F7T-S751-JBM1-M237-00000-00&amp;context=" TargetMode="External" /><Relationship Id="rId838" Type="http://schemas.openxmlformats.org/officeDocument/2006/relationships/hyperlink" Target="https://advance.lexis.com/api/document?collection=cases-ca&amp;id=urn:contentItem:5F81-YH41-JX8W-M05P-00000-00&amp;context=" TargetMode="External" /><Relationship Id="rId839" Type="http://schemas.openxmlformats.org/officeDocument/2006/relationships/hyperlink" Target="https://advance.lexis.com/api/document?collection=cases-ca&amp;id=urn:contentItem:5F81-WC31-F5KY-B4SM-00000-00&amp;context=" TargetMode="External" /><Relationship Id="rId84" Type="http://schemas.openxmlformats.org/officeDocument/2006/relationships/hyperlink" Target="https://advance.lexis.com/api/document?collection=cases-ca&amp;id=urn:contentItem:5F7T-S741-F57G-S1FC-00000-00&amp;context=" TargetMode="External" /><Relationship Id="rId840" Type="http://schemas.openxmlformats.org/officeDocument/2006/relationships/hyperlink" Target="https://advance.lexis.com/api/document?collection=cases-ca&amp;id=urn:contentItem:5F2P-NNN1-JX3N-B1C7-00000-00&amp;context=" TargetMode="External" /><Relationship Id="rId841" Type="http://schemas.openxmlformats.org/officeDocument/2006/relationships/hyperlink" Target="https://advance.lexis.com/api/document?collection=cases-ca&amp;id=urn:contentItem:5F7T-S701-JJYN-B2PM-00000-00&amp;context=" TargetMode="External" /><Relationship Id="rId842" Type="http://schemas.openxmlformats.org/officeDocument/2006/relationships/hyperlink" Target="https://advance.lexis.com/api/document?collection=cases-ca&amp;id=urn:contentItem:5F7T-S751-JP4G-611N-00000-00&amp;context=" TargetMode="External" /><Relationship Id="rId843" Type="http://schemas.openxmlformats.org/officeDocument/2006/relationships/header" Target="header82.xml" /><Relationship Id="rId844" Type="http://schemas.openxmlformats.org/officeDocument/2006/relationships/header" Target="header83.xml" /><Relationship Id="rId845" Type="http://schemas.openxmlformats.org/officeDocument/2006/relationships/footer" Target="footer82.xml" /><Relationship Id="rId846" Type="http://schemas.openxmlformats.org/officeDocument/2006/relationships/footer" Target="footer83.xml" /><Relationship Id="rId847" Type="http://schemas.openxmlformats.org/officeDocument/2006/relationships/header" Target="header84.xml" /><Relationship Id="rId848" Type="http://schemas.openxmlformats.org/officeDocument/2006/relationships/footer" Target="footer84.xml" /><Relationship Id="rId849" Type="http://schemas.openxmlformats.org/officeDocument/2006/relationships/hyperlink" Target="https://advance.lexis.com/api/document?collection=cases-ca&amp;id=urn:contentItem:5J70-PKM1-JPGX-S3WY-00000-00&amp;context=" TargetMode="External" /><Relationship Id="rId85" Type="http://schemas.openxmlformats.org/officeDocument/2006/relationships/hyperlink" Target="https://advance.lexis.com/api/document?collection=cases-ca&amp;id=urn:contentItem:5F8T-N3T1-JJSF-233R-00000-00&amp;context=" TargetMode="External" /><Relationship Id="rId850" Type="http://schemas.openxmlformats.org/officeDocument/2006/relationships/hyperlink" Target="https://advance.lexis.com/api/document?collection=legislation-ca&amp;id=urn:contentItem:5VYK-W9V1-JS0R-23WX-00000-00&amp;context=" TargetMode="External" /><Relationship Id="rId851" Type="http://schemas.openxmlformats.org/officeDocument/2006/relationships/hyperlink" Target="https://advance.lexis.com/api/document?collection=cases-ca&amp;id=urn:contentItem:5F8T-N3V1-FC1F-M428-00000-00&amp;context=" TargetMode="External" /><Relationship Id="rId852" Type="http://schemas.openxmlformats.org/officeDocument/2006/relationships/hyperlink" Target="https://advance.lexis.com/api/document?collection=cases-ca&amp;id=urn:contentItem:5F7T-S761-JCBX-S0JH-00000-00&amp;context=" TargetMode="External" /><Relationship Id="rId853" Type="http://schemas.openxmlformats.org/officeDocument/2006/relationships/hyperlink" Target="https://advance.lexis.com/api/document?collection=cases-ca&amp;id=urn:contentItem:5F7T-S781-F7G6-637H-00000-00&amp;context=" TargetMode="External" /><Relationship Id="rId854" Type="http://schemas.openxmlformats.org/officeDocument/2006/relationships/hyperlink" Target="https://advance.lexis.com/api/document?collection=cases-ca&amp;id=urn:contentItem:5GJP-VFP1-FJM6-60JN-00000-00&amp;context=" TargetMode="External" /><Relationship Id="rId855" Type="http://schemas.openxmlformats.org/officeDocument/2006/relationships/hyperlink" Target="https://advance.lexis.com/api/document?collection=cases-ca&amp;id=urn:contentItem:5F7T-S701-JJ6S-61J5-00000-00&amp;context=" TargetMode="External" /><Relationship Id="rId856" Type="http://schemas.openxmlformats.org/officeDocument/2006/relationships/hyperlink" Target="https://advance.lexis.com/api/document?collection=cases-ca&amp;id=urn:contentItem:5F7T-S7P1-JNJT-B2B2-00000-00&amp;context=" TargetMode="External" /><Relationship Id="rId857" Type="http://schemas.openxmlformats.org/officeDocument/2006/relationships/header" Target="header85.xml" /><Relationship Id="rId858" Type="http://schemas.openxmlformats.org/officeDocument/2006/relationships/header" Target="header86.xml" /><Relationship Id="rId859" Type="http://schemas.openxmlformats.org/officeDocument/2006/relationships/footer" Target="footer85.xml" /><Relationship Id="rId86" Type="http://schemas.openxmlformats.org/officeDocument/2006/relationships/hyperlink" Target="https://advance.lexis.com/api/document?collection=cases-ca&amp;id=urn:contentItem:5F7T-S7F1-FFFC-B1RF-00000-00&amp;context=" TargetMode="External" /><Relationship Id="rId860" Type="http://schemas.openxmlformats.org/officeDocument/2006/relationships/footer" Target="footer86.xml" /><Relationship Id="rId861" Type="http://schemas.openxmlformats.org/officeDocument/2006/relationships/header" Target="header87.xml" /><Relationship Id="rId862" Type="http://schemas.openxmlformats.org/officeDocument/2006/relationships/footer" Target="footer87.xml" /><Relationship Id="rId863" Type="http://schemas.openxmlformats.org/officeDocument/2006/relationships/hyperlink" Target="https://advance.lexis.com/api/document?collection=cases-ca&amp;id=urn:contentItem:5H4P-HBF1-JJYN-B27Y-00000-00&amp;context=" TargetMode="External" /><Relationship Id="rId864" Type="http://schemas.openxmlformats.org/officeDocument/2006/relationships/hyperlink" Target="https://advance.lexis.com/api/document?collection=cases-ca&amp;id=urn:contentItem:5F8T-N3P1-F7ND-G1DW-00000-00&amp;context=" TargetMode="External" /><Relationship Id="rId865" Type="http://schemas.openxmlformats.org/officeDocument/2006/relationships/hyperlink" Target="https://advance.lexis.com/api/document?collection=cases-ca&amp;id=urn:contentItem:5F7T-S7D1-FC6N-X0TJ-00000-00&amp;context=" TargetMode="External" /><Relationship Id="rId866" Type="http://schemas.openxmlformats.org/officeDocument/2006/relationships/hyperlink" Target="https://advance.lexis.com/api/document?collection=cases-ca&amp;id=urn:contentItem:5F7T-S731-FFFC-B0W8-00000-00&amp;context=" TargetMode="External" /><Relationship Id="rId867" Type="http://schemas.openxmlformats.org/officeDocument/2006/relationships/hyperlink" Target="https://advance.lexis.com/api/document?collection=cases-ca&amp;id=urn:contentItem:5F7T-S781-FH4C-X2SP-00000-00&amp;context=" TargetMode="External" /><Relationship Id="rId868" Type="http://schemas.openxmlformats.org/officeDocument/2006/relationships/hyperlink" Target="https://advance.lexis.com/api/document?collection=cases-ca&amp;id=urn:contentItem:5F7T-S751-JBM1-M22B-00000-00&amp;context=" TargetMode="External" /><Relationship Id="rId869" Type="http://schemas.openxmlformats.org/officeDocument/2006/relationships/header" Target="header88.xml" /><Relationship Id="rId87" Type="http://schemas.openxmlformats.org/officeDocument/2006/relationships/hyperlink" Target="https://advance.lexis.com/api/document?collection=cases-ca&amp;id=urn:contentItem:5F8T-N3T1-JGHR-M25H-00000-00&amp;context=" TargetMode="External" /><Relationship Id="rId870" Type="http://schemas.openxmlformats.org/officeDocument/2006/relationships/header" Target="header89.xml" /><Relationship Id="rId871" Type="http://schemas.openxmlformats.org/officeDocument/2006/relationships/footer" Target="footer88.xml" /><Relationship Id="rId872" Type="http://schemas.openxmlformats.org/officeDocument/2006/relationships/footer" Target="footer89.xml" /><Relationship Id="rId873" Type="http://schemas.openxmlformats.org/officeDocument/2006/relationships/header" Target="header90.xml" /><Relationship Id="rId874" Type="http://schemas.openxmlformats.org/officeDocument/2006/relationships/footer" Target="footer90.xml" /><Relationship Id="rId875" Type="http://schemas.openxmlformats.org/officeDocument/2006/relationships/hyperlink" Target="https://advance.lexis.com/api/document?collection=cases-ca&amp;id=urn:contentItem:5F7T-S781-F900-G0SY-00000-00&amp;context=" TargetMode="External" /><Relationship Id="rId876" Type="http://schemas.openxmlformats.org/officeDocument/2006/relationships/hyperlink" Target="https://advance.lexis.com/api/document?collection=cases-ca&amp;id=urn:contentItem:5F8T-N3R1-JNS1-M12J-00000-00&amp;context=" TargetMode="External" /><Relationship Id="rId877" Type="http://schemas.openxmlformats.org/officeDocument/2006/relationships/hyperlink" Target="https://advance.lexis.com/api/document?collection=cases-ca&amp;id=urn:contentItem:5F8T-N3V1-JF75-M3KJ-00000-00&amp;context=" TargetMode="External" /><Relationship Id="rId878" Type="http://schemas.openxmlformats.org/officeDocument/2006/relationships/hyperlink" Target="https://advance.lexis.com/api/document?collection=cases-ca&amp;id=urn:contentItem:5F8T-N3S1-JBDT-B008-00000-00&amp;context=" TargetMode="External" /><Relationship Id="rId879" Type="http://schemas.openxmlformats.org/officeDocument/2006/relationships/hyperlink" Target="https://advance.lexis.com/api/document?collection=cases-ca&amp;id=urn:contentItem:5F7T-S721-F5T5-M259-00000-00&amp;context=" TargetMode="External" /><Relationship Id="rId88" Type="http://schemas.openxmlformats.org/officeDocument/2006/relationships/hyperlink" Target="https://advance.lexis.com/api/document?collection=cases-ca&amp;id=urn:contentItem:5F8T-N3V1-FC1F-M4CN-00000-00&amp;context=" TargetMode="External" /><Relationship Id="rId880" Type="http://schemas.openxmlformats.org/officeDocument/2006/relationships/hyperlink" Target="https://advance.lexis.com/api/document?collection=cases-ca&amp;id=urn:contentItem:5F7T-S741-F2F4-G25V-00000-00&amp;context=" TargetMode="External" /><Relationship Id="rId881" Type="http://schemas.openxmlformats.org/officeDocument/2006/relationships/hyperlink" Target="https://advance.lexis.com/api/document?collection=cases-ca&amp;id=urn:contentItem:5F7T-S781-F27X-61GN-00000-00&amp;context=" TargetMode="External" /><Relationship Id="rId882" Type="http://schemas.openxmlformats.org/officeDocument/2006/relationships/hyperlink" Target="https://advance.lexis.com/api/document?collection=cases-ca&amp;id=urn:contentItem:5F7T-S6Y1-DY33-B036-00000-00&amp;context=" TargetMode="External" /><Relationship Id="rId883" Type="http://schemas.openxmlformats.org/officeDocument/2006/relationships/hyperlink" Target="https://advance.lexis.com/api/document?collection=cases-ca&amp;id=urn:contentItem:5F2P-NNN1-JXG3-X29P-00000-00&amp;context=" TargetMode="External" /><Relationship Id="rId884" Type="http://schemas.openxmlformats.org/officeDocument/2006/relationships/hyperlink" Target="https://advance.lexis.com/api/document?collection=cases-ca&amp;id=urn:contentItem:5F82-1SB1-JW09-M39W-00000-00&amp;context=" TargetMode="External" /><Relationship Id="rId885" Type="http://schemas.openxmlformats.org/officeDocument/2006/relationships/hyperlink" Target="https://advance.lexis.com/api/document?collection=cases-ca&amp;id=urn:contentItem:5F7V-3DJ1-JX3N-B0HK-00000-00&amp;context=" TargetMode="External" /><Relationship Id="rId886" Type="http://schemas.openxmlformats.org/officeDocument/2006/relationships/hyperlink" Target="https://advance.lexis.com/api/document?collection=cases-ca&amp;id=urn:contentItem:5F7T-S741-DXPM-S17F-00000-00&amp;context=" TargetMode="External" /><Relationship Id="rId887" Type="http://schemas.openxmlformats.org/officeDocument/2006/relationships/hyperlink" Target="https://advance.lexis.com/api/document?collection=cases-ca&amp;id=urn:contentItem:5F7T-S771-FG68-G0Y8-00000-00&amp;context=" TargetMode="External" /><Relationship Id="rId888" Type="http://schemas.openxmlformats.org/officeDocument/2006/relationships/hyperlink" Target="https://advance.lexis.com/api/document?collection=cases-ca&amp;id=urn:contentItem:5F7T-S781-F7G6-6386-00000-00&amp;context=" TargetMode="External" /><Relationship Id="rId889" Type="http://schemas.openxmlformats.org/officeDocument/2006/relationships/hyperlink" Target="https://advance.lexis.com/api/document?collection=cases-ca&amp;id=urn:contentItem:5F82-1SF1-JXG3-X28Y-00000-00&amp;context=" TargetMode="External" /><Relationship Id="rId89" Type="http://schemas.openxmlformats.org/officeDocument/2006/relationships/hyperlink" Target="https://advance.lexis.com/api/document?collection=cases-ca&amp;id=urn:contentItem:5F8T-N3S1-JT99-24PY-00000-00&amp;context=" TargetMode="External" /><Relationship Id="rId890" Type="http://schemas.openxmlformats.org/officeDocument/2006/relationships/hyperlink" Target="https://advance.lexis.com/api/document?collection=cases-ca&amp;id=urn:contentItem:5F7T-S751-JNS1-M1PR-00000-00&amp;context=" TargetMode="External" /><Relationship Id="rId891" Type="http://schemas.openxmlformats.org/officeDocument/2006/relationships/hyperlink" Target="https://advance.lexis.com/api/document?collection=cases-ca&amp;id=urn:contentItem:5F82-1SD1-JFKM-606S-00000-00&amp;context=" TargetMode="External" /><Relationship Id="rId892" Type="http://schemas.openxmlformats.org/officeDocument/2006/relationships/header" Target="header91.xml" /><Relationship Id="rId893" Type="http://schemas.openxmlformats.org/officeDocument/2006/relationships/header" Target="header92.xml" /><Relationship Id="rId894" Type="http://schemas.openxmlformats.org/officeDocument/2006/relationships/footer" Target="footer91.xml" /><Relationship Id="rId895" Type="http://schemas.openxmlformats.org/officeDocument/2006/relationships/footer" Target="footer92.xml" /><Relationship Id="rId896" Type="http://schemas.openxmlformats.org/officeDocument/2006/relationships/header" Target="header93.xml" /><Relationship Id="rId897" Type="http://schemas.openxmlformats.org/officeDocument/2006/relationships/footer" Target="footer93.xml" /><Relationship Id="rId898" Type="http://schemas.openxmlformats.org/officeDocument/2006/relationships/hyperlink" Target="https://advance.lexis.com/api/document?collection=cases-ca&amp;id=urn:contentItem:5F7T-S7H1-JCRC-B0NG-00000-00&amp;context=" TargetMode="External" /><Relationship Id="rId899" Type="http://schemas.openxmlformats.org/officeDocument/2006/relationships/hyperlink" Target="https://advance.lexis.com/api/document?collection=cases-ca&amp;id=urn:contentItem:5K6Y-81M1-DXHD-G2CJ-00000-00&amp;context=" TargetMode="External" /><Relationship Id="rId9" Type="http://schemas.openxmlformats.org/officeDocument/2006/relationships/footer" Target="footer3.xml" /><Relationship Id="rId90" Type="http://schemas.openxmlformats.org/officeDocument/2006/relationships/hyperlink" Target="https://advance.lexis.com/api/document?collection=cases-ca&amp;id=urn:contentItem:5F8T-N3S1-JBDT-B087-00000-00&amp;context=" TargetMode="External" /><Relationship Id="rId900" Type="http://schemas.openxmlformats.org/officeDocument/2006/relationships/hyperlink" Target="https://advance.lexis.com/api/document?collection=legislation-ca&amp;id=urn:contentItem:5F9J-MWV1-JBDT-B36K-00000-00&amp;context=" TargetMode="External" /><Relationship Id="rId901" Type="http://schemas.openxmlformats.org/officeDocument/2006/relationships/hyperlink" Target="https://advance.lexis.com/api/document?collection=legislation-ca&amp;id=urn:contentItem:5F3B-B9P1-JF75-M0NG-00000-00&amp;context=" TargetMode="External" /><Relationship Id="rId902" Type="http://schemas.openxmlformats.org/officeDocument/2006/relationships/hyperlink" Target="https://advance.lexis.com/api/document?collection=legislation-ca&amp;id=urn:contentItem:5VYK-WB21-F57G-S222-00000-00&amp;context=" TargetMode="External" /><Relationship Id="rId903" Type="http://schemas.openxmlformats.org/officeDocument/2006/relationships/hyperlink" Target="https://advance.lexis.com/api/document?collection=cases-ca&amp;id=urn:contentItem:5F8P-SD31-JGHR-M4XN-00000-00&amp;context=" TargetMode="External" /><Relationship Id="rId904" Type="http://schemas.openxmlformats.org/officeDocument/2006/relationships/hyperlink" Target="https://advance.lexis.com/api/document?collection=cases-ca&amp;id=urn:contentItem:5F8P-JKF1-FGCG-S1HN-00000-00&amp;context=" TargetMode="External" /><Relationship Id="rId905" Type="http://schemas.openxmlformats.org/officeDocument/2006/relationships/hyperlink" Target="https://advance.lexis.com/api/document?collection=cases-ca&amp;id=urn:contentItem:5F81-VJX1-FGY5-M3NN-00000-00&amp;context=" TargetMode="External" /><Relationship Id="rId906" Type="http://schemas.openxmlformats.org/officeDocument/2006/relationships/hyperlink" Target="https://advance.lexis.com/api/document?collection=cases-ca&amp;id=urn:contentItem:5F7T-S741-F57G-S215-00000-00&amp;context=" TargetMode="External" /><Relationship Id="rId907" Type="http://schemas.openxmlformats.org/officeDocument/2006/relationships/hyperlink" Target="https://advance.lexis.com/api/document?collection=cases-ca&amp;id=urn:contentItem:5F7T-S6X1-F06F-22F8-00000-00&amp;context=" TargetMode="External" /><Relationship Id="rId908" Type="http://schemas.openxmlformats.org/officeDocument/2006/relationships/hyperlink" Target="https://advance.lexis.com/api/document?collection=cases-ca&amp;id=urn:contentItem:5F7T-S6T1-FJTD-G1S3-00000-00&amp;context=" TargetMode="External" /><Relationship Id="rId909" Type="http://schemas.openxmlformats.org/officeDocument/2006/relationships/hyperlink" Target="https://advance.lexis.com/api/document?collection=cases-ca&amp;id=urn:contentItem:5F7T-S6W1-JF75-M375-00000-00&amp;context=" TargetMode="External" /><Relationship Id="rId91" Type="http://schemas.openxmlformats.org/officeDocument/2006/relationships/header" Target="header10.xml" /><Relationship Id="rId910" Type="http://schemas.openxmlformats.org/officeDocument/2006/relationships/hyperlink" Target="https://advance.lexis.com/api/document?collection=cases-ca&amp;id=urn:contentItem:5F7T-S7D1-JN6B-S152-00000-00&amp;context=" TargetMode="External" /><Relationship Id="rId911" Type="http://schemas.openxmlformats.org/officeDocument/2006/relationships/hyperlink" Target="https://advance.lexis.com/api/document?collection=cases-ca&amp;id=urn:contentItem:5F8T-N3R1-FBV7-B01D-00000-00&amp;context=" TargetMode="External" /><Relationship Id="rId912" Type="http://schemas.openxmlformats.org/officeDocument/2006/relationships/hyperlink" Target="https://advance.lexis.com/api/document?collection=cases-ca&amp;id=urn:contentItem:5F7T-S761-JX8W-M326-00000-00&amp;context=" TargetMode="External" /><Relationship Id="rId913" Type="http://schemas.openxmlformats.org/officeDocument/2006/relationships/hyperlink" Target="https://advance.lexis.com/api/document?collection=cases-ca&amp;id=urn:contentItem:5F8T-N3N1-FCYK-23BN-00000-00&amp;context=" TargetMode="External" /><Relationship Id="rId914" Type="http://schemas.openxmlformats.org/officeDocument/2006/relationships/hyperlink" Target="https://advance.lexis.com/api/document?collection=legislation-ca&amp;id=urn:contentItem:5W07-7G31-JFKM-62K1-00000-00&amp;context=" TargetMode="External" /><Relationship Id="rId915" Type="http://schemas.openxmlformats.org/officeDocument/2006/relationships/hyperlink" Target="https://advance.lexis.com/api/document?collection=cases-ca&amp;id=urn:contentItem:5F8P-SD81-JX8W-M4ND-00000-00&amp;context=" TargetMode="External" /><Relationship Id="rId916" Type="http://schemas.openxmlformats.org/officeDocument/2006/relationships/hyperlink" Target="https://advance.lexis.com/api/document?collection=cases-ca&amp;id=urn:contentItem:5F81-VJV1-DXWW-231K-00000-00&amp;context=" TargetMode="External" /><Relationship Id="rId917" Type="http://schemas.openxmlformats.org/officeDocument/2006/relationships/hyperlink" Target="https://advance.lexis.com/api/document?collection=cases-ca&amp;id=urn:contentItem:5F82-1SH1-JWBS-6053-00000-00&amp;context=" TargetMode="External" /><Relationship Id="rId918" Type="http://schemas.openxmlformats.org/officeDocument/2006/relationships/hyperlink" Target="https://advance.lexis.com/api/document?collection=cases-ca&amp;id=urn:contentItem:5F81-VJW1-JF75-M1DC-00000-00&amp;context=" TargetMode="External" /><Relationship Id="rId919" Type="http://schemas.openxmlformats.org/officeDocument/2006/relationships/hyperlink" Target="https://advance.lexis.com/api/document?collection=cases-ca&amp;id=urn:contentItem:5F81-VJX1-F22N-X1VN-00000-00&amp;context=" TargetMode="External" /><Relationship Id="rId92" Type="http://schemas.openxmlformats.org/officeDocument/2006/relationships/header" Target="header11.xml" /><Relationship Id="rId920" Type="http://schemas.openxmlformats.org/officeDocument/2006/relationships/hyperlink" Target="https://advance.lexis.com/api/document?collection=cases-ca&amp;id=urn:contentItem:5F81-VJX1-JYYX-60D9-00000-00&amp;context=" TargetMode="External" /><Relationship Id="rId921" Type="http://schemas.openxmlformats.org/officeDocument/2006/relationships/hyperlink" Target="https://advance.lexis.com/api/document?collection=cases-ca&amp;id=urn:contentItem:5F8T-N3V1-FC1F-M412-00000-00&amp;context=" TargetMode="External" /><Relationship Id="rId922" Type="http://schemas.openxmlformats.org/officeDocument/2006/relationships/hyperlink" Target="https://advance.lexis.com/api/document?collection=cases-ca&amp;id=urn:contentItem:5F8T-N3V1-FC1F-M3WX-00000-00&amp;context=" TargetMode="External" /><Relationship Id="rId923" Type="http://schemas.openxmlformats.org/officeDocument/2006/relationships/hyperlink" Target="https://advance.lexis.com/api/document?collection=cases-ca&amp;id=urn:contentItem:5F8T-N3V1-FC1F-M3WY-00000-00&amp;context=" TargetMode="External" /><Relationship Id="rId924" Type="http://schemas.openxmlformats.org/officeDocument/2006/relationships/hyperlink" Target="https://advance.lexis.com/api/document?collection=cases-ca&amp;id=urn:contentItem:5F7T-S781-FH4C-X2SM-00000-00&amp;context=" TargetMode="External" /><Relationship Id="rId925" Type="http://schemas.openxmlformats.org/officeDocument/2006/relationships/header" Target="header94.xml" /><Relationship Id="rId926" Type="http://schemas.openxmlformats.org/officeDocument/2006/relationships/header" Target="header95.xml" /><Relationship Id="rId927" Type="http://schemas.openxmlformats.org/officeDocument/2006/relationships/footer" Target="footer94.xml" /><Relationship Id="rId928" Type="http://schemas.openxmlformats.org/officeDocument/2006/relationships/footer" Target="footer95.xml" /><Relationship Id="rId929" Type="http://schemas.openxmlformats.org/officeDocument/2006/relationships/header" Target="header96.xml" /><Relationship Id="rId93" Type="http://schemas.openxmlformats.org/officeDocument/2006/relationships/footer" Target="footer10.xml" /><Relationship Id="rId930" Type="http://schemas.openxmlformats.org/officeDocument/2006/relationships/footer" Target="footer96.xml" /><Relationship Id="rId931" Type="http://schemas.openxmlformats.org/officeDocument/2006/relationships/hyperlink" Target="https://advance.lexis.com/api/document?collection=cases-ca&amp;id=urn:contentItem:5K6Y-81T1-JYYX-61PC-00000-00&amp;context=" TargetMode="External" /><Relationship Id="rId932" Type="http://schemas.openxmlformats.org/officeDocument/2006/relationships/hyperlink" Target="https://advance.lexis.com/api/document?collection=cases-ca&amp;id=urn:contentItem:5GCC-XVC1-F900-G4TY-00000-00&amp;context=" TargetMode="External" /><Relationship Id="rId933" Type="http://schemas.openxmlformats.org/officeDocument/2006/relationships/hyperlink" Target="https://advance.lexis.com/api/document?collection=cases-ca&amp;id=urn:contentItem:5F7T-S6Y1-FJDY-X23K-00000-00&amp;context=" TargetMode="External" /><Relationship Id="rId934" Type="http://schemas.openxmlformats.org/officeDocument/2006/relationships/hyperlink" Target="https://advance.lexis.com/api/document?collection=cases-ca&amp;id=urn:contentItem:5F8T-N3V1-JTGH-B19N-00000-00&amp;context=" TargetMode="External" /><Relationship Id="rId935" Type="http://schemas.openxmlformats.org/officeDocument/2006/relationships/hyperlink" Target="https://advance.lexis.com/api/document?collection=cases-ca&amp;id=urn:contentItem:5F8T-N3V1-JTGH-B16R-00000-00&amp;context=" TargetMode="External" /><Relationship Id="rId936" Type="http://schemas.openxmlformats.org/officeDocument/2006/relationships/hyperlink" Target="https://advance.lexis.com/api/document?collection=cases-ca&amp;id=urn:contentItem:5F7T-S7G1-JWR6-S1YG-00000-00&amp;context=" TargetMode="External" /><Relationship Id="rId937" Type="http://schemas.openxmlformats.org/officeDocument/2006/relationships/hyperlink" Target="https://advance.lexis.com/api/document?collection=cases-ca&amp;id=urn:contentItem:5F7T-S721-F8D9-M0RP-00000-00&amp;context=" TargetMode="External" /><Relationship Id="rId938" Type="http://schemas.openxmlformats.org/officeDocument/2006/relationships/hyperlink" Target="https://advance.lexis.com/api/document?collection=cases-ca&amp;id=urn:contentItem:5F7T-S741-F8D9-M1MM-00000-00&amp;context=" TargetMode="External" /><Relationship Id="rId939" Type="http://schemas.openxmlformats.org/officeDocument/2006/relationships/hyperlink" Target="https://advance.lexis.com/api/document?collection=cases-ca&amp;id=urn:contentItem:5F8T-N3V1-JTGH-B1C7-00000-00&amp;context=" TargetMode="External" /><Relationship Id="rId94" Type="http://schemas.openxmlformats.org/officeDocument/2006/relationships/footer" Target="footer11.xml" /><Relationship Id="rId940" Type="http://schemas.openxmlformats.org/officeDocument/2006/relationships/hyperlink" Target="https://advance.lexis.com/api/document?collection=cases-ca&amp;id=urn:contentItem:5F7T-S7K1-JKHB-62PP-00000-00&amp;context=" TargetMode="External" /><Relationship Id="rId941" Type="http://schemas.openxmlformats.org/officeDocument/2006/relationships/hyperlink" Target="https://advance.lexis.com/api/document?collection=cases-ca&amp;id=urn:contentItem:5F81-VJX1-JP9P-G47B-00000-00&amp;context=" TargetMode="External" /><Relationship Id="rId942" Type="http://schemas.openxmlformats.org/officeDocument/2006/relationships/hyperlink" Target="https://advance.lexis.com/api/document?collection=cases-ca&amp;id=urn:contentItem:5F8T-N3V1-FC1F-M45T-00000-00&amp;context=" TargetMode="External" /><Relationship Id="rId943" Type="http://schemas.openxmlformats.org/officeDocument/2006/relationships/hyperlink" Target="https://advance.lexis.com/api/document?collection=cases-ca&amp;id=urn:contentItem:5F8T-N3V1-FC1F-M3WJ-00000-00&amp;context=" TargetMode="External" /><Relationship Id="rId944" Type="http://schemas.openxmlformats.org/officeDocument/2006/relationships/header" Target="header97.xml" /><Relationship Id="rId945" Type="http://schemas.openxmlformats.org/officeDocument/2006/relationships/header" Target="header98.xml" /><Relationship Id="rId946" Type="http://schemas.openxmlformats.org/officeDocument/2006/relationships/footer" Target="footer97.xml" /><Relationship Id="rId947" Type="http://schemas.openxmlformats.org/officeDocument/2006/relationships/footer" Target="footer98.xml" /><Relationship Id="rId948" Type="http://schemas.openxmlformats.org/officeDocument/2006/relationships/header" Target="header99.xml" /><Relationship Id="rId949" Type="http://schemas.openxmlformats.org/officeDocument/2006/relationships/footer" Target="footer99.xml" /><Relationship Id="rId95" Type="http://schemas.openxmlformats.org/officeDocument/2006/relationships/header" Target="header12.xml" /><Relationship Id="rId950" Type="http://schemas.openxmlformats.org/officeDocument/2006/relationships/hyperlink" Target="https://advance.lexis.com/api/document?collection=cases-ca&amp;id=urn:contentItem:5F7T-S7D1-FFFC-B19J-00000-00&amp;context=" TargetMode="External" /><Relationship Id="rId951" Type="http://schemas.openxmlformats.org/officeDocument/2006/relationships/hyperlink" Target="https://advance.lexis.com/api/document?collection=cases-ca&amp;id=urn:contentItem:5F7T-S701-JJ6S-61DM-00000-00&amp;context=" TargetMode="External" /><Relationship Id="rId952" Type="http://schemas.openxmlformats.org/officeDocument/2006/relationships/hyperlink" Target="https://advance.lexis.com/api/document?collection=cases-ca&amp;id=urn:contentItem:5F7T-S6Y1-JSC5-M329-00000-00&amp;context=" TargetMode="External" /><Relationship Id="rId953" Type="http://schemas.openxmlformats.org/officeDocument/2006/relationships/hyperlink" Target="https://advance.lexis.com/api/document?collection=cases-ca&amp;id=urn:contentItem:5F8T-N3R1-FBV7-B04P-00000-00&amp;context=" TargetMode="External" /><Relationship Id="rId954" Type="http://schemas.openxmlformats.org/officeDocument/2006/relationships/hyperlink" Target="https://advance.lexis.com/api/document?collection=cases-ca&amp;id=urn:contentItem:5F7T-S731-F1WF-M27B-00000-00&amp;context=" TargetMode="External" /><Relationship Id="rId955" Type="http://schemas.openxmlformats.org/officeDocument/2006/relationships/header" Target="header100.xml" /><Relationship Id="rId956" Type="http://schemas.openxmlformats.org/officeDocument/2006/relationships/header" Target="header101.xml" /><Relationship Id="rId957" Type="http://schemas.openxmlformats.org/officeDocument/2006/relationships/footer" Target="footer100.xml" /><Relationship Id="rId958" Type="http://schemas.openxmlformats.org/officeDocument/2006/relationships/footer" Target="footer101.xml" /><Relationship Id="rId959" Type="http://schemas.openxmlformats.org/officeDocument/2006/relationships/header" Target="header102.xml" /><Relationship Id="rId96" Type="http://schemas.openxmlformats.org/officeDocument/2006/relationships/footer" Target="footer12.xml" /><Relationship Id="rId960" Type="http://schemas.openxmlformats.org/officeDocument/2006/relationships/footer" Target="footer102.xml" /><Relationship Id="rId961" Type="http://schemas.openxmlformats.org/officeDocument/2006/relationships/hyperlink" Target="https://advance.lexis.com/api/document?collection=cases-ca&amp;id=urn:contentItem:5F7T-S7P1-JNJT-B2S1-00000-00&amp;context=" TargetMode="External" /><Relationship Id="rId962" Type="http://schemas.openxmlformats.org/officeDocument/2006/relationships/hyperlink" Target="https://advance.lexis.com/api/document?collection=cases-ca&amp;id=urn:contentItem:5F7T-S7N1-F06F-24JN-00000-00&amp;context=" TargetMode="External" /><Relationship Id="rId963" Type="http://schemas.openxmlformats.org/officeDocument/2006/relationships/hyperlink" Target="https://advance.lexis.com/api/document?collection=cases-ca&amp;id=urn:contentItem:5F7T-S7K1-F1H1-2240-00000-00&amp;context=" TargetMode="External" /><Relationship Id="rId964" Type="http://schemas.openxmlformats.org/officeDocument/2006/relationships/hyperlink" Target="https://advance.lexis.com/api/document?collection=cases-ca&amp;id=urn:contentItem:5F8P-SDV1-JG02-S16F-00000-00&amp;context=" TargetMode="External" /><Relationship Id="rId965" Type="http://schemas.openxmlformats.org/officeDocument/2006/relationships/hyperlink" Target="https://advance.lexis.com/api/document?collection=cases-ca&amp;id=urn:contentItem:5F7T-S7C1-JCJ5-20KG-00000-00&amp;context=" TargetMode="External" /><Relationship Id="rId966" Type="http://schemas.openxmlformats.org/officeDocument/2006/relationships/hyperlink" Target="https://advance.lexis.com/api/document?collection=cases-ca&amp;id=urn:contentItem:5F8P-SDK1-JP9P-G3G6-00000-00&amp;context=" TargetMode="External" /><Relationship Id="rId967" Type="http://schemas.openxmlformats.org/officeDocument/2006/relationships/hyperlink" Target="https://advance.lexis.com/api/document?collection=cases-ca&amp;id=urn:contentItem:5F8P-SFX1-JJK6-S2BC-00000-00&amp;context=" TargetMode="External" /><Relationship Id="rId968" Type="http://schemas.openxmlformats.org/officeDocument/2006/relationships/hyperlink" Target="https://advance.lexis.com/api/document?collection=cases-ca&amp;id=urn:contentItem:5F7T-S7J1-FGCG-S02G-00000-00&amp;context=" TargetMode="External" /><Relationship Id="rId969" Type="http://schemas.openxmlformats.org/officeDocument/2006/relationships/hyperlink" Target="https://advance.lexis.com/api/document?collection=cases-ca&amp;id=urn:contentItem:5F8P-SF21-JJK6-S0X0-00000-00&amp;context=" TargetMode="External" /><Relationship Id="rId97" Type="http://schemas.openxmlformats.org/officeDocument/2006/relationships/hyperlink" Target="https://advance.lexis.com/api/document?collection=cases-ca&amp;id=urn:contentItem:5F7T-S7H1-F4GK-M31G-00000-00&amp;context=" TargetMode="External" /><Relationship Id="rId970" Type="http://schemas.openxmlformats.org/officeDocument/2006/relationships/hyperlink" Target="https://advance.lexis.com/api/document?collection=cases-ca&amp;id=urn:contentItem:5F8T-N3V1-FC1F-M48M-00000-00&amp;context=" TargetMode="External" /><Relationship Id="rId971" Type="http://schemas.openxmlformats.org/officeDocument/2006/relationships/header" Target="header103.xml" /><Relationship Id="rId972" Type="http://schemas.openxmlformats.org/officeDocument/2006/relationships/header" Target="header104.xml" /><Relationship Id="rId973" Type="http://schemas.openxmlformats.org/officeDocument/2006/relationships/footer" Target="footer103.xml" /><Relationship Id="rId974" Type="http://schemas.openxmlformats.org/officeDocument/2006/relationships/footer" Target="footer104.xml" /><Relationship Id="rId975" Type="http://schemas.openxmlformats.org/officeDocument/2006/relationships/header" Target="header105.xml" /><Relationship Id="rId976" Type="http://schemas.openxmlformats.org/officeDocument/2006/relationships/footer" Target="footer105.xml" /><Relationship Id="rId977" Type="http://schemas.openxmlformats.org/officeDocument/2006/relationships/hyperlink" Target="https://advance.lexis.com/api/document?collection=cases-ca&amp;id=urn:contentItem:5F7T-S7H1-JS5Y-B36G-00000-00&amp;context=" TargetMode="External" /><Relationship Id="rId978" Type="http://schemas.openxmlformats.org/officeDocument/2006/relationships/hyperlink" Target="https://advance.lexis.com/api/document?collection=legislation-ca&amp;id=urn:contentItem:5F41-1FJ1-JKPJ-G0P7-00000-00&amp;context=" TargetMode="External" /><Relationship Id="rId979" Type="http://schemas.openxmlformats.org/officeDocument/2006/relationships/hyperlink" Target="https://advance.lexis.com/api/document?collection=cases-ca&amp;id=urn:contentItem:5F7T-S701-JGPY-X1VH-00000-00&amp;context=" TargetMode="External" /><Relationship Id="rId98" Type="http://schemas.openxmlformats.org/officeDocument/2006/relationships/hyperlink" Target="https://advance.lexis.com/api/document?collection=cases-ca&amp;id=urn:contentItem:5F8T-N3V1-JF75-M3RK-00000-00&amp;context=" TargetMode="External" /><Relationship Id="rId980" Type="http://schemas.openxmlformats.org/officeDocument/2006/relationships/hyperlink" Target="https://advance.lexis.com/api/document?collection=cases-ca&amp;id=urn:contentItem:5F7T-S751-JNS1-M1VK-00000-00&amp;context=" TargetMode="External" /><Relationship Id="rId981" Type="http://schemas.openxmlformats.org/officeDocument/2006/relationships/hyperlink" Target="https://advance.lexis.com/api/document?collection=cases-ca&amp;id=urn:contentItem:5F7T-S7D1-JS5Y-B2BF-00000-00&amp;context=" TargetMode="External" /><Relationship Id="rId982" Type="http://schemas.openxmlformats.org/officeDocument/2006/relationships/hyperlink" Target="https://advance.lexis.com/api/document?collection=cases-ca&amp;id=urn:contentItem:5F7T-S771-JJD0-G14S-00000-00&amp;context=" TargetMode="External" /><Relationship Id="rId983" Type="http://schemas.openxmlformats.org/officeDocument/2006/relationships/hyperlink" Target="https://advance.lexis.com/api/document?collection=cases-ca&amp;id=urn:contentItem:5F7T-S7B1-FH4C-X39D-00000-00&amp;context=" TargetMode="External" /><Relationship Id="rId984" Type="http://schemas.openxmlformats.org/officeDocument/2006/relationships/hyperlink" Target="https://advance.lexis.com/api/document?collection=cases-ca&amp;id=urn:contentItem:5F7T-S7B1-FH4C-X3RB-00000-00&amp;context=" TargetMode="External" /><Relationship Id="rId985" Type="http://schemas.openxmlformats.org/officeDocument/2006/relationships/hyperlink" Target="https://advance.lexis.com/api/document?collection=cases-ca&amp;id=urn:contentItem:5F7T-S7F1-JBT7-X353-00000-00&amp;context=" TargetMode="External" /><Relationship Id="rId986" Type="http://schemas.openxmlformats.org/officeDocument/2006/relationships/hyperlink" Target="https://advance.lexis.com/api/document?collection=cases-ca&amp;id=urn:contentItem:5F7T-S781-F7G6-6373-00000-00&amp;context=" TargetMode="External" /><Relationship Id="rId987" Type="http://schemas.openxmlformats.org/officeDocument/2006/relationships/hyperlink" Target="https://advance.lexis.com/api/document?collection=cases-ca&amp;id=urn:contentItem:5F7T-S731-F016-S316-00000-00&amp;context=" TargetMode="External" /><Relationship Id="rId988" Type="http://schemas.openxmlformats.org/officeDocument/2006/relationships/hyperlink" Target="https://advance.lexis.com/api/document?collection=cases-ca&amp;id=urn:contentItem:5F7T-S771-JSJC-X05N-00000-00&amp;context=" TargetMode="External" /><Relationship Id="rId989" Type="http://schemas.openxmlformats.org/officeDocument/2006/relationships/hyperlink" Target="https://advance.lexis.com/api/document?collection=cases-ca&amp;id=urn:contentItem:5F7T-S7G1-JNY7-X43W-00000-00&amp;context=" TargetMode="External" /><Relationship Id="rId99" Type="http://schemas.openxmlformats.org/officeDocument/2006/relationships/hyperlink" Target="https://advance.lexis.com/api/document?collection=cases-ca&amp;id=urn:contentItem:5F7T-S761-F81W-21RK-00000-00&amp;context=" TargetMode="External" /><Relationship Id="rId990" Type="http://schemas.openxmlformats.org/officeDocument/2006/relationships/header" Target="header106.xml" /><Relationship Id="rId991" Type="http://schemas.openxmlformats.org/officeDocument/2006/relationships/header" Target="header107.xml" /><Relationship Id="rId992" Type="http://schemas.openxmlformats.org/officeDocument/2006/relationships/footer" Target="footer106.xml" /><Relationship Id="rId993" Type="http://schemas.openxmlformats.org/officeDocument/2006/relationships/footer" Target="footer107.xml" /><Relationship Id="rId994" Type="http://schemas.openxmlformats.org/officeDocument/2006/relationships/header" Target="header108.xml" /><Relationship Id="rId995" Type="http://schemas.openxmlformats.org/officeDocument/2006/relationships/footer" Target="footer108.xml" /><Relationship Id="rId996" Type="http://schemas.openxmlformats.org/officeDocument/2006/relationships/hyperlink" Target="https://advance.lexis.com/api/document?collection=cases-ca&amp;id=urn:contentItem:5F7T-S7C1-JSRM-60XR-00000-00&amp;context=" TargetMode="External" /><Relationship Id="rId997" Type="http://schemas.openxmlformats.org/officeDocument/2006/relationships/hyperlink" Target="https://advance.lexis.com/api/document?collection=legislation-ca&amp;id=urn:contentItem:5F41-1FN1-JSXV-G1HH-00000-00&amp;context=" TargetMode="External" /><Relationship Id="rId998" Type="http://schemas.openxmlformats.org/officeDocument/2006/relationships/hyperlink" Target="https://advance.lexis.com/api/document?collection=legislation-ca&amp;id=urn:contentItem:5F41-1FJ1-JBDT-B069-00000-00&amp;context=" TargetMode="External" /><Relationship Id="rId999" Type="http://schemas.openxmlformats.org/officeDocument/2006/relationships/hyperlink" Target="https://advance.lexis.com/api/document?collection=legislation-ca&amp;id=urn:contentItem:5F41-1FJ1-JPGX-S03Y-00000-00&amp;context=" TargetMode="External" /></Relationships>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Renger v. Vancouver (City), [2003] B.C.J. No. 437</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115044315</vt:lpwstr>
  </property>
  <property fmtid="{D5CDD505-2E9C-101B-9397-08002B2CF9AE}" pid="3" name="LADocCount">
    <vt:i4>50</vt:i4>
  </property>
  <property fmtid="{D5CDD505-2E9C-101B-9397-08002B2CF9AE}" pid="4" name="Language">
    <vt:lpwstr>en-CA</vt:lpwstr>
  </property>
  <property fmtid="{D5CDD505-2E9C-101B-9397-08002B2CF9AE}" pid="5" name="UserPermID">
    <vt:lpwstr>urn:user:PA187417739</vt:lpwstr>
  </property>
</Properties>
</file>